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35"/>
        <w:gridCol w:w="425"/>
        <w:gridCol w:w="374"/>
        <w:gridCol w:w="2603"/>
        <w:gridCol w:w="3605"/>
      </w:tblGrid>
      <w:tr w:rsidR="004A5EA9"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D2449B" w:rsidP="00D2449B">
            <w:pPr>
              <w:jc w:val="center"/>
              <w:rPr>
                <w:rFonts w:cs="Arial"/>
                <w:b/>
                <w:szCs w:val="22"/>
              </w:rPr>
            </w:pPr>
            <w:bookmarkStart w:id="0" w:name="_GoBack"/>
            <w:bookmarkEnd w:id="0"/>
            <w:r w:rsidRPr="006307F3">
              <w:rPr>
                <w:rFonts w:cs="Arial"/>
                <w:b/>
                <w:szCs w:val="22"/>
              </w:rPr>
              <w:t>R</w:t>
            </w:r>
            <w:r w:rsidR="004A5EA9" w:rsidRPr="006307F3">
              <w:rPr>
                <w:rFonts w:cs="Arial"/>
                <w:b/>
                <w:szCs w:val="22"/>
              </w:rPr>
              <w:t>eport to be read in conjunction with the Decision Notice.</w:t>
            </w:r>
          </w:p>
        </w:tc>
      </w:tr>
      <w:tr w:rsidR="004A5EA9" w:rsidRPr="00D2449B" w:rsidTr="001D4F7A">
        <w:trPr>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6307F3" w:rsidRDefault="004A5EA9" w:rsidP="004A5EA9">
            <w:pPr>
              <w:jc w:val="center"/>
              <w:rPr>
                <w:rFonts w:cs="Arial"/>
                <w:b/>
                <w:szCs w:val="22"/>
              </w:rPr>
            </w:pPr>
          </w:p>
        </w:tc>
      </w:tr>
      <w:tr w:rsidR="004A5EA9" w:rsidRPr="00D2449B" w:rsidTr="001D4F7A">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b/>
                <w:szCs w:val="22"/>
              </w:rPr>
            </w:pPr>
            <w:r w:rsidRPr="006307F3">
              <w:rPr>
                <w:rFonts w:cs="Arial"/>
                <w:b/>
                <w:szCs w:val="22"/>
              </w:rPr>
              <w:t>Application Ref:</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534BB1" w:rsidP="00E4101C">
            <w:pPr>
              <w:rPr>
                <w:rFonts w:cs="Arial"/>
                <w:szCs w:val="22"/>
              </w:rPr>
            </w:pPr>
            <w:r w:rsidRPr="00534BB1">
              <w:rPr>
                <w:rFonts w:cs="Arial"/>
                <w:szCs w:val="22"/>
              </w:rPr>
              <w:t>3/</w:t>
            </w:r>
            <w:r w:rsidR="00E4101C">
              <w:rPr>
                <w:rFonts w:cs="Arial"/>
                <w:szCs w:val="22"/>
              </w:rPr>
              <w:t>2019/0639</w:t>
            </w:r>
          </w:p>
        </w:tc>
        <w:tc>
          <w:tcPr>
            <w:tcW w:w="3605"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szCs w:val="22"/>
              </w:rPr>
            </w:pPr>
            <w:r w:rsidRPr="006307F3">
              <w:rPr>
                <w:rFonts w:cs="Arial"/>
                <w:noProof/>
                <w:szCs w:val="22"/>
                <w:lang w:eastAsia="en-GB"/>
              </w:rPr>
              <w:drawing>
                <wp:anchor distT="0" distB="0" distL="114300" distR="114300" simplePos="0" relativeHeight="251658240" behindDoc="0" locked="0" layoutInCell="1" allowOverlap="1" wp14:anchorId="10CD18A7" wp14:editId="2737803B">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8"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2449B" w:rsidTr="001D4F7A">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b/>
                <w:szCs w:val="22"/>
              </w:rPr>
            </w:pPr>
            <w:r w:rsidRPr="006307F3">
              <w:rPr>
                <w:rFonts w:cs="Arial"/>
                <w:b/>
                <w:szCs w:val="22"/>
              </w:rPr>
              <w:t>Date Inspected:</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9C127B" w:rsidP="00B13D65">
            <w:pPr>
              <w:rPr>
                <w:rFonts w:cs="Arial"/>
                <w:szCs w:val="22"/>
              </w:rPr>
            </w:pPr>
            <w:r>
              <w:rPr>
                <w:rFonts w:cs="Arial"/>
                <w:szCs w:val="22"/>
              </w:rPr>
              <w:t>23/08/2018</w:t>
            </w:r>
          </w:p>
        </w:tc>
        <w:tc>
          <w:tcPr>
            <w:tcW w:w="3605"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szCs w:val="22"/>
              </w:rPr>
            </w:pPr>
          </w:p>
        </w:tc>
      </w:tr>
      <w:tr w:rsidR="004A5EA9" w:rsidRPr="00D2449B" w:rsidTr="001D4F7A">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D2449B">
            <w:pPr>
              <w:rPr>
                <w:rFonts w:cs="Arial"/>
                <w:b/>
                <w:szCs w:val="22"/>
              </w:rPr>
            </w:pPr>
            <w:r w:rsidRPr="006307F3">
              <w:rPr>
                <w:rFonts w:cs="Arial"/>
                <w:b/>
                <w:szCs w:val="22"/>
              </w:rPr>
              <w:t>Officer</w:t>
            </w:r>
            <w:r w:rsidR="004A5EA9" w:rsidRPr="006307F3">
              <w:rPr>
                <w:rFonts w:cs="Arial"/>
                <w:b/>
                <w:szCs w:val="22"/>
              </w:rPr>
              <w:t>:</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F22639">
            <w:pPr>
              <w:rPr>
                <w:rFonts w:cs="Arial"/>
                <w:szCs w:val="22"/>
              </w:rPr>
            </w:pPr>
            <w:r w:rsidRPr="006307F3">
              <w:rPr>
                <w:rFonts w:cs="Arial"/>
                <w:szCs w:val="22"/>
              </w:rPr>
              <w:t>AB</w:t>
            </w:r>
          </w:p>
        </w:tc>
        <w:tc>
          <w:tcPr>
            <w:tcW w:w="3605"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szCs w:val="22"/>
              </w:rPr>
            </w:pPr>
          </w:p>
        </w:tc>
      </w:tr>
      <w:tr w:rsidR="004A5EA9" w:rsidRPr="00D2449B" w:rsidTr="001D4F7A">
        <w:trPr>
          <w:jc w:val="center"/>
        </w:trPr>
        <w:tc>
          <w:tcPr>
            <w:tcW w:w="563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rsidP="004A5EA9">
            <w:pPr>
              <w:rPr>
                <w:rFonts w:cs="Arial"/>
                <w:b/>
                <w:szCs w:val="22"/>
              </w:rPr>
            </w:pPr>
            <w:r w:rsidRPr="006307F3">
              <w:rPr>
                <w:rFonts w:cs="Arial"/>
                <w:b/>
                <w:szCs w:val="22"/>
              </w:rPr>
              <w:t xml:space="preserve">DELEGATED ITEM FILE REPORT: </w:t>
            </w:r>
          </w:p>
        </w:tc>
        <w:tc>
          <w:tcPr>
            <w:tcW w:w="36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DF22A8" w:rsidP="002A01CF">
            <w:pPr>
              <w:jc w:val="center"/>
              <w:rPr>
                <w:rFonts w:cs="Arial"/>
                <w:b/>
                <w:szCs w:val="22"/>
              </w:rPr>
            </w:pPr>
            <w:r>
              <w:rPr>
                <w:rFonts w:cs="Arial"/>
                <w:b/>
                <w:szCs w:val="22"/>
              </w:rPr>
              <w:t>REFUSED</w:t>
            </w:r>
          </w:p>
        </w:tc>
      </w:tr>
      <w:tr w:rsidR="004A5EA9"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534BB1" w:rsidRDefault="007E0D23" w:rsidP="007E0D23">
            <w:pPr>
              <w:tabs>
                <w:tab w:val="left" w:pos="4007"/>
              </w:tabs>
              <w:rPr>
                <w:rFonts w:cs="Arial"/>
                <w:b/>
                <w:szCs w:val="22"/>
              </w:rPr>
            </w:pPr>
            <w:r w:rsidRPr="00534BB1">
              <w:rPr>
                <w:rFonts w:cs="Arial"/>
                <w:b/>
                <w:szCs w:val="22"/>
              </w:rPr>
              <w:tab/>
            </w:r>
          </w:p>
        </w:tc>
      </w:tr>
      <w:tr w:rsidR="004A5EA9"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534BB1" w:rsidRDefault="004A5EA9" w:rsidP="00A95D89">
            <w:pPr>
              <w:rPr>
                <w:rFonts w:cs="Arial"/>
                <w:b/>
                <w:szCs w:val="22"/>
              </w:rPr>
            </w:pPr>
            <w:r w:rsidRPr="00534BB1">
              <w:rPr>
                <w:rFonts w:cs="Arial"/>
                <w:b/>
                <w:szCs w:val="22"/>
              </w:rPr>
              <w:t xml:space="preserve">Development </w:t>
            </w:r>
            <w:r w:rsidR="00A95D89" w:rsidRPr="00534BB1">
              <w:rPr>
                <w:rFonts w:cs="Arial"/>
                <w:b/>
                <w:szCs w:val="22"/>
              </w:rPr>
              <w:t>Description</w:t>
            </w:r>
            <w:r w:rsidRPr="00534BB1">
              <w:rPr>
                <w:rFonts w:cs="Arial"/>
                <w:b/>
                <w:szCs w:val="22"/>
              </w:rPr>
              <w:t>:</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534BB1" w:rsidRDefault="00E4101C" w:rsidP="009463F2">
            <w:pPr>
              <w:rPr>
                <w:rFonts w:cs="Arial"/>
                <w:b/>
                <w:szCs w:val="22"/>
              </w:rPr>
            </w:pPr>
            <w:r w:rsidRPr="00E4101C">
              <w:rPr>
                <w:rFonts w:cs="Arial"/>
                <w:b/>
                <w:szCs w:val="22"/>
              </w:rPr>
              <w:t>Retention of unauthorised use of wooden building (housing Stonyhurst Shoot meeting room 3/2012/0026) as a dwelling.</w:t>
            </w:r>
          </w:p>
        </w:tc>
      </w:tr>
      <w:tr w:rsidR="002A01CF"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534BB1" w:rsidRDefault="002A01CF">
            <w:pPr>
              <w:rPr>
                <w:rFonts w:cs="Arial"/>
                <w:b/>
                <w:szCs w:val="22"/>
              </w:rPr>
            </w:pPr>
            <w:r w:rsidRPr="00534BB1">
              <w:rPr>
                <w:rFonts w:cs="Arial"/>
                <w:b/>
                <w:szCs w:val="22"/>
              </w:rPr>
              <w:t>Site Address</w:t>
            </w:r>
            <w:r w:rsidR="00A95D89" w:rsidRPr="00534BB1">
              <w:rPr>
                <w:rFonts w:cs="Arial"/>
                <w:b/>
                <w:szCs w:val="22"/>
              </w:rPr>
              <w:t>/Location</w:t>
            </w:r>
            <w:r w:rsidRPr="00534BB1">
              <w:rPr>
                <w:rFonts w:cs="Arial"/>
                <w:b/>
                <w:szCs w:val="22"/>
              </w:rPr>
              <w:t>:</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534BB1" w:rsidRDefault="00E4101C" w:rsidP="00594478">
            <w:pPr>
              <w:rPr>
                <w:rFonts w:cs="Arial"/>
                <w:b/>
                <w:szCs w:val="22"/>
              </w:rPr>
            </w:pPr>
            <w:r w:rsidRPr="00E4101C">
              <w:rPr>
                <w:rFonts w:cs="Arial"/>
                <w:b/>
                <w:szCs w:val="22"/>
              </w:rPr>
              <w:t>The Shooting Lodge</w:t>
            </w:r>
            <w:r>
              <w:rPr>
                <w:rFonts w:cs="Arial"/>
                <w:b/>
                <w:szCs w:val="22"/>
              </w:rPr>
              <w:t>,</w:t>
            </w:r>
            <w:r w:rsidRPr="00E4101C">
              <w:rPr>
                <w:rFonts w:cs="Arial"/>
                <w:b/>
                <w:szCs w:val="22"/>
              </w:rPr>
              <w:t xml:space="preserve"> Foxfields Farm</w:t>
            </w:r>
            <w:r>
              <w:rPr>
                <w:rFonts w:cs="Arial"/>
                <w:b/>
                <w:szCs w:val="22"/>
              </w:rPr>
              <w:t>,</w:t>
            </w:r>
            <w:r w:rsidRPr="00E4101C">
              <w:rPr>
                <w:rFonts w:cs="Arial"/>
                <w:b/>
                <w:szCs w:val="22"/>
              </w:rPr>
              <w:t xml:space="preserve"> Whalley Road</w:t>
            </w:r>
            <w:r>
              <w:rPr>
                <w:rFonts w:cs="Arial"/>
                <w:b/>
                <w:szCs w:val="22"/>
              </w:rPr>
              <w:t>,</w:t>
            </w:r>
            <w:r w:rsidRPr="00E4101C">
              <w:rPr>
                <w:rFonts w:cs="Arial"/>
                <w:b/>
                <w:szCs w:val="22"/>
              </w:rPr>
              <w:t xml:space="preserve"> Hurst Green BB7 9PN</w:t>
            </w:r>
          </w:p>
        </w:tc>
      </w:tr>
      <w:tr w:rsidR="00A95D89"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534BB1" w:rsidRDefault="007E0D23" w:rsidP="007E0D23">
            <w:pPr>
              <w:tabs>
                <w:tab w:val="left" w:pos="2667"/>
              </w:tabs>
              <w:rPr>
                <w:rFonts w:cs="Arial"/>
                <w:b/>
                <w:szCs w:val="22"/>
              </w:rPr>
            </w:pPr>
            <w:r w:rsidRPr="00534BB1">
              <w:rPr>
                <w:rFonts w:cs="Arial"/>
                <w:b/>
                <w:szCs w:val="22"/>
              </w:rPr>
              <w:tab/>
            </w:r>
          </w:p>
        </w:tc>
      </w:tr>
      <w:tr w:rsidR="00C618DB"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534BB1" w:rsidRDefault="00C618DB">
            <w:pPr>
              <w:rPr>
                <w:rFonts w:cs="Arial"/>
                <w:b/>
                <w:szCs w:val="22"/>
              </w:rPr>
            </w:pPr>
            <w:r w:rsidRPr="00534BB1">
              <w:rPr>
                <w:rFonts w:cs="Arial"/>
                <w:b/>
                <w:szCs w:val="22"/>
              </w:rPr>
              <w:t xml:space="preserve">CONSULTATIONS: </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534BB1" w:rsidRDefault="00C618DB">
            <w:pPr>
              <w:rPr>
                <w:rFonts w:cs="Arial"/>
                <w:b/>
                <w:szCs w:val="22"/>
              </w:rPr>
            </w:pPr>
            <w:r w:rsidRPr="00534BB1">
              <w:rPr>
                <w:rFonts w:cs="Arial"/>
                <w:b/>
                <w:szCs w:val="22"/>
              </w:rPr>
              <w:t>Parish/Town Council</w:t>
            </w:r>
          </w:p>
        </w:tc>
      </w:tr>
      <w:tr w:rsidR="002A01CF"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D1691" w:rsidRPr="00534BB1" w:rsidRDefault="00534BB1" w:rsidP="0015650B">
            <w:pPr>
              <w:rPr>
                <w:rFonts w:cs="Arial"/>
                <w:szCs w:val="22"/>
              </w:rPr>
            </w:pPr>
            <w:r w:rsidRPr="00534BB1">
              <w:rPr>
                <w:rFonts w:cs="Arial"/>
                <w:szCs w:val="22"/>
              </w:rPr>
              <w:t>N/A</w:t>
            </w:r>
          </w:p>
        </w:tc>
      </w:tr>
      <w:tr w:rsidR="00C618DB"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534BB1" w:rsidRDefault="00C618DB">
            <w:pPr>
              <w:rPr>
                <w:rFonts w:cs="Arial"/>
                <w:bCs/>
                <w:szCs w:val="22"/>
              </w:rPr>
            </w:pPr>
          </w:p>
        </w:tc>
      </w:tr>
      <w:tr w:rsidR="00C618DB"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534BB1" w:rsidRDefault="00C618DB" w:rsidP="00C618DB">
            <w:pPr>
              <w:rPr>
                <w:rFonts w:cs="Arial"/>
                <w:b/>
                <w:szCs w:val="22"/>
              </w:rPr>
            </w:pPr>
            <w:r w:rsidRPr="00534BB1">
              <w:rPr>
                <w:rFonts w:cs="Arial"/>
                <w:b/>
                <w:szCs w:val="22"/>
              </w:rPr>
              <w:t xml:space="preserve">CONSULTATIONS: </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534BB1" w:rsidRDefault="00C618DB" w:rsidP="00C618DB">
            <w:pPr>
              <w:rPr>
                <w:rFonts w:cs="Arial"/>
                <w:b/>
                <w:szCs w:val="22"/>
              </w:rPr>
            </w:pPr>
            <w:r w:rsidRPr="00534BB1">
              <w:rPr>
                <w:rFonts w:cs="Arial"/>
                <w:b/>
                <w:szCs w:val="22"/>
              </w:rPr>
              <w:t>Additional Representations.</w:t>
            </w:r>
          </w:p>
        </w:tc>
      </w:tr>
      <w:tr w:rsidR="00EC23C7"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FB7FD9" w:rsidRPr="00534BB1" w:rsidRDefault="0015650B" w:rsidP="009D2B96">
            <w:pPr>
              <w:rPr>
                <w:rFonts w:cs="Arial"/>
                <w:szCs w:val="22"/>
              </w:rPr>
            </w:pPr>
            <w:r w:rsidRPr="00534BB1">
              <w:rPr>
                <w:rFonts w:cs="Arial"/>
                <w:szCs w:val="22"/>
              </w:rPr>
              <w:t>N/A</w:t>
            </w:r>
          </w:p>
        </w:tc>
      </w:tr>
      <w:tr w:rsidR="00C618DB"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534BB1" w:rsidRDefault="00C618DB" w:rsidP="00846D85">
            <w:pPr>
              <w:rPr>
                <w:rFonts w:cs="Arial"/>
                <w:szCs w:val="22"/>
              </w:rPr>
            </w:pPr>
          </w:p>
        </w:tc>
      </w:tr>
      <w:tr w:rsidR="00EC23C7"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534BB1" w:rsidRDefault="00EC23C7" w:rsidP="00846D85">
            <w:pPr>
              <w:rPr>
                <w:rFonts w:cs="Arial"/>
                <w:b/>
                <w:szCs w:val="22"/>
              </w:rPr>
            </w:pPr>
            <w:r w:rsidRPr="00534BB1">
              <w:rPr>
                <w:rFonts w:cs="Arial"/>
                <w:b/>
                <w:szCs w:val="22"/>
              </w:rPr>
              <w:t>RELEVANT POLICIES:</w:t>
            </w:r>
          </w:p>
        </w:tc>
      </w:tr>
      <w:tr w:rsidR="00C618DB"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D11007" w:rsidRPr="00534BB1" w:rsidRDefault="0015650B" w:rsidP="00534BB1">
            <w:pPr>
              <w:rPr>
                <w:b/>
              </w:rPr>
            </w:pPr>
            <w:r w:rsidRPr="00534BB1">
              <w:rPr>
                <w:bCs/>
                <w:szCs w:val="22"/>
              </w:rPr>
              <w:t>The proposal is made under section 191</w:t>
            </w:r>
            <w:r w:rsidR="00534BB1" w:rsidRPr="00534BB1">
              <w:rPr>
                <w:bCs/>
                <w:szCs w:val="22"/>
              </w:rPr>
              <w:t xml:space="preserve"> </w:t>
            </w:r>
            <w:r w:rsidRPr="00534BB1">
              <w:rPr>
                <w:bCs/>
                <w:szCs w:val="22"/>
              </w:rPr>
              <w:t>of the Town and Country Planning Act 1990.</w:t>
            </w:r>
          </w:p>
        </w:tc>
      </w:tr>
      <w:tr w:rsidR="00EC23C7"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846D85" w:rsidRDefault="006C2BFA" w:rsidP="00846D85">
            <w:pPr>
              <w:rPr>
                <w:rFonts w:cs="Arial"/>
                <w:b/>
                <w:szCs w:val="22"/>
              </w:rPr>
            </w:pPr>
            <w:r w:rsidRPr="00846D85">
              <w:rPr>
                <w:rFonts w:cs="Arial"/>
                <w:b/>
                <w:bCs/>
                <w:szCs w:val="22"/>
              </w:rPr>
              <w:t>ASSESSMENT OF PROPOSED DEVELOPMENT:</w:t>
            </w:r>
          </w:p>
        </w:tc>
      </w:tr>
      <w:tr w:rsidR="006C2BFA"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7E0D23" w:rsidRDefault="0029334A" w:rsidP="00846D85">
            <w:pPr>
              <w:pStyle w:val="Header"/>
              <w:tabs>
                <w:tab w:val="clear" w:pos="4153"/>
                <w:tab w:val="clear" w:pos="8306"/>
              </w:tabs>
              <w:rPr>
                <w:rFonts w:cs="Arial"/>
                <w:b/>
                <w:szCs w:val="22"/>
              </w:rPr>
            </w:pPr>
            <w:r w:rsidRPr="00FE2073">
              <w:rPr>
                <w:rFonts w:cs="Arial"/>
                <w:b/>
                <w:szCs w:val="22"/>
              </w:rPr>
              <w:t>Proposed Development for which consent is sought:</w:t>
            </w:r>
          </w:p>
          <w:p w:rsidR="00DF22A8" w:rsidRDefault="00016690" w:rsidP="00016690">
            <w:pPr>
              <w:jc w:val="both"/>
              <w:textAlignment w:val="auto"/>
              <w:rPr>
                <w:bCs/>
                <w:szCs w:val="22"/>
              </w:rPr>
            </w:pPr>
            <w:r w:rsidRPr="00A65D69">
              <w:rPr>
                <w:bCs/>
                <w:szCs w:val="22"/>
              </w:rPr>
              <w:t>Guidance on such an application is provided within section 191 of the above Act, noting that “</w:t>
            </w:r>
            <w:r w:rsidRPr="00A65D69">
              <w:rPr>
                <w:bCs/>
                <w:i/>
                <w:szCs w:val="22"/>
              </w:rPr>
              <w:t>if, on an application under this section, the local planning authority are provided with information satisfying them of the lawfulness at the time of the application of the use, they shall issue a certificate to that effect; and in any other case they shall refuse the application</w:t>
            </w:r>
            <w:r w:rsidRPr="00A65D69">
              <w:rPr>
                <w:bCs/>
                <w:szCs w:val="22"/>
              </w:rPr>
              <w:t xml:space="preserve">”. </w:t>
            </w:r>
          </w:p>
          <w:p w:rsidR="00DF22A8" w:rsidRDefault="00DF22A8" w:rsidP="00016690">
            <w:pPr>
              <w:jc w:val="both"/>
              <w:textAlignment w:val="auto"/>
              <w:rPr>
                <w:rFonts w:cs="Arial"/>
                <w:szCs w:val="22"/>
              </w:rPr>
            </w:pPr>
          </w:p>
          <w:p w:rsidR="00016690" w:rsidRPr="00A65D69" w:rsidRDefault="00016690" w:rsidP="00016690">
            <w:pPr>
              <w:jc w:val="both"/>
              <w:textAlignment w:val="auto"/>
              <w:rPr>
                <w:rFonts w:cs="Arial"/>
                <w:bCs/>
                <w:szCs w:val="22"/>
              </w:rPr>
            </w:pPr>
            <w:r w:rsidRPr="00A65D69">
              <w:rPr>
                <w:rFonts w:cs="Arial"/>
                <w:szCs w:val="22"/>
              </w:rPr>
              <w:t>In considering applications such as this, the test of the evidence must be the balance of probability with the</w:t>
            </w:r>
            <w:r w:rsidRPr="00A65D69">
              <w:rPr>
                <w:szCs w:val="22"/>
              </w:rPr>
              <w:t xml:space="preserve"> onus of proof firmly on the applicant. </w:t>
            </w:r>
            <w:r w:rsidRPr="00A65D69">
              <w:rPr>
                <w:rFonts w:cs="Arial"/>
                <w:szCs w:val="22"/>
                <w:lang w:val="en-US"/>
              </w:rPr>
              <w:t xml:space="preserve">In such cases the planning merits of the use are not material considerations; in order for a certificate to be granted the planning authority needs to be satisfied that, on the balance of probability, the use has operated on the same piece of land without significant interruption or material change in scale, nature or intensity for </w:t>
            </w:r>
            <w:r>
              <w:rPr>
                <w:rFonts w:cs="Arial"/>
                <w:szCs w:val="22"/>
                <w:lang w:val="en-US"/>
              </w:rPr>
              <w:t xml:space="preserve">the required time period specified under section 171B </w:t>
            </w:r>
            <w:r w:rsidRPr="00534BB1">
              <w:rPr>
                <w:bCs/>
                <w:szCs w:val="22"/>
              </w:rPr>
              <w:t>of the Tow</w:t>
            </w:r>
            <w:r>
              <w:rPr>
                <w:bCs/>
                <w:szCs w:val="22"/>
              </w:rPr>
              <w:t>n and Country Planning Act</w:t>
            </w:r>
            <w:r w:rsidR="00C23C75">
              <w:rPr>
                <w:bCs/>
                <w:szCs w:val="22"/>
              </w:rPr>
              <w:t xml:space="preserve"> (TCPA)</w:t>
            </w:r>
            <w:r>
              <w:rPr>
                <w:bCs/>
                <w:szCs w:val="22"/>
              </w:rPr>
              <w:t xml:space="preserve"> 1990</w:t>
            </w:r>
            <w:r>
              <w:rPr>
                <w:rFonts w:cs="Arial"/>
                <w:szCs w:val="22"/>
                <w:lang w:val="en-US"/>
              </w:rPr>
              <w:t xml:space="preserve"> </w:t>
            </w:r>
            <w:r w:rsidRPr="00A65D69">
              <w:rPr>
                <w:rFonts w:cs="Arial"/>
                <w:szCs w:val="22"/>
                <w:lang w:val="en-US"/>
              </w:rPr>
              <w:t>prior to the date of the application, and is thus now immune from enforcement proceedings.</w:t>
            </w:r>
          </w:p>
          <w:p w:rsidR="00016690" w:rsidRDefault="00016690" w:rsidP="00D41998">
            <w:pPr>
              <w:pStyle w:val="Header"/>
              <w:tabs>
                <w:tab w:val="clear" w:pos="4153"/>
                <w:tab w:val="clear" w:pos="8306"/>
              </w:tabs>
              <w:jc w:val="both"/>
              <w:rPr>
                <w:rFonts w:cs="Arial"/>
                <w:szCs w:val="22"/>
              </w:rPr>
            </w:pPr>
          </w:p>
          <w:p w:rsidR="002372C8" w:rsidRDefault="002372C8" w:rsidP="00D41998">
            <w:pPr>
              <w:pStyle w:val="Header"/>
              <w:tabs>
                <w:tab w:val="clear" w:pos="4153"/>
                <w:tab w:val="clear" w:pos="8306"/>
              </w:tabs>
              <w:jc w:val="both"/>
              <w:rPr>
                <w:rFonts w:cs="Arial"/>
                <w:szCs w:val="22"/>
              </w:rPr>
            </w:pPr>
            <w:r w:rsidRPr="00D41998">
              <w:rPr>
                <w:rFonts w:cs="Arial"/>
                <w:szCs w:val="22"/>
              </w:rPr>
              <w:t xml:space="preserve">This </w:t>
            </w:r>
            <w:r w:rsidR="00D41998" w:rsidRPr="00D41998">
              <w:rPr>
                <w:rFonts w:cs="Arial"/>
                <w:szCs w:val="22"/>
              </w:rPr>
              <w:t>is an application for a certificate of lawfulness relating to the retention of the unauthorised use of a wooden building</w:t>
            </w:r>
            <w:r w:rsidR="00594888">
              <w:rPr>
                <w:rFonts w:cs="Arial"/>
                <w:szCs w:val="22"/>
              </w:rPr>
              <w:t xml:space="preserve"> ‘the Building’</w:t>
            </w:r>
            <w:r w:rsidR="00D41998" w:rsidRPr="00D41998">
              <w:rPr>
                <w:rFonts w:cs="Arial"/>
                <w:szCs w:val="22"/>
              </w:rPr>
              <w:t xml:space="preserve"> at Foxfields Farm, Whalley Road, Hurst Green as a dwelling</w:t>
            </w:r>
            <w:r w:rsidR="00491C43">
              <w:rPr>
                <w:rFonts w:cs="Arial"/>
                <w:szCs w:val="22"/>
              </w:rPr>
              <w:t>house</w:t>
            </w:r>
            <w:r w:rsidR="00D41998" w:rsidRPr="00D41998">
              <w:rPr>
                <w:rFonts w:cs="Arial"/>
                <w:szCs w:val="22"/>
              </w:rPr>
              <w:t>.</w:t>
            </w:r>
            <w:r w:rsidR="00491C43">
              <w:rPr>
                <w:rFonts w:cs="Arial"/>
                <w:szCs w:val="22"/>
              </w:rPr>
              <w:t xml:space="preserve"> </w:t>
            </w:r>
            <w:r w:rsidR="00D41998">
              <w:rPr>
                <w:rFonts w:cs="Arial"/>
                <w:szCs w:val="22"/>
              </w:rPr>
              <w:t xml:space="preserve">The construction of the </w:t>
            </w:r>
            <w:r w:rsidR="00594888">
              <w:rPr>
                <w:rFonts w:cs="Arial"/>
                <w:szCs w:val="22"/>
              </w:rPr>
              <w:t>Building</w:t>
            </w:r>
            <w:r w:rsidR="00D41998">
              <w:rPr>
                <w:rFonts w:cs="Arial"/>
                <w:szCs w:val="22"/>
              </w:rPr>
              <w:t xml:space="preserve"> </w:t>
            </w:r>
            <w:r w:rsidR="00491C43">
              <w:rPr>
                <w:bCs/>
              </w:rPr>
              <w:t xml:space="preserve">to be erected within a clearing of woodland to the south-eastern side of an existing tarmac track leading to Foxfields Farm was </w:t>
            </w:r>
            <w:r w:rsidR="00D41998">
              <w:rPr>
                <w:rFonts w:cs="Arial"/>
                <w:szCs w:val="22"/>
              </w:rPr>
              <w:t>granted planning permission under application 3/2012/0026 on 6 March 2012.</w:t>
            </w:r>
          </w:p>
          <w:p w:rsidR="00491C43" w:rsidRDefault="00491C43" w:rsidP="00D41998">
            <w:pPr>
              <w:pStyle w:val="Header"/>
              <w:tabs>
                <w:tab w:val="clear" w:pos="4153"/>
                <w:tab w:val="clear" w:pos="8306"/>
              </w:tabs>
              <w:jc w:val="both"/>
              <w:rPr>
                <w:rFonts w:cs="Arial"/>
                <w:szCs w:val="22"/>
              </w:rPr>
            </w:pPr>
          </w:p>
          <w:p w:rsidR="00491C43" w:rsidRDefault="00491C43" w:rsidP="00491C43">
            <w:pPr>
              <w:jc w:val="both"/>
              <w:textAlignment w:val="auto"/>
              <w:rPr>
                <w:bCs/>
              </w:rPr>
            </w:pPr>
            <w:r>
              <w:rPr>
                <w:bCs/>
              </w:rPr>
              <w:t xml:space="preserve">The </w:t>
            </w:r>
            <w:r w:rsidR="00594888">
              <w:rPr>
                <w:bCs/>
              </w:rPr>
              <w:t>B</w:t>
            </w:r>
            <w:r>
              <w:rPr>
                <w:bCs/>
              </w:rPr>
              <w:t xml:space="preserve">uilding as approved was to measure 8m x 5m x 3.3m in height to the ridge with a pitched roof constructed of stained timber lap boarding to the walls with a wooden shingle roof. The </w:t>
            </w:r>
            <w:r w:rsidR="00594888">
              <w:rPr>
                <w:bCs/>
              </w:rPr>
              <w:t>B</w:t>
            </w:r>
            <w:r>
              <w:rPr>
                <w:bCs/>
              </w:rPr>
              <w:t xml:space="preserve">uilding was approved for use by Stonyhurst Shoot, which is a small members club that runs for both the management of the Stonyhurst Estate and as a shooting club. Internally the </w:t>
            </w:r>
            <w:r w:rsidR="00594888">
              <w:rPr>
                <w:bCs/>
              </w:rPr>
              <w:t>B</w:t>
            </w:r>
            <w:r>
              <w:rPr>
                <w:bCs/>
              </w:rPr>
              <w:t>uilding comprised a single ground floor meeting area to accommodate approximately 20 people.</w:t>
            </w:r>
          </w:p>
          <w:p w:rsidR="00DF22A8" w:rsidRDefault="00DF22A8" w:rsidP="000B62CD">
            <w:pPr>
              <w:jc w:val="both"/>
              <w:textAlignment w:val="auto"/>
              <w:rPr>
                <w:bCs/>
              </w:rPr>
            </w:pPr>
          </w:p>
          <w:p w:rsidR="00D147CB" w:rsidRPr="000B62CD" w:rsidRDefault="00DF22A8" w:rsidP="000B62CD">
            <w:pPr>
              <w:jc w:val="both"/>
              <w:textAlignment w:val="auto"/>
              <w:rPr>
                <w:bCs/>
              </w:rPr>
            </w:pPr>
            <w:r>
              <w:rPr>
                <w:bCs/>
              </w:rPr>
              <w:t>I</w:t>
            </w:r>
            <w:r w:rsidR="000B62CD">
              <w:rPr>
                <w:bCs/>
              </w:rPr>
              <w:t xml:space="preserve">t must be determined whether </w:t>
            </w:r>
            <w:r w:rsidR="000B62CD" w:rsidRPr="000E1427">
              <w:t>on the balance of probability</w:t>
            </w:r>
            <w:r w:rsidR="000B62CD">
              <w:t>,</w:t>
            </w:r>
            <w:r w:rsidR="000B62CD">
              <w:rPr>
                <w:bCs/>
              </w:rPr>
              <w:t xml:space="preserve"> taking into account the </w:t>
            </w:r>
            <w:r w:rsidR="000B62CD">
              <w:rPr>
                <w:bCs/>
              </w:rPr>
              <w:lastRenderedPageBreak/>
              <w:t xml:space="preserve">evidence submitted, the </w:t>
            </w:r>
            <w:r w:rsidR="00594888">
              <w:rPr>
                <w:bCs/>
              </w:rPr>
              <w:t>B</w:t>
            </w:r>
            <w:r w:rsidR="000B62CD">
              <w:rPr>
                <w:bCs/>
              </w:rPr>
              <w:t>uilding has been occupied as a dwellinghouse for a continuous requisite period for its residential</w:t>
            </w:r>
            <w:r w:rsidR="005F6812">
              <w:rPr>
                <w:bCs/>
              </w:rPr>
              <w:t xml:space="preserve"> use</w:t>
            </w:r>
            <w:r w:rsidR="000B62CD">
              <w:rPr>
                <w:bCs/>
              </w:rPr>
              <w:t xml:space="preserve"> to be considered lawful.</w:t>
            </w:r>
          </w:p>
        </w:tc>
      </w:tr>
      <w:tr w:rsidR="00EA09F9"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66AD4" w:rsidRPr="00231590" w:rsidRDefault="008B219B" w:rsidP="00D41D62">
            <w:pPr>
              <w:contextualSpacing/>
              <w:jc w:val="both"/>
              <w:rPr>
                <w:rFonts w:cs="Arial"/>
                <w:b/>
                <w:bCs/>
                <w:szCs w:val="22"/>
              </w:rPr>
            </w:pPr>
            <w:r w:rsidRPr="00231590">
              <w:rPr>
                <w:rFonts w:cs="Arial"/>
                <w:b/>
                <w:bCs/>
                <w:szCs w:val="22"/>
              </w:rPr>
              <w:lastRenderedPageBreak/>
              <w:t>Observations/Consideration of Matters Raised/Conclusion:</w:t>
            </w:r>
          </w:p>
          <w:p w:rsidR="002F3CBA" w:rsidRPr="00231590" w:rsidRDefault="002F3CBA" w:rsidP="0039738C">
            <w:pPr>
              <w:contextualSpacing/>
              <w:jc w:val="both"/>
              <w:rPr>
                <w:rFonts w:cs="Arial"/>
                <w:bCs/>
                <w:szCs w:val="22"/>
              </w:rPr>
            </w:pPr>
            <w:r w:rsidRPr="00231590">
              <w:rPr>
                <w:rFonts w:cs="Arial"/>
                <w:bCs/>
                <w:szCs w:val="22"/>
              </w:rPr>
              <w:t xml:space="preserve">Planning consent was granted in March 2012 under application 3/2012/0026 for the erection of a </w:t>
            </w:r>
            <w:r w:rsidRPr="00231590">
              <w:rPr>
                <w:rFonts w:cs="Helvetica"/>
                <w:szCs w:val="22"/>
                <w:lang w:val="en"/>
              </w:rPr>
              <w:t xml:space="preserve">new wooden building to provide a meeting room and undercover facilities for Stonyhurst Shoot. The </w:t>
            </w:r>
            <w:r w:rsidR="00594888">
              <w:rPr>
                <w:rFonts w:cs="Helvetica"/>
                <w:szCs w:val="22"/>
                <w:lang w:val="en"/>
              </w:rPr>
              <w:t>B</w:t>
            </w:r>
            <w:r w:rsidRPr="00231590">
              <w:rPr>
                <w:rFonts w:cs="Helvetica"/>
                <w:szCs w:val="22"/>
                <w:lang w:val="en"/>
              </w:rPr>
              <w:t xml:space="preserve">uilding which is the subject of this application for a certificate of lawful use is located at the same site and in the same location as the approved wooden building. The letter from GHA (dated 10 July 2019) states that the </w:t>
            </w:r>
            <w:r w:rsidR="00594888">
              <w:rPr>
                <w:rFonts w:cs="Helvetica"/>
                <w:szCs w:val="22"/>
                <w:lang w:val="en"/>
              </w:rPr>
              <w:t>B</w:t>
            </w:r>
            <w:r w:rsidRPr="00231590">
              <w:rPr>
                <w:rFonts w:cs="Helvetica"/>
                <w:szCs w:val="22"/>
                <w:lang w:val="en"/>
              </w:rPr>
              <w:t xml:space="preserve">uilding </w:t>
            </w:r>
            <w:r w:rsidR="00266AD4" w:rsidRPr="00231590">
              <w:rPr>
                <w:rFonts w:cs="Helvetica"/>
                <w:szCs w:val="22"/>
                <w:lang w:val="en"/>
              </w:rPr>
              <w:t xml:space="preserve">has been constructed under </w:t>
            </w:r>
            <w:r w:rsidR="00266AD4" w:rsidRPr="00231590">
              <w:rPr>
                <w:rFonts w:cs="Arial"/>
                <w:bCs/>
                <w:szCs w:val="22"/>
              </w:rPr>
              <w:t>under application 3/2012/0026 and therefore planning conditions attached to permission 3/2012/0026 would be effective.</w:t>
            </w:r>
          </w:p>
          <w:p w:rsidR="0039738C" w:rsidRPr="00231590" w:rsidRDefault="0039738C" w:rsidP="00D41D62">
            <w:pPr>
              <w:contextualSpacing/>
              <w:jc w:val="both"/>
              <w:rPr>
                <w:rFonts w:cs="Arial"/>
                <w:bCs/>
                <w:szCs w:val="22"/>
              </w:rPr>
            </w:pPr>
          </w:p>
          <w:p w:rsidR="00FF64DF" w:rsidRPr="00231590" w:rsidRDefault="00016690" w:rsidP="00D41D62">
            <w:pPr>
              <w:contextualSpacing/>
              <w:jc w:val="both"/>
              <w:rPr>
                <w:rFonts w:cs="Arial"/>
                <w:bCs/>
                <w:szCs w:val="22"/>
              </w:rPr>
            </w:pPr>
            <w:r w:rsidRPr="00231590">
              <w:rPr>
                <w:rFonts w:cs="Arial"/>
                <w:bCs/>
                <w:szCs w:val="22"/>
              </w:rPr>
              <w:t xml:space="preserve">The </w:t>
            </w:r>
            <w:r w:rsidR="00594888">
              <w:rPr>
                <w:rFonts w:cs="Arial"/>
                <w:bCs/>
                <w:szCs w:val="22"/>
              </w:rPr>
              <w:t>B</w:t>
            </w:r>
            <w:r w:rsidRPr="00231590">
              <w:rPr>
                <w:rFonts w:cs="Arial"/>
                <w:bCs/>
                <w:szCs w:val="22"/>
              </w:rPr>
              <w:t xml:space="preserve">uilding that is present at the site does not accord with the plans approved under planning application </w:t>
            </w:r>
            <w:r w:rsidRPr="00231590">
              <w:rPr>
                <w:rFonts w:cs="Arial"/>
                <w:szCs w:val="22"/>
              </w:rPr>
              <w:t>3/2012/0026</w:t>
            </w:r>
            <w:r w:rsidR="00FF64DF" w:rsidRPr="00231590">
              <w:rPr>
                <w:rFonts w:cs="Arial"/>
                <w:szCs w:val="22"/>
              </w:rPr>
              <w:t xml:space="preserve"> a</w:t>
            </w:r>
            <w:r w:rsidR="00514CDE" w:rsidRPr="00231590">
              <w:rPr>
                <w:rFonts w:cs="Arial"/>
                <w:szCs w:val="22"/>
              </w:rPr>
              <w:t>s</w:t>
            </w:r>
            <w:r w:rsidRPr="00231590">
              <w:rPr>
                <w:rFonts w:cs="Arial"/>
                <w:szCs w:val="22"/>
              </w:rPr>
              <w:t xml:space="preserve"> </w:t>
            </w:r>
            <w:r w:rsidR="00FF64DF" w:rsidRPr="00231590">
              <w:rPr>
                <w:rFonts w:cs="Arial"/>
                <w:szCs w:val="22"/>
              </w:rPr>
              <w:t>referenced in</w:t>
            </w:r>
            <w:r w:rsidRPr="00231590">
              <w:rPr>
                <w:rFonts w:cs="Arial"/>
                <w:szCs w:val="22"/>
              </w:rPr>
              <w:t xml:space="preserve"> </w:t>
            </w:r>
            <w:r w:rsidR="00DF22A8">
              <w:rPr>
                <w:rFonts w:cs="Arial"/>
                <w:szCs w:val="22"/>
              </w:rPr>
              <w:t>C</w:t>
            </w:r>
            <w:r w:rsidRPr="00231590">
              <w:rPr>
                <w:rFonts w:cs="Arial"/>
                <w:szCs w:val="22"/>
              </w:rPr>
              <w:t xml:space="preserve">ondition 02 of the decision notice. As set out above, the approved shooting lodge </w:t>
            </w:r>
            <w:r w:rsidRPr="00231590">
              <w:rPr>
                <w:rFonts w:cs="Arial"/>
                <w:bCs/>
                <w:szCs w:val="22"/>
              </w:rPr>
              <w:t xml:space="preserve">was to measure 8m x 5m x 3.3m in height to the ridge with a pitched roof constructed of stained timber lap boarding to the walls with a wooden shingle roof. </w:t>
            </w:r>
            <w:r w:rsidR="00514CDE" w:rsidRPr="00231590">
              <w:rPr>
                <w:rFonts w:cs="Arial"/>
                <w:bCs/>
                <w:szCs w:val="22"/>
              </w:rPr>
              <w:t xml:space="preserve">Internally the </w:t>
            </w:r>
            <w:r w:rsidR="00FA617F" w:rsidRPr="00231590">
              <w:rPr>
                <w:rFonts w:cs="Arial"/>
                <w:bCs/>
                <w:szCs w:val="22"/>
              </w:rPr>
              <w:t xml:space="preserve">approved </w:t>
            </w:r>
            <w:r w:rsidR="00594888">
              <w:rPr>
                <w:rFonts w:cs="Arial"/>
                <w:bCs/>
                <w:szCs w:val="22"/>
              </w:rPr>
              <w:t>b</w:t>
            </w:r>
            <w:r w:rsidR="00514CDE" w:rsidRPr="00231590">
              <w:rPr>
                <w:rFonts w:cs="Arial"/>
                <w:bCs/>
                <w:szCs w:val="22"/>
              </w:rPr>
              <w:t xml:space="preserve">uilding provided only a </w:t>
            </w:r>
            <w:r w:rsidR="00514CDE" w:rsidRPr="00231590">
              <w:rPr>
                <w:bCs/>
              </w:rPr>
              <w:t>single ground floor meeting</w:t>
            </w:r>
            <w:r w:rsidR="00FA617F" w:rsidRPr="00231590">
              <w:rPr>
                <w:bCs/>
              </w:rPr>
              <w:t xml:space="preserve"> room</w:t>
            </w:r>
            <w:r w:rsidR="00514CDE" w:rsidRPr="00231590">
              <w:rPr>
                <w:bCs/>
              </w:rPr>
              <w:t>.</w:t>
            </w:r>
            <w:r w:rsidR="00514CDE" w:rsidRPr="00231590">
              <w:rPr>
                <w:rFonts w:cs="Arial"/>
                <w:bCs/>
                <w:szCs w:val="22"/>
              </w:rPr>
              <w:t xml:space="preserve"> </w:t>
            </w:r>
            <w:r w:rsidRPr="00231590">
              <w:rPr>
                <w:rFonts w:cs="Arial"/>
                <w:bCs/>
                <w:szCs w:val="22"/>
              </w:rPr>
              <w:t>Th</w:t>
            </w:r>
            <w:r w:rsidR="00514CDE" w:rsidRPr="00231590">
              <w:rPr>
                <w:rFonts w:cs="Arial"/>
                <w:bCs/>
                <w:szCs w:val="22"/>
              </w:rPr>
              <w:t>e</w:t>
            </w:r>
            <w:r w:rsidRPr="00231590">
              <w:rPr>
                <w:rFonts w:cs="Arial"/>
                <w:bCs/>
                <w:szCs w:val="22"/>
              </w:rPr>
              <w:t xml:space="preserve"> </w:t>
            </w:r>
            <w:r w:rsidR="00594888">
              <w:rPr>
                <w:rFonts w:cs="Arial"/>
                <w:bCs/>
                <w:szCs w:val="22"/>
              </w:rPr>
              <w:t>Building</w:t>
            </w:r>
            <w:r w:rsidR="00DD5591" w:rsidRPr="00231590">
              <w:rPr>
                <w:rFonts w:cs="Arial"/>
                <w:bCs/>
                <w:szCs w:val="22"/>
              </w:rPr>
              <w:t xml:space="preserve"> </w:t>
            </w:r>
            <w:r w:rsidR="00514CDE" w:rsidRPr="00231590">
              <w:rPr>
                <w:rFonts w:cs="Arial"/>
                <w:bCs/>
                <w:szCs w:val="22"/>
              </w:rPr>
              <w:t>that has been constructed at the site</w:t>
            </w:r>
            <w:r w:rsidRPr="00231590">
              <w:rPr>
                <w:rFonts w:cs="Arial"/>
                <w:bCs/>
                <w:szCs w:val="22"/>
              </w:rPr>
              <w:t xml:space="preserve"> has a slate roof and is </w:t>
            </w:r>
            <w:r w:rsidR="00514CDE" w:rsidRPr="00231590">
              <w:rPr>
                <w:rFonts w:cs="Arial"/>
                <w:bCs/>
                <w:szCs w:val="22"/>
              </w:rPr>
              <w:t>notably higher</w:t>
            </w:r>
            <w:r w:rsidRPr="00231590">
              <w:rPr>
                <w:rFonts w:cs="Arial"/>
                <w:bCs/>
                <w:szCs w:val="22"/>
              </w:rPr>
              <w:t xml:space="preserve"> than the approved building</w:t>
            </w:r>
            <w:r w:rsidR="00514CDE" w:rsidRPr="00231590">
              <w:rPr>
                <w:rFonts w:cs="Arial"/>
                <w:bCs/>
                <w:szCs w:val="22"/>
              </w:rPr>
              <w:t xml:space="preserve"> </w:t>
            </w:r>
            <w:r w:rsidR="001D51C1">
              <w:rPr>
                <w:rFonts w:cs="Arial"/>
                <w:bCs/>
                <w:szCs w:val="22"/>
              </w:rPr>
              <w:t>with a ridge height of 5 metres</w:t>
            </w:r>
            <w:r w:rsidRPr="00231590">
              <w:rPr>
                <w:rFonts w:cs="Arial"/>
                <w:bCs/>
                <w:szCs w:val="22"/>
              </w:rPr>
              <w:t>. The fenestration details fail to accor</w:t>
            </w:r>
            <w:r w:rsidR="0007772A" w:rsidRPr="00231590">
              <w:rPr>
                <w:rFonts w:cs="Arial"/>
                <w:bCs/>
                <w:szCs w:val="22"/>
              </w:rPr>
              <w:t xml:space="preserve">d with the </w:t>
            </w:r>
            <w:r w:rsidR="00514CDE" w:rsidRPr="00231590">
              <w:rPr>
                <w:rFonts w:cs="Arial"/>
                <w:bCs/>
                <w:szCs w:val="22"/>
              </w:rPr>
              <w:t xml:space="preserve">approved </w:t>
            </w:r>
            <w:r w:rsidR="0007772A" w:rsidRPr="00231590">
              <w:rPr>
                <w:rFonts w:cs="Arial"/>
                <w:bCs/>
                <w:szCs w:val="22"/>
              </w:rPr>
              <w:t xml:space="preserve">development and the </w:t>
            </w:r>
            <w:r w:rsidR="00A7643B" w:rsidRPr="00231590">
              <w:rPr>
                <w:rFonts w:cs="Arial"/>
                <w:bCs/>
                <w:szCs w:val="22"/>
              </w:rPr>
              <w:t xml:space="preserve">internal layout of the </w:t>
            </w:r>
            <w:r w:rsidR="00594888">
              <w:rPr>
                <w:rFonts w:cs="Arial"/>
                <w:bCs/>
                <w:szCs w:val="22"/>
              </w:rPr>
              <w:t>B</w:t>
            </w:r>
            <w:r w:rsidR="00A7643B" w:rsidRPr="00231590">
              <w:rPr>
                <w:rFonts w:cs="Arial"/>
                <w:bCs/>
                <w:szCs w:val="22"/>
              </w:rPr>
              <w:t>uilding provides</w:t>
            </w:r>
            <w:r w:rsidR="0007772A" w:rsidRPr="00231590">
              <w:rPr>
                <w:rFonts w:cs="Arial"/>
                <w:bCs/>
                <w:szCs w:val="22"/>
              </w:rPr>
              <w:t xml:space="preserve"> </w:t>
            </w:r>
            <w:r w:rsidR="00514CDE" w:rsidRPr="00231590">
              <w:rPr>
                <w:rFonts w:cs="Arial"/>
                <w:bCs/>
                <w:szCs w:val="22"/>
              </w:rPr>
              <w:t>a</w:t>
            </w:r>
            <w:r w:rsidR="0007772A" w:rsidRPr="00231590">
              <w:rPr>
                <w:rFonts w:cs="Arial"/>
                <w:bCs/>
                <w:szCs w:val="22"/>
              </w:rPr>
              <w:t xml:space="preserve"> </w:t>
            </w:r>
            <w:r w:rsidR="00D915CB" w:rsidRPr="00231590">
              <w:rPr>
                <w:rFonts w:cs="Arial"/>
                <w:bCs/>
                <w:szCs w:val="22"/>
              </w:rPr>
              <w:t>first-floor</w:t>
            </w:r>
            <w:r w:rsidR="00514CDE" w:rsidRPr="00231590">
              <w:rPr>
                <w:rFonts w:cs="Arial"/>
                <w:bCs/>
                <w:szCs w:val="22"/>
              </w:rPr>
              <w:t xml:space="preserve"> level</w:t>
            </w:r>
            <w:r w:rsidR="0007772A" w:rsidRPr="00231590">
              <w:rPr>
                <w:rFonts w:cs="Arial"/>
                <w:bCs/>
                <w:szCs w:val="22"/>
              </w:rPr>
              <w:t xml:space="preserve">. </w:t>
            </w:r>
          </w:p>
          <w:p w:rsidR="00341674" w:rsidRPr="00231590" w:rsidRDefault="00341674" w:rsidP="00D41D62">
            <w:pPr>
              <w:contextualSpacing/>
              <w:jc w:val="both"/>
              <w:rPr>
                <w:rFonts w:cs="Arial"/>
                <w:bCs/>
                <w:szCs w:val="22"/>
              </w:rPr>
            </w:pPr>
          </w:p>
          <w:p w:rsidR="00DF22A8" w:rsidRDefault="00266AD4" w:rsidP="00D41D62">
            <w:pPr>
              <w:contextualSpacing/>
              <w:jc w:val="both"/>
              <w:rPr>
                <w:rFonts w:cs="Arial"/>
                <w:strike/>
                <w:color w:val="FF0000"/>
                <w:szCs w:val="22"/>
              </w:rPr>
            </w:pPr>
            <w:r w:rsidRPr="00231590">
              <w:rPr>
                <w:rFonts w:cs="Arial"/>
                <w:bCs/>
                <w:szCs w:val="22"/>
              </w:rPr>
              <w:t>If</w:t>
            </w:r>
            <w:r w:rsidR="00231590" w:rsidRPr="00231590">
              <w:rPr>
                <w:rFonts w:cs="Arial"/>
                <w:bCs/>
                <w:szCs w:val="22"/>
              </w:rPr>
              <w:t xml:space="preserve"> deemed to be an implementation of planning application </w:t>
            </w:r>
            <w:r w:rsidR="00231590" w:rsidRPr="00231590">
              <w:rPr>
                <w:rFonts w:cs="Arial"/>
                <w:szCs w:val="22"/>
              </w:rPr>
              <w:t xml:space="preserve">3/2012/0026 the </w:t>
            </w:r>
            <w:r w:rsidR="00594888">
              <w:rPr>
                <w:rFonts w:cs="Arial"/>
                <w:szCs w:val="22"/>
              </w:rPr>
              <w:t>B</w:t>
            </w:r>
            <w:r w:rsidR="00231590" w:rsidRPr="00231590">
              <w:rPr>
                <w:rFonts w:cs="Arial"/>
                <w:szCs w:val="22"/>
              </w:rPr>
              <w:t>uilding</w:t>
            </w:r>
            <w:r w:rsidR="0007772A" w:rsidRPr="00231590">
              <w:rPr>
                <w:rFonts w:cs="Arial"/>
                <w:bCs/>
                <w:szCs w:val="22"/>
              </w:rPr>
              <w:t xml:space="preserve"> </w:t>
            </w:r>
            <w:r w:rsidR="00231590" w:rsidRPr="00231590">
              <w:rPr>
                <w:rFonts w:cs="Arial"/>
                <w:bCs/>
                <w:szCs w:val="22"/>
              </w:rPr>
              <w:t>would be</w:t>
            </w:r>
            <w:r w:rsidR="0007772A" w:rsidRPr="00231590">
              <w:rPr>
                <w:rFonts w:cs="Arial"/>
                <w:bCs/>
                <w:szCs w:val="22"/>
              </w:rPr>
              <w:t xml:space="preserve"> in breach of </w:t>
            </w:r>
            <w:r w:rsidR="00DF22A8">
              <w:rPr>
                <w:rFonts w:cs="Arial"/>
                <w:bCs/>
                <w:szCs w:val="22"/>
              </w:rPr>
              <w:t>C</w:t>
            </w:r>
            <w:r w:rsidR="0007772A" w:rsidRPr="00231590">
              <w:rPr>
                <w:rFonts w:cs="Arial"/>
                <w:bCs/>
                <w:szCs w:val="22"/>
              </w:rPr>
              <w:t>ondition 02</w:t>
            </w:r>
            <w:r w:rsidR="00A56FB8" w:rsidRPr="00231590">
              <w:rPr>
                <w:rFonts w:cs="Arial"/>
                <w:bCs/>
                <w:szCs w:val="22"/>
              </w:rPr>
              <w:t xml:space="preserve"> of planning application </w:t>
            </w:r>
            <w:r w:rsidR="00A56FB8" w:rsidRPr="00231590">
              <w:rPr>
                <w:rFonts w:cs="Arial"/>
                <w:szCs w:val="22"/>
              </w:rPr>
              <w:t>3/2012/0026</w:t>
            </w:r>
            <w:r w:rsidR="0007772A" w:rsidRPr="00231590">
              <w:rPr>
                <w:rFonts w:cs="Arial"/>
                <w:bCs/>
                <w:szCs w:val="22"/>
              </w:rPr>
              <w:t xml:space="preserve">. </w:t>
            </w:r>
            <w:r w:rsidR="0007772A" w:rsidRPr="00231590">
              <w:rPr>
                <w:rFonts w:cs="Arial"/>
                <w:szCs w:val="22"/>
              </w:rPr>
              <w:t>Section 171B(3) provides that no enforcement action can be taken against (among other cases) a breach of a planning condition after the end of the period of ten years from the date on which the breach first occurred.</w:t>
            </w:r>
            <w:r w:rsidR="00DF22A8">
              <w:rPr>
                <w:rFonts w:cs="Arial"/>
                <w:szCs w:val="22"/>
              </w:rPr>
              <w:t xml:space="preserve"> The </w:t>
            </w:r>
            <w:r w:rsidR="00594888">
              <w:rPr>
                <w:rFonts w:cs="Arial"/>
                <w:szCs w:val="22"/>
              </w:rPr>
              <w:t>B</w:t>
            </w:r>
            <w:r w:rsidR="00DF22A8">
              <w:rPr>
                <w:rFonts w:cs="Arial"/>
                <w:szCs w:val="22"/>
              </w:rPr>
              <w:t>uilding is in breach of Condition 02 and could be the subject of a BCN.</w:t>
            </w:r>
            <w:r w:rsidR="00427B02">
              <w:rPr>
                <w:rFonts w:cs="Arial"/>
                <w:szCs w:val="22"/>
              </w:rPr>
              <w:t xml:space="preserve"> It is however immune from an enforcement notice under s.171B(1).</w:t>
            </w:r>
          </w:p>
          <w:p w:rsidR="00231590" w:rsidRPr="00231590" w:rsidRDefault="00DF22A8" w:rsidP="00D41D62">
            <w:pPr>
              <w:contextualSpacing/>
              <w:jc w:val="both"/>
              <w:rPr>
                <w:rFonts w:cs="Arial"/>
                <w:szCs w:val="22"/>
              </w:rPr>
            </w:pPr>
            <w:r w:rsidRPr="00231590">
              <w:rPr>
                <w:rFonts w:cs="Arial"/>
                <w:szCs w:val="22"/>
              </w:rPr>
              <w:t xml:space="preserve"> </w:t>
            </w:r>
          </w:p>
          <w:p w:rsidR="00514CDE" w:rsidRPr="00231590" w:rsidRDefault="00AA5F52" w:rsidP="00514CDE">
            <w:pPr>
              <w:contextualSpacing/>
              <w:jc w:val="both"/>
              <w:rPr>
                <w:rFonts w:cs="Arial"/>
                <w:szCs w:val="22"/>
              </w:rPr>
            </w:pPr>
            <w:r w:rsidRPr="00231590">
              <w:rPr>
                <w:rFonts w:cs="Arial"/>
                <w:szCs w:val="22"/>
              </w:rPr>
              <w:t xml:space="preserve">The date of the erection of the </w:t>
            </w:r>
            <w:r w:rsidR="00594888">
              <w:rPr>
                <w:rFonts w:cs="Arial"/>
                <w:szCs w:val="22"/>
              </w:rPr>
              <w:t>B</w:t>
            </w:r>
            <w:r w:rsidRPr="00231590">
              <w:rPr>
                <w:rFonts w:cs="Arial"/>
                <w:szCs w:val="22"/>
              </w:rPr>
              <w:t xml:space="preserve">uilding provided within the evidence is imprecise and as such the local authority is unable to determine the exact timing of its substantial completion between the approval of </w:t>
            </w:r>
            <w:r w:rsidRPr="00231590">
              <w:rPr>
                <w:rFonts w:cs="Arial"/>
                <w:bCs/>
                <w:szCs w:val="22"/>
              </w:rPr>
              <w:t xml:space="preserve">planning application </w:t>
            </w:r>
            <w:r w:rsidRPr="00231590">
              <w:rPr>
                <w:rFonts w:cs="Arial"/>
                <w:szCs w:val="22"/>
              </w:rPr>
              <w:t>3/2012/0026 on 6 March 2012 and the first use of the building on 4 May 2013.</w:t>
            </w:r>
            <w:r w:rsidR="001B6CAA">
              <w:rPr>
                <w:rFonts w:cs="Arial"/>
                <w:szCs w:val="22"/>
              </w:rPr>
              <w:t xml:space="preserve"> </w:t>
            </w:r>
            <w:r w:rsidR="00514CDE" w:rsidRPr="00231590">
              <w:rPr>
                <w:rFonts w:cs="Arial"/>
                <w:szCs w:val="22"/>
              </w:rPr>
              <w:t xml:space="preserve">It is noted within the evidence that the </w:t>
            </w:r>
            <w:r w:rsidR="00594888">
              <w:rPr>
                <w:rFonts w:cs="Arial"/>
                <w:szCs w:val="22"/>
              </w:rPr>
              <w:t>B</w:t>
            </w:r>
            <w:r w:rsidR="00514CDE" w:rsidRPr="00231590">
              <w:rPr>
                <w:rFonts w:cs="Arial"/>
                <w:szCs w:val="22"/>
              </w:rPr>
              <w:t xml:space="preserve">uilding was used for </w:t>
            </w:r>
            <w:r w:rsidRPr="00231590">
              <w:rPr>
                <w:rFonts w:cs="Arial"/>
                <w:szCs w:val="22"/>
              </w:rPr>
              <w:t xml:space="preserve">shoot </w:t>
            </w:r>
            <w:r w:rsidR="00514CDE" w:rsidRPr="00231590">
              <w:rPr>
                <w:rFonts w:cs="Arial"/>
                <w:szCs w:val="22"/>
              </w:rPr>
              <w:t xml:space="preserve">meetings on only two occasions on 4 and 11 May 2013. Further submissions also state that the </w:t>
            </w:r>
            <w:r w:rsidR="00594888">
              <w:rPr>
                <w:rFonts w:cs="Arial"/>
                <w:szCs w:val="22"/>
              </w:rPr>
              <w:t>B</w:t>
            </w:r>
            <w:r w:rsidR="00514CDE" w:rsidRPr="00231590">
              <w:rPr>
                <w:rFonts w:cs="Arial"/>
                <w:szCs w:val="22"/>
              </w:rPr>
              <w:t>uilding was used for overnight stays by Mr Morgan, the shoot captain, when deerstalking and in relation to anti-poaching activities.</w:t>
            </w:r>
          </w:p>
          <w:p w:rsidR="00514CDE" w:rsidRPr="00231590" w:rsidRDefault="00514CDE" w:rsidP="00C23C75">
            <w:pPr>
              <w:contextualSpacing/>
              <w:jc w:val="both"/>
              <w:rPr>
                <w:rFonts w:cs="Arial"/>
                <w:bCs/>
                <w:szCs w:val="22"/>
              </w:rPr>
            </w:pPr>
          </w:p>
          <w:p w:rsidR="0039738C" w:rsidRPr="00231590" w:rsidRDefault="00514CDE" w:rsidP="0039738C">
            <w:pPr>
              <w:contextualSpacing/>
              <w:jc w:val="both"/>
              <w:rPr>
                <w:rFonts w:cs="Arial"/>
                <w:bCs/>
                <w:szCs w:val="22"/>
              </w:rPr>
            </w:pPr>
            <w:r w:rsidRPr="00231590">
              <w:rPr>
                <w:rFonts w:cs="Arial"/>
                <w:szCs w:val="22"/>
              </w:rPr>
              <w:t xml:space="preserve">On 18 May 2013, one week after the second and last shoot meeting, the </w:t>
            </w:r>
            <w:r w:rsidR="00594888">
              <w:rPr>
                <w:rFonts w:cs="Arial"/>
                <w:szCs w:val="22"/>
              </w:rPr>
              <w:t>Building</w:t>
            </w:r>
            <w:r w:rsidRPr="00231590">
              <w:rPr>
                <w:rFonts w:cs="Arial"/>
                <w:szCs w:val="22"/>
              </w:rPr>
              <w:t xml:space="preserve"> was occupied as a dwellinghouse by Mr Wilkinson’s</w:t>
            </w:r>
            <w:r w:rsidR="001B6CAA">
              <w:rPr>
                <w:rFonts w:cs="Arial"/>
                <w:szCs w:val="22"/>
              </w:rPr>
              <w:t xml:space="preserve"> </w:t>
            </w:r>
            <w:r w:rsidRPr="00231590">
              <w:rPr>
                <w:rFonts w:cs="Arial"/>
                <w:szCs w:val="22"/>
              </w:rPr>
              <w:t>daughter and her then boyfriend</w:t>
            </w:r>
            <w:r w:rsidR="0039738C" w:rsidRPr="00231590">
              <w:rPr>
                <w:rFonts w:cs="Arial"/>
                <w:szCs w:val="22"/>
              </w:rPr>
              <w:t xml:space="preserve">, </w:t>
            </w:r>
            <w:r w:rsidR="0039738C" w:rsidRPr="00231590">
              <w:rPr>
                <w:rFonts w:cs="Arial"/>
                <w:bCs/>
                <w:szCs w:val="22"/>
              </w:rPr>
              <w:t xml:space="preserve">now husband, until 31 January 2016. The applicant, Mr John Wilkinson, then resided in the </w:t>
            </w:r>
            <w:r w:rsidR="00594888">
              <w:rPr>
                <w:rFonts w:cs="Arial"/>
                <w:bCs/>
                <w:szCs w:val="22"/>
              </w:rPr>
              <w:t>Building</w:t>
            </w:r>
            <w:r w:rsidR="0039738C" w:rsidRPr="00231590">
              <w:rPr>
                <w:rFonts w:cs="Arial"/>
                <w:bCs/>
                <w:szCs w:val="22"/>
              </w:rPr>
              <w:t xml:space="preserve"> as his principal dwelling from 31 January 2016 until 22 December 2018. Since then the</w:t>
            </w:r>
            <w:r w:rsidR="00594888">
              <w:rPr>
                <w:rFonts w:cs="Arial"/>
                <w:bCs/>
                <w:szCs w:val="22"/>
              </w:rPr>
              <w:t xml:space="preserve"> Building</w:t>
            </w:r>
            <w:r w:rsidR="0039738C" w:rsidRPr="00231590">
              <w:rPr>
                <w:rFonts w:cs="Arial"/>
                <w:bCs/>
                <w:szCs w:val="22"/>
              </w:rPr>
              <w:t xml:space="preserve"> has been promoted as a holiday cottage</w:t>
            </w:r>
            <w:r w:rsidR="00015C2B">
              <w:rPr>
                <w:rFonts w:cs="Arial"/>
                <w:bCs/>
                <w:szCs w:val="22"/>
              </w:rPr>
              <w:t xml:space="preserve">, considered by the applicant to </w:t>
            </w:r>
            <w:r w:rsidR="00F10F9B">
              <w:rPr>
                <w:rFonts w:cs="Arial"/>
                <w:bCs/>
                <w:szCs w:val="22"/>
              </w:rPr>
              <w:t>constitute a continuation of the residential (C3(a)) use.</w:t>
            </w:r>
          </w:p>
          <w:p w:rsidR="0039738C" w:rsidRPr="00231590" w:rsidRDefault="0039738C" w:rsidP="0039738C">
            <w:pPr>
              <w:contextualSpacing/>
              <w:jc w:val="both"/>
              <w:rPr>
                <w:rFonts w:cs="Arial"/>
                <w:bCs/>
                <w:szCs w:val="22"/>
              </w:rPr>
            </w:pPr>
          </w:p>
          <w:p w:rsidR="00DF22A8" w:rsidRDefault="0039738C" w:rsidP="003F0E15">
            <w:pPr>
              <w:contextualSpacing/>
              <w:jc w:val="both"/>
              <w:rPr>
                <w:rFonts w:cs="Arial"/>
                <w:szCs w:val="22"/>
              </w:rPr>
            </w:pPr>
            <w:r w:rsidRPr="00231590">
              <w:rPr>
                <w:rFonts w:cs="Arial"/>
                <w:bCs/>
                <w:szCs w:val="22"/>
              </w:rPr>
              <w:t>In support of the above, evidence has been submitted in the form of eight statutory declarations from the applicant and his daughter along with six other individuals who confirm the above to be true.</w:t>
            </w:r>
            <w:r w:rsidR="003F0E15">
              <w:rPr>
                <w:rFonts w:cs="Arial"/>
                <w:bCs/>
                <w:szCs w:val="22"/>
              </w:rPr>
              <w:t xml:space="preserve"> </w:t>
            </w:r>
            <w:r w:rsidR="003F0E15">
              <w:rPr>
                <w:rFonts w:cs="Arial"/>
                <w:szCs w:val="22"/>
              </w:rPr>
              <w:t xml:space="preserve">The letter from GHA dated 18 November </w:t>
            </w:r>
            <w:r w:rsidR="00924267">
              <w:rPr>
                <w:rFonts w:cs="Arial"/>
                <w:szCs w:val="22"/>
              </w:rPr>
              <w:t xml:space="preserve">2019 </w:t>
            </w:r>
            <w:r w:rsidR="003F0E15">
              <w:rPr>
                <w:rFonts w:cs="Arial"/>
                <w:szCs w:val="22"/>
              </w:rPr>
              <w:t>state</w:t>
            </w:r>
            <w:r w:rsidR="00924267">
              <w:rPr>
                <w:rFonts w:cs="Arial"/>
                <w:szCs w:val="22"/>
              </w:rPr>
              <w:t>s</w:t>
            </w:r>
            <w:r w:rsidR="003F0E15">
              <w:rPr>
                <w:rFonts w:cs="Arial"/>
                <w:szCs w:val="22"/>
              </w:rPr>
              <w:t xml:space="preserve"> that it was the genuine intention to use the </w:t>
            </w:r>
            <w:r w:rsidR="00594888">
              <w:rPr>
                <w:rFonts w:cs="Arial"/>
                <w:szCs w:val="22"/>
              </w:rPr>
              <w:t>Building</w:t>
            </w:r>
            <w:r w:rsidR="003F0E15">
              <w:rPr>
                <w:rFonts w:cs="Arial"/>
                <w:szCs w:val="22"/>
              </w:rPr>
              <w:t xml:space="preserve"> for its approved use</w:t>
            </w:r>
            <w:r w:rsidR="00594888">
              <w:rPr>
                <w:rFonts w:cs="Arial"/>
                <w:szCs w:val="22"/>
              </w:rPr>
              <w:t xml:space="preserve"> as a shoot lodge</w:t>
            </w:r>
            <w:r w:rsidR="003F0E15">
              <w:rPr>
                <w:rFonts w:cs="Arial"/>
                <w:szCs w:val="22"/>
              </w:rPr>
              <w:t xml:space="preserve"> and it was only as a consequence of a series of changed circumstances that the </w:t>
            </w:r>
            <w:r w:rsidR="00594888">
              <w:rPr>
                <w:rFonts w:cs="Arial"/>
                <w:szCs w:val="22"/>
              </w:rPr>
              <w:t>B</w:t>
            </w:r>
            <w:r w:rsidR="003F0E15">
              <w:rPr>
                <w:rFonts w:cs="Arial"/>
                <w:szCs w:val="22"/>
              </w:rPr>
              <w:t xml:space="preserve">uilding was subsequently used as a dwelling. </w:t>
            </w:r>
          </w:p>
          <w:p w:rsidR="00DF22A8" w:rsidRDefault="00DF22A8" w:rsidP="003F0E15">
            <w:pPr>
              <w:contextualSpacing/>
              <w:jc w:val="both"/>
              <w:rPr>
                <w:rFonts w:cs="Arial"/>
                <w:szCs w:val="22"/>
              </w:rPr>
            </w:pPr>
          </w:p>
          <w:p w:rsidR="00DF22A8" w:rsidRDefault="003F0E15" w:rsidP="003F0E15">
            <w:pPr>
              <w:contextualSpacing/>
              <w:jc w:val="both"/>
              <w:rPr>
                <w:rFonts w:cs="Arial"/>
                <w:szCs w:val="22"/>
              </w:rPr>
            </w:pPr>
            <w:r>
              <w:rPr>
                <w:rFonts w:cs="Arial"/>
                <w:szCs w:val="22"/>
              </w:rPr>
              <w:t xml:space="preserve">It was Mr Morgan that applied to erect the </w:t>
            </w:r>
            <w:r w:rsidR="00594888">
              <w:rPr>
                <w:rFonts w:cs="Arial"/>
                <w:szCs w:val="22"/>
              </w:rPr>
              <w:t>Building</w:t>
            </w:r>
            <w:r>
              <w:rPr>
                <w:rFonts w:cs="Arial"/>
                <w:szCs w:val="22"/>
              </w:rPr>
              <w:t xml:space="preserve"> as Captain of the Lower Stonyhurst Shoot and at the time the land was owned by Stonyhurst Estate. </w:t>
            </w:r>
            <w:r w:rsidR="00DA3765">
              <w:rPr>
                <w:rFonts w:cs="Arial"/>
                <w:szCs w:val="22"/>
              </w:rPr>
              <w:t>A</w:t>
            </w:r>
            <w:r>
              <w:rPr>
                <w:rFonts w:cs="Arial"/>
                <w:szCs w:val="22"/>
              </w:rPr>
              <w:t xml:space="preserve"> subsequent change in circumstances resulted in Mr Wilkinson acquiring the land and it is argued that Mr Wilkinson would not have anticipated any personal gain.</w:t>
            </w:r>
            <w:r w:rsidR="00924267">
              <w:rPr>
                <w:rFonts w:cs="Arial"/>
                <w:szCs w:val="22"/>
              </w:rPr>
              <w:t xml:space="preserve"> </w:t>
            </w:r>
          </w:p>
          <w:p w:rsidR="00DF22A8" w:rsidRDefault="00DF22A8" w:rsidP="003F0E15">
            <w:pPr>
              <w:contextualSpacing/>
              <w:jc w:val="both"/>
              <w:rPr>
                <w:rFonts w:cs="Arial"/>
                <w:szCs w:val="22"/>
              </w:rPr>
            </w:pPr>
          </w:p>
          <w:p w:rsidR="003F0E15" w:rsidRPr="00231590" w:rsidRDefault="00DA3765" w:rsidP="003F0E15">
            <w:pPr>
              <w:contextualSpacing/>
              <w:jc w:val="both"/>
              <w:rPr>
                <w:rFonts w:cs="Arial"/>
                <w:szCs w:val="22"/>
              </w:rPr>
            </w:pPr>
            <w:r>
              <w:rPr>
                <w:rFonts w:cs="Arial"/>
                <w:szCs w:val="22"/>
              </w:rPr>
              <w:t xml:space="preserve">The statutory declaration of Mr Brett Morgan, Captain of the Lower Stonyhurst Shoot, states that at the time the </w:t>
            </w:r>
            <w:r w:rsidR="00594888">
              <w:rPr>
                <w:rFonts w:cs="Arial"/>
                <w:szCs w:val="22"/>
              </w:rPr>
              <w:t>Building</w:t>
            </w:r>
            <w:r>
              <w:rPr>
                <w:rFonts w:cs="Arial"/>
                <w:szCs w:val="22"/>
              </w:rPr>
              <w:t xml:space="preserve"> was built and came into use, Stonyhurst Estate started speaking </w:t>
            </w:r>
            <w:r>
              <w:rPr>
                <w:rFonts w:cs="Arial"/>
                <w:szCs w:val="22"/>
              </w:rPr>
              <w:lastRenderedPageBreak/>
              <w:t xml:space="preserve">to a number of their tenants about the sale of their farms and this resulted in the Lower Stonyhurst Shoot using a building at Winckley Piggeries instead of the </w:t>
            </w:r>
            <w:r w:rsidR="00594888">
              <w:rPr>
                <w:rFonts w:cs="Arial"/>
                <w:szCs w:val="22"/>
              </w:rPr>
              <w:t>Building</w:t>
            </w:r>
            <w:r>
              <w:rPr>
                <w:rFonts w:cs="Arial"/>
                <w:szCs w:val="22"/>
              </w:rPr>
              <w:t xml:space="preserve"> for all of their meetings since 11 May 2013. </w:t>
            </w:r>
            <w:r w:rsidR="001B6CAA">
              <w:rPr>
                <w:rFonts w:cs="Arial"/>
                <w:szCs w:val="22"/>
              </w:rPr>
              <w:t>L</w:t>
            </w:r>
            <w:r w:rsidR="00924267">
              <w:rPr>
                <w:rFonts w:cs="Arial"/>
                <w:szCs w:val="22"/>
              </w:rPr>
              <w:t xml:space="preserve">and registry records show that the land on which the </w:t>
            </w:r>
            <w:r w:rsidR="00594888">
              <w:rPr>
                <w:rFonts w:cs="Arial"/>
                <w:szCs w:val="22"/>
              </w:rPr>
              <w:t>Building</w:t>
            </w:r>
            <w:r w:rsidR="00924267">
              <w:rPr>
                <w:rFonts w:cs="Arial"/>
                <w:szCs w:val="22"/>
              </w:rPr>
              <w:t xml:space="preserve"> is sited was acquired by Mr Wilkinson on 27 November 2015, over 18 months after </w:t>
            </w:r>
            <w:r w:rsidR="00924267" w:rsidRPr="00231590">
              <w:rPr>
                <w:rFonts w:cs="Arial"/>
                <w:szCs w:val="22"/>
              </w:rPr>
              <w:t xml:space="preserve">the </w:t>
            </w:r>
            <w:r w:rsidR="00594888">
              <w:rPr>
                <w:rFonts w:cs="Arial"/>
                <w:szCs w:val="22"/>
              </w:rPr>
              <w:t>Building</w:t>
            </w:r>
            <w:r w:rsidR="00924267" w:rsidRPr="00231590">
              <w:rPr>
                <w:rFonts w:cs="Arial"/>
                <w:szCs w:val="22"/>
              </w:rPr>
              <w:t xml:space="preserve"> was </w:t>
            </w:r>
            <w:r w:rsidR="005A742C">
              <w:rPr>
                <w:rFonts w:cs="Arial"/>
                <w:szCs w:val="22"/>
              </w:rPr>
              <w:t xml:space="preserve">allegedly </w:t>
            </w:r>
            <w:r w:rsidR="00924267" w:rsidRPr="00231590">
              <w:rPr>
                <w:rFonts w:cs="Arial"/>
                <w:szCs w:val="22"/>
              </w:rPr>
              <w:t>first occupied as a dwellinghouse</w:t>
            </w:r>
            <w:r w:rsidR="001B6CAA">
              <w:rPr>
                <w:rFonts w:cs="Arial"/>
                <w:szCs w:val="22"/>
              </w:rPr>
              <w:t xml:space="preserve"> by Mr Wikinson’s daughter</w:t>
            </w:r>
            <w:r w:rsidR="00924267">
              <w:rPr>
                <w:rFonts w:cs="Arial"/>
                <w:szCs w:val="22"/>
              </w:rPr>
              <w:t>.</w:t>
            </w:r>
          </w:p>
          <w:p w:rsidR="0039738C" w:rsidRDefault="0039738C" w:rsidP="00514CDE">
            <w:pPr>
              <w:contextualSpacing/>
              <w:jc w:val="both"/>
              <w:rPr>
                <w:rFonts w:cs="Arial"/>
                <w:szCs w:val="22"/>
              </w:rPr>
            </w:pPr>
          </w:p>
          <w:p w:rsidR="004E1A24" w:rsidRPr="00231590" w:rsidRDefault="004E1A24" w:rsidP="004E1A24">
            <w:pPr>
              <w:pStyle w:val="p12"/>
              <w:shd w:val="clear" w:color="auto" w:fill="FFFFFF"/>
              <w:spacing w:before="0" w:beforeAutospacing="0" w:after="0" w:afterAutospacing="0"/>
              <w:jc w:val="both"/>
              <w:rPr>
                <w:rStyle w:val="c0"/>
                <w:rFonts w:ascii="Arial" w:hAnsi="Arial" w:cs="Arial"/>
                <w:bCs/>
                <w:i/>
                <w:sz w:val="22"/>
                <w:szCs w:val="22"/>
                <w:lang w:val="en"/>
              </w:rPr>
            </w:pPr>
            <w:r w:rsidRPr="00231590">
              <w:rPr>
                <w:rStyle w:val="c0"/>
                <w:rFonts w:ascii="Arial" w:hAnsi="Arial" w:cs="Arial"/>
                <w:bCs/>
                <w:sz w:val="22"/>
                <w:szCs w:val="22"/>
                <w:lang w:val="en"/>
              </w:rPr>
              <w:t>S171B(2) TCPA provides:</w:t>
            </w:r>
            <w:r w:rsidRPr="00231590">
              <w:rPr>
                <w:rFonts w:ascii="Arial" w:hAnsi="Arial" w:cs="Arial"/>
                <w:bCs/>
                <w:sz w:val="22"/>
                <w:szCs w:val="22"/>
                <w:lang w:val="en"/>
              </w:rPr>
              <w:t xml:space="preserve"> </w:t>
            </w:r>
            <w:r w:rsidRPr="00231590">
              <w:rPr>
                <w:rStyle w:val="c0"/>
                <w:rFonts w:ascii="Arial" w:hAnsi="Arial" w:cs="Arial"/>
                <w:bCs/>
                <w:sz w:val="22"/>
                <w:szCs w:val="22"/>
                <w:lang w:val="en"/>
              </w:rPr>
              <w:t>“Where there has been a breach of planning control consisting in the change of use of any building to use as a single dwellinghouse, no enforcement action may be taken after the end of the period of four years beginning with the date of the breach.”</w:t>
            </w:r>
          </w:p>
          <w:p w:rsidR="004E1A24" w:rsidRPr="00231590" w:rsidRDefault="004E1A24" w:rsidP="004E1A24">
            <w:pPr>
              <w:pStyle w:val="p12"/>
              <w:shd w:val="clear" w:color="auto" w:fill="FFFFFF"/>
              <w:spacing w:before="0" w:beforeAutospacing="0" w:after="0" w:afterAutospacing="0"/>
              <w:jc w:val="both"/>
              <w:rPr>
                <w:rFonts w:ascii="Arial" w:hAnsi="Arial" w:cs="Arial"/>
                <w:bCs/>
                <w:sz w:val="22"/>
                <w:szCs w:val="22"/>
                <w:lang w:val="en"/>
              </w:rPr>
            </w:pPr>
          </w:p>
          <w:p w:rsidR="004E1A24" w:rsidRPr="00231590" w:rsidRDefault="004E1A24" w:rsidP="004E1A24">
            <w:pPr>
              <w:pStyle w:val="p16"/>
              <w:shd w:val="clear" w:color="auto" w:fill="FFFFFF"/>
              <w:spacing w:before="0" w:beforeAutospacing="0" w:after="0" w:afterAutospacing="0"/>
              <w:jc w:val="both"/>
              <w:rPr>
                <w:rStyle w:val="c0"/>
                <w:rFonts w:ascii="Arial" w:hAnsi="Arial" w:cs="Arial"/>
                <w:bCs/>
                <w:sz w:val="22"/>
                <w:szCs w:val="22"/>
                <w:lang w:val="en"/>
              </w:rPr>
            </w:pPr>
            <w:r w:rsidRPr="00231590">
              <w:rPr>
                <w:rStyle w:val="c0"/>
                <w:rFonts w:ascii="Arial" w:hAnsi="Arial" w:cs="Arial"/>
                <w:bCs/>
                <w:sz w:val="22"/>
                <w:szCs w:val="22"/>
                <w:lang w:val="en"/>
              </w:rPr>
              <w:t xml:space="preserve">Where a property has been built as a dwelling, there has not been a change of use of the building; it was specifically built as a dwelling. S171B(2) specifically refers to the change of use of a building, not of the land. Also, the section refers to a ‘change of use’, not a ‘use’ of any building as a dwellinghouse. Should it therefore be considered that the </w:t>
            </w:r>
            <w:r w:rsidR="00594888">
              <w:rPr>
                <w:rStyle w:val="c0"/>
                <w:rFonts w:ascii="Arial" w:hAnsi="Arial" w:cs="Arial"/>
                <w:bCs/>
                <w:sz w:val="22"/>
                <w:szCs w:val="22"/>
                <w:lang w:val="en"/>
              </w:rPr>
              <w:t>B</w:t>
            </w:r>
            <w:r w:rsidRPr="00231590">
              <w:rPr>
                <w:rStyle w:val="c0"/>
                <w:rFonts w:ascii="Arial" w:hAnsi="Arial" w:cs="Arial"/>
                <w:bCs/>
                <w:sz w:val="22"/>
                <w:szCs w:val="22"/>
                <w:lang w:val="en"/>
              </w:rPr>
              <w:t xml:space="preserve">uilding was specifically built as a dwelling S171B(2) is not relevant as there has not been a change of use of the </w:t>
            </w:r>
            <w:r w:rsidR="00594888">
              <w:rPr>
                <w:rStyle w:val="c0"/>
                <w:rFonts w:ascii="Arial" w:hAnsi="Arial" w:cs="Arial"/>
                <w:bCs/>
                <w:sz w:val="22"/>
                <w:szCs w:val="22"/>
                <w:lang w:val="en"/>
              </w:rPr>
              <w:t>B</w:t>
            </w:r>
            <w:r w:rsidRPr="00231590">
              <w:rPr>
                <w:rStyle w:val="c0"/>
                <w:rFonts w:ascii="Arial" w:hAnsi="Arial" w:cs="Arial"/>
                <w:bCs/>
                <w:sz w:val="22"/>
                <w:szCs w:val="22"/>
                <w:lang w:val="en"/>
              </w:rPr>
              <w:t xml:space="preserve">uilding. </w:t>
            </w:r>
            <w:r w:rsidRPr="00231590">
              <w:rPr>
                <w:rFonts w:ascii="Arial" w:hAnsi="Arial" w:cs="Arial"/>
                <w:sz w:val="22"/>
                <w:szCs w:val="22"/>
                <w:lang w:val="en-US"/>
              </w:rPr>
              <w:t xml:space="preserve">This was concluded by the court in the case of </w:t>
            </w:r>
            <w:r w:rsidRPr="00231590">
              <w:rPr>
                <w:rFonts w:ascii="Arial" w:hAnsi="Arial" w:cs="Arial"/>
                <w:i/>
                <w:iCs/>
                <w:sz w:val="22"/>
                <w:szCs w:val="22"/>
                <w:lang w:val="en-US"/>
              </w:rPr>
              <w:t>Welwyn Hatfield BC v SSCLG</w:t>
            </w:r>
            <w:r w:rsidRPr="00231590">
              <w:rPr>
                <w:rFonts w:ascii="Arial" w:hAnsi="Arial" w:cs="Arial"/>
                <w:sz w:val="22"/>
                <w:szCs w:val="22"/>
                <w:lang w:val="en-US"/>
              </w:rPr>
              <w:t xml:space="preserve"> </w:t>
            </w:r>
            <w:r w:rsidRPr="00231590">
              <w:rPr>
                <w:rFonts w:ascii="Arial" w:hAnsi="Arial" w:cs="Arial"/>
                <w:i/>
                <w:iCs/>
                <w:sz w:val="22"/>
                <w:szCs w:val="22"/>
                <w:lang w:val="en-US"/>
              </w:rPr>
              <w:t>06/04/2011</w:t>
            </w:r>
            <w:r w:rsidRPr="00231590">
              <w:rPr>
                <w:rFonts w:ascii="Arial" w:hAnsi="Arial" w:cs="Arial"/>
                <w:sz w:val="22"/>
                <w:szCs w:val="22"/>
                <w:lang w:val="en-US"/>
              </w:rPr>
              <w:t xml:space="preserve"> when it was found that s172B(2) does not encompass the use of a newly completed building where the intention has always been to use the property as a dwellinghouse. </w:t>
            </w:r>
          </w:p>
          <w:p w:rsidR="004E1A24" w:rsidRPr="00231590" w:rsidRDefault="004E1A24" w:rsidP="00514CDE">
            <w:pPr>
              <w:contextualSpacing/>
              <w:jc w:val="both"/>
              <w:rPr>
                <w:rFonts w:cs="Arial"/>
                <w:szCs w:val="22"/>
              </w:rPr>
            </w:pPr>
          </w:p>
          <w:p w:rsidR="00DF22A8" w:rsidRDefault="004E1A24" w:rsidP="003F0E15">
            <w:pPr>
              <w:contextualSpacing/>
              <w:jc w:val="both"/>
              <w:rPr>
                <w:lang w:val="en-US"/>
              </w:rPr>
            </w:pPr>
            <w:r>
              <w:rPr>
                <w:lang w:val="en-US"/>
              </w:rPr>
              <w:t>Taking account of the above</w:t>
            </w:r>
            <w:r w:rsidR="00DF22A8">
              <w:rPr>
                <w:lang w:val="en-US"/>
              </w:rPr>
              <w:t xml:space="preserve"> it can be reasonably concluded that the </w:t>
            </w:r>
            <w:r w:rsidR="00594888">
              <w:rPr>
                <w:lang w:val="en-US"/>
              </w:rPr>
              <w:t>B</w:t>
            </w:r>
            <w:r w:rsidR="00DF22A8">
              <w:rPr>
                <w:lang w:val="en-US"/>
              </w:rPr>
              <w:t>uilding was built as a dwellinghouse including all internal requirements for day to day living</w:t>
            </w:r>
            <w:r w:rsidR="00427B02">
              <w:rPr>
                <w:lang w:val="en-US"/>
              </w:rPr>
              <w:t xml:space="preserve"> and that the two meeting, assuming they happened, took place in a dwellinghouse, not in a shooting lodge. </w:t>
            </w:r>
            <w:r>
              <w:rPr>
                <w:lang w:val="en-US"/>
              </w:rPr>
              <w:t>It is deemed that t</w:t>
            </w:r>
            <w:r w:rsidR="00427B02">
              <w:rPr>
                <w:lang w:val="en-US"/>
              </w:rPr>
              <w:t xml:space="preserve">he </w:t>
            </w:r>
            <w:r w:rsidR="00594888">
              <w:rPr>
                <w:lang w:val="en-US"/>
              </w:rPr>
              <w:t>B</w:t>
            </w:r>
            <w:r w:rsidR="00427B02">
              <w:rPr>
                <w:lang w:val="en-US"/>
              </w:rPr>
              <w:t>uilding was not converted from the completed and used</w:t>
            </w:r>
            <w:r>
              <w:rPr>
                <w:lang w:val="en-US"/>
              </w:rPr>
              <w:t xml:space="preserve"> shooting lodge to a dwellinghouse in seven days. There has been no evidence to support this.</w:t>
            </w:r>
          </w:p>
          <w:p w:rsidR="00C23C75" w:rsidRPr="00231590" w:rsidRDefault="00C23C75" w:rsidP="00C23C75">
            <w:pPr>
              <w:pStyle w:val="p16"/>
              <w:shd w:val="clear" w:color="auto" w:fill="FFFFFF"/>
              <w:spacing w:before="0" w:beforeAutospacing="0" w:after="0" w:afterAutospacing="0"/>
              <w:jc w:val="both"/>
              <w:rPr>
                <w:rFonts w:ascii="Arial" w:hAnsi="Arial" w:cs="Arial"/>
                <w:bCs/>
                <w:sz w:val="22"/>
                <w:szCs w:val="22"/>
                <w:lang w:val="en"/>
              </w:rPr>
            </w:pPr>
          </w:p>
          <w:p w:rsidR="00FA617F" w:rsidRPr="00231590" w:rsidRDefault="00F01F80" w:rsidP="004B47CF">
            <w:pPr>
              <w:pStyle w:val="p20"/>
              <w:shd w:val="clear" w:color="auto" w:fill="FFFFFF"/>
              <w:spacing w:before="0" w:beforeAutospacing="0" w:after="0" w:afterAutospacing="0"/>
              <w:jc w:val="both"/>
              <w:rPr>
                <w:rFonts w:ascii="Arial" w:hAnsi="Arial" w:cs="Arial"/>
                <w:bCs/>
                <w:sz w:val="22"/>
                <w:szCs w:val="22"/>
                <w:lang w:val="en"/>
              </w:rPr>
            </w:pPr>
            <w:r w:rsidRPr="00231590">
              <w:rPr>
                <w:rStyle w:val="c0"/>
                <w:rFonts w:ascii="Arial" w:hAnsi="Arial" w:cs="Arial"/>
                <w:bCs/>
                <w:sz w:val="22"/>
                <w:szCs w:val="22"/>
                <w:lang w:val="en"/>
              </w:rPr>
              <w:t>So, in terms of time limits, that leaves 171B(3) which says: “In the case of any other breach of planning control, no enforcement action may be taken after the end of the period of ten years beginning with the date of the breach.”</w:t>
            </w:r>
            <w:r w:rsidR="004B47CF" w:rsidRPr="00231590">
              <w:rPr>
                <w:rStyle w:val="c0"/>
                <w:rFonts w:ascii="Arial" w:hAnsi="Arial" w:cs="Arial"/>
                <w:bCs/>
                <w:sz w:val="22"/>
                <w:szCs w:val="22"/>
                <w:lang w:val="en"/>
              </w:rPr>
              <w:t xml:space="preserve"> </w:t>
            </w:r>
          </w:p>
          <w:p w:rsidR="00FF0CDF" w:rsidRPr="004E1A24" w:rsidRDefault="00FF0CDF" w:rsidP="008A7BF7">
            <w:pPr>
              <w:pStyle w:val="p23"/>
              <w:shd w:val="clear" w:color="auto" w:fill="FFFFFF"/>
              <w:spacing w:before="0" w:beforeAutospacing="0" w:after="0" w:afterAutospacing="0"/>
              <w:jc w:val="both"/>
              <w:rPr>
                <w:rFonts w:ascii="Arial" w:hAnsi="Arial" w:cs="Arial"/>
                <w:bCs/>
                <w:sz w:val="22"/>
                <w:szCs w:val="22"/>
                <w:lang w:val="en"/>
              </w:rPr>
            </w:pPr>
          </w:p>
          <w:p w:rsidR="004E1A24" w:rsidRDefault="004E1A24" w:rsidP="008A7BF7">
            <w:pPr>
              <w:pStyle w:val="p23"/>
              <w:shd w:val="clear" w:color="auto" w:fill="FFFFFF"/>
              <w:spacing w:before="0" w:beforeAutospacing="0" w:after="0" w:afterAutospacing="0"/>
              <w:jc w:val="both"/>
              <w:rPr>
                <w:rFonts w:ascii="Arial" w:hAnsi="Arial" w:cs="Arial"/>
                <w:bCs/>
                <w:sz w:val="22"/>
                <w:szCs w:val="22"/>
                <w:lang w:val="en"/>
              </w:rPr>
            </w:pPr>
            <w:r w:rsidRPr="004E1A24">
              <w:rPr>
                <w:rFonts w:ascii="Arial" w:hAnsi="Arial" w:cs="Arial"/>
                <w:bCs/>
                <w:sz w:val="22"/>
                <w:szCs w:val="22"/>
                <w:lang w:val="en"/>
              </w:rPr>
              <w:t>The land edged red on the location plan also includes land surrounding the Building.</w:t>
            </w:r>
            <w:r w:rsidR="00594888">
              <w:rPr>
                <w:rFonts w:ascii="Arial" w:hAnsi="Arial" w:cs="Arial"/>
                <w:bCs/>
                <w:sz w:val="22"/>
                <w:szCs w:val="22"/>
                <w:lang w:val="en"/>
              </w:rPr>
              <w:t xml:space="preserve"> The change of use of the surrounding land from agriculture to residential is also not immune as S.171B(3) applies.</w:t>
            </w:r>
          </w:p>
          <w:p w:rsidR="00594888" w:rsidRDefault="00594888" w:rsidP="008A7BF7">
            <w:pPr>
              <w:pStyle w:val="p23"/>
              <w:shd w:val="clear" w:color="auto" w:fill="FFFFFF"/>
              <w:spacing w:before="0" w:beforeAutospacing="0" w:after="0" w:afterAutospacing="0"/>
              <w:jc w:val="both"/>
              <w:rPr>
                <w:rFonts w:ascii="Arial" w:hAnsi="Arial" w:cs="Arial"/>
                <w:bCs/>
                <w:sz w:val="22"/>
                <w:szCs w:val="22"/>
                <w:lang w:val="en"/>
              </w:rPr>
            </w:pPr>
          </w:p>
          <w:p w:rsidR="00DD62F6" w:rsidRPr="00FF0CDF" w:rsidRDefault="00594888" w:rsidP="00915D34">
            <w:pPr>
              <w:pStyle w:val="p23"/>
              <w:shd w:val="clear" w:color="auto" w:fill="FFFFFF"/>
              <w:spacing w:before="0" w:beforeAutospacing="0" w:after="0" w:afterAutospacing="0"/>
              <w:jc w:val="both"/>
              <w:rPr>
                <w:rFonts w:ascii="Arial" w:hAnsi="Arial" w:cs="Arial"/>
                <w:bCs/>
                <w:sz w:val="22"/>
                <w:szCs w:val="22"/>
                <w:lang w:val="en"/>
              </w:rPr>
            </w:pPr>
            <w:r>
              <w:rPr>
                <w:rFonts w:ascii="Arial" w:hAnsi="Arial" w:cs="Arial"/>
                <w:bCs/>
                <w:sz w:val="22"/>
                <w:szCs w:val="22"/>
                <w:lang w:val="en"/>
              </w:rPr>
              <w:t xml:space="preserve">Further </w:t>
            </w:r>
            <w:r w:rsidRPr="00C73054">
              <w:rPr>
                <w:rFonts w:ascii="Arial" w:hAnsi="Arial" w:cs="Arial"/>
                <w:bCs/>
                <w:sz w:val="22"/>
                <w:szCs w:val="22"/>
                <w:lang w:val="en"/>
              </w:rPr>
              <w:t xml:space="preserve">to the above, </w:t>
            </w:r>
            <w:r w:rsidR="00FF0CDF" w:rsidRPr="00C73054">
              <w:rPr>
                <w:rFonts w:ascii="Arial" w:hAnsi="Arial" w:cs="Arial"/>
                <w:bCs/>
                <w:sz w:val="22"/>
                <w:szCs w:val="22"/>
                <w:lang w:val="en"/>
              </w:rPr>
              <w:t>the Building is now in use as a holiday let. This is not what is being applied for in the application and also forms a reason for refusal of the CLEUD application.</w:t>
            </w:r>
          </w:p>
        </w:tc>
      </w:tr>
      <w:tr w:rsidR="00261582" w:rsidRPr="005658EB" w:rsidTr="00A674E6">
        <w:trPr>
          <w:jc w:val="center"/>
        </w:trPr>
        <w:tc>
          <w:tcPr>
            <w:tcW w:w="266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61582" w:rsidRPr="006A793B" w:rsidRDefault="00261582" w:rsidP="00A674E6">
            <w:pPr>
              <w:rPr>
                <w:rFonts w:cs="Arial"/>
                <w:b/>
                <w:bCs/>
                <w:szCs w:val="22"/>
              </w:rPr>
            </w:pPr>
            <w:r w:rsidRPr="006A793B">
              <w:rPr>
                <w:rFonts w:cs="Arial"/>
                <w:b/>
                <w:szCs w:val="22"/>
              </w:rPr>
              <w:lastRenderedPageBreak/>
              <w:t>RECOMMENDATION</w:t>
            </w:r>
            <w:r w:rsidRPr="006A793B">
              <w:rPr>
                <w:rFonts w:cs="Arial"/>
                <w:szCs w:val="22"/>
              </w:rPr>
              <w:t>:</w:t>
            </w:r>
          </w:p>
        </w:tc>
        <w:tc>
          <w:tcPr>
            <w:tcW w:w="658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61582" w:rsidRPr="006A793B" w:rsidRDefault="00FF0CDF" w:rsidP="005D5026">
            <w:pPr>
              <w:rPr>
                <w:rFonts w:cs="Arial"/>
                <w:bCs/>
                <w:szCs w:val="22"/>
              </w:rPr>
            </w:pPr>
            <w:r>
              <w:rPr>
                <w:rFonts w:cs="Arial"/>
                <w:bCs/>
                <w:szCs w:val="22"/>
              </w:rPr>
              <w:t>That the application be refused</w:t>
            </w:r>
            <w:r w:rsidR="00131B9A">
              <w:rPr>
                <w:rFonts w:cs="Arial"/>
                <w:bCs/>
                <w:szCs w:val="22"/>
              </w:rPr>
              <w:t xml:space="preserve"> for the following reasons:</w:t>
            </w:r>
          </w:p>
        </w:tc>
      </w:tr>
      <w:tr w:rsidR="00131B9A" w:rsidRPr="005658EB" w:rsidTr="009A788C">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131B9A" w:rsidRPr="00862B4B" w:rsidRDefault="00862B4B" w:rsidP="00862B4B">
            <w:pPr>
              <w:pStyle w:val="ListParagraph"/>
              <w:numPr>
                <w:ilvl w:val="0"/>
                <w:numId w:val="8"/>
              </w:numPr>
              <w:overflowPunct/>
              <w:autoSpaceDE/>
              <w:autoSpaceDN/>
              <w:adjustRightInd/>
              <w:contextualSpacing w:val="0"/>
              <w:textAlignment w:val="auto"/>
              <w:rPr>
                <w:rFonts w:ascii="Calibri" w:hAnsi="Calibri"/>
              </w:rPr>
            </w:pPr>
            <w:r>
              <w:t>The local planning authority consider</w:t>
            </w:r>
            <w:r w:rsidR="00212771">
              <w:t xml:space="preserve"> that, </w:t>
            </w:r>
            <w:r>
              <w:t>o</w:t>
            </w:r>
            <w:r w:rsidR="00131B9A">
              <w:t>n the balance of probability</w:t>
            </w:r>
            <w:r>
              <w:t>,</w:t>
            </w:r>
            <w:r w:rsidR="00131B9A">
              <w:t xml:space="preserve"> the building was built as a dwellinghouse including all internal requirements for day to day living</w:t>
            </w:r>
            <w:r>
              <w:t>. S.</w:t>
            </w:r>
            <w:r w:rsidRPr="00231590">
              <w:rPr>
                <w:rStyle w:val="c0"/>
                <w:rFonts w:ascii="Arial" w:hAnsi="Arial" w:cs="Arial"/>
                <w:bCs/>
                <w:szCs w:val="22"/>
                <w:lang w:val="en"/>
              </w:rPr>
              <w:t>171</w:t>
            </w:r>
            <w:proofErr w:type="gramStart"/>
            <w:r w:rsidRPr="00231590">
              <w:rPr>
                <w:rStyle w:val="c0"/>
                <w:rFonts w:ascii="Arial" w:hAnsi="Arial" w:cs="Arial"/>
                <w:bCs/>
                <w:szCs w:val="22"/>
                <w:lang w:val="en"/>
              </w:rPr>
              <w:t>B(</w:t>
            </w:r>
            <w:proofErr w:type="gramEnd"/>
            <w:r w:rsidRPr="00231590">
              <w:rPr>
                <w:rStyle w:val="c0"/>
                <w:rFonts w:ascii="Arial" w:hAnsi="Arial" w:cs="Arial"/>
                <w:bCs/>
                <w:szCs w:val="22"/>
                <w:lang w:val="en"/>
              </w:rPr>
              <w:t>2)</w:t>
            </w:r>
            <w:r>
              <w:rPr>
                <w:rStyle w:val="c0"/>
                <w:rFonts w:ascii="Arial" w:hAnsi="Arial" w:cs="Arial"/>
                <w:bCs/>
                <w:szCs w:val="22"/>
                <w:lang w:val="en"/>
              </w:rPr>
              <w:t xml:space="preserve"> of the Town and County Planning Act 1990</w:t>
            </w:r>
            <w:r w:rsidRPr="00231590">
              <w:rPr>
                <w:rStyle w:val="c0"/>
                <w:rFonts w:ascii="Arial" w:hAnsi="Arial" w:cs="Arial"/>
                <w:bCs/>
                <w:szCs w:val="22"/>
                <w:lang w:val="en"/>
              </w:rPr>
              <w:t xml:space="preserve"> is not relevant as there has not been a change of use of the </w:t>
            </w:r>
            <w:r>
              <w:rPr>
                <w:rStyle w:val="c0"/>
                <w:rFonts w:ascii="Arial" w:hAnsi="Arial" w:cs="Arial"/>
                <w:bCs/>
                <w:szCs w:val="22"/>
                <w:lang w:val="en"/>
              </w:rPr>
              <w:t>B</w:t>
            </w:r>
            <w:r w:rsidRPr="00231590">
              <w:rPr>
                <w:rStyle w:val="c0"/>
                <w:rFonts w:ascii="Arial" w:hAnsi="Arial" w:cs="Arial"/>
                <w:bCs/>
                <w:szCs w:val="22"/>
                <w:lang w:val="en"/>
              </w:rPr>
              <w:t>uilding.</w:t>
            </w:r>
            <w:r>
              <w:rPr>
                <w:rStyle w:val="c0"/>
                <w:rFonts w:ascii="Arial" w:hAnsi="Arial" w:cs="Arial"/>
                <w:bCs/>
                <w:szCs w:val="22"/>
                <w:lang w:val="en"/>
              </w:rPr>
              <w:t xml:space="preserve"> </w:t>
            </w:r>
            <w:r>
              <w:rPr>
                <w:rStyle w:val="c0"/>
                <w:rFonts w:ascii="Arial" w:hAnsi="Arial" w:cs="Arial"/>
                <w:bCs/>
                <w:lang w:val="en"/>
              </w:rPr>
              <w:t>The Building</w:t>
            </w:r>
            <w:r w:rsidR="00131B9A">
              <w:t xml:space="preserve"> has not been substantially completed for a period of time exceeding 10 years as prescribed </w:t>
            </w:r>
            <w:r>
              <w:t>by</w:t>
            </w:r>
            <w:r w:rsidR="00131B9A">
              <w:t xml:space="preserve"> s.171B(3).</w:t>
            </w:r>
          </w:p>
        </w:tc>
      </w:tr>
      <w:tr w:rsidR="00131B9A" w:rsidRPr="005658EB" w:rsidTr="009E4D52">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131B9A" w:rsidRPr="00131B9A" w:rsidRDefault="00131B9A" w:rsidP="005D5026">
            <w:pPr>
              <w:pStyle w:val="ListParagraph"/>
              <w:numPr>
                <w:ilvl w:val="0"/>
                <w:numId w:val="8"/>
              </w:numPr>
              <w:overflowPunct/>
              <w:autoSpaceDE/>
              <w:autoSpaceDN/>
              <w:adjustRightInd/>
              <w:contextualSpacing w:val="0"/>
              <w:textAlignment w:val="auto"/>
            </w:pPr>
            <w:r>
              <w:t xml:space="preserve">The land </w:t>
            </w:r>
            <w:r w:rsidR="00862B4B">
              <w:t xml:space="preserve">within the red-edge of the submitted Location Plan </w:t>
            </w:r>
            <w:r>
              <w:t xml:space="preserve">surrounding the </w:t>
            </w:r>
            <w:r w:rsidR="00862B4B">
              <w:t>B</w:t>
            </w:r>
            <w:r>
              <w:t>uilding has not been in residential use for a period of time exceeding 10 years as prescribed at s.171</w:t>
            </w:r>
            <w:proofErr w:type="gramStart"/>
            <w:r>
              <w:t>B(</w:t>
            </w:r>
            <w:proofErr w:type="gramEnd"/>
            <w:r>
              <w:t>3).</w:t>
            </w:r>
          </w:p>
        </w:tc>
      </w:tr>
      <w:tr w:rsidR="00131B9A" w:rsidRPr="005658EB" w:rsidTr="00CC6354">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131B9A" w:rsidRPr="00131B9A" w:rsidRDefault="00131B9A" w:rsidP="005D5026">
            <w:pPr>
              <w:pStyle w:val="ListParagraph"/>
              <w:numPr>
                <w:ilvl w:val="0"/>
                <w:numId w:val="8"/>
              </w:numPr>
              <w:overflowPunct/>
              <w:autoSpaceDE/>
              <w:autoSpaceDN/>
              <w:adjustRightInd/>
              <w:contextualSpacing w:val="0"/>
              <w:textAlignment w:val="auto"/>
            </w:pPr>
            <w:r>
              <w:t xml:space="preserve">The </w:t>
            </w:r>
            <w:r w:rsidR="00862B4B">
              <w:t>B</w:t>
            </w:r>
            <w:r>
              <w:t xml:space="preserve">uilding is currently in use as a commercial holiday let. The existing use of the </w:t>
            </w:r>
            <w:r w:rsidR="00862B4B">
              <w:t>B</w:t>
            </w:r>
            <w:r>
              <w:t>uilding is not a permanent residential dwelling and therefore the application for the retention of this use cannot be supported.</w:t>
            </w:r>
          </w:p>
        </w:tc>
      </w:tr>
    </w:tbl>
    <w:p w:rsidR="0031197A" w:rsidRPr="00D2449B" w:rsidRDefault="0049182D">
      <w:pPr>
        <w:rPr>
          <w:rFonts w:ascii="Calibri" w:hAnsi="Calibri"/>
          <w:szCs w:val="22"/>
        </w:rPr>
      </w:pPr>
    </w:p>
    <w:sectPr w:rsidR="0031197A" w:rsidRPr="00D2449B" w:rsidSect="00D2449B">
      <w:headerReference w:type="even" r:id="rId9"/>
      <w:headerReference w:type="default" r:id="rId10"/>
      <w:footerReference w:type="even" r:id="rId11"/>
      <w:footerReference w:type="default" r:id="rId12"/>
      <w:headerReference w:type="first" r:id="rId13"/>
      <w:footerReference w:type="first" r:id="rId14"/>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0A17" w:rsidRDefault="00130A17" w:rsidP="00130A17">
      <w:r>
        <w:separator/>
      </w:r>
    </w:p>
  </w:endnote>
  <w:endnote w:type="continuationSeparator" w:id="0">
    <w:p w:rsidR="00130A17" w:rsidRDefault="00130A17" w:rsidP="00130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A17" w:rsidRDefault="00130A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A17" w:rsidRDefault="00130A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A17" w:rsidRDefault="00130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0A17" w:rsidRDefault="00130A17" w:rsidP="00130A17">
      <w:r>
        <w:separator/>
      </w:r>
    </w:p>
  </w:footnote>
  <w:footnote w:type="continuationSeparator" w:id="0">
    <w:p w:rsidR="00130A17" w:rsidRDefault="00130A17" w:rsidP="00130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A17" w:rsidRDefault="00130A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A17" w:rsidRDefault="00130A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A17" w:rsidRDefault="00130A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664794"/>
    <w:multiLevelType w:val="hybridMultilevel"/>
    <w:tmpl w:val="6AF83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1578F5"/>
    <w:multiLevelType w:val="hybridMultilevel"/>
    <w:tmpl w:val="F8465650"/>
    <w:lvl w:ilvl="0" w:tplc="F37A4B1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402DF"/>
    <w:multiLevelType w:val="hybridMultilevel"/>
    <w:tmpl w:val="BCB64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DB1C1C"/>
    <w:multiLevelType w:val="hybridMultilevel"/>
    <w:tmpl w:val="F5BE12B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F5D26FE"/>
    <w:multiLevelType w:val="hybridMultilevel"/>
    <w:tmpl w:val="1776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8D33AC"/>
    <w:multiLevelType w:val="hybridMultilevel"/>
    <w:tmpl w:val="3A94D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1950EC"/>
    <w:multiLevelType w:val="hybridMultilevel"/>
    <w:tmpl w:val="77C4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683719"/>
    <w:multiLevelType w:val="hybridMultilevel"/>
    <w:tmpl w:val="EDB4BEF2"/>
    <w:lvl w:ilvl="0" w:tplc="E334D53C">
      <w:start w:val="1"/>
      <w:numFmt w:val="bullet"/>
      <w:pStyle w:val="Bulle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4"/>
  </w:num>
  <w:num w:numId="4">
    <w:abstractNumId w:val="2"/>
  </w:num>
  <w:num w:numId="5">
    <w:abstractNumId w:val="6"/>
  </w:num>
  <w:num w:numId="6">
    <w:abstractNumId w:val="0"/>
  </w:num>
  <w:num w:numId="7">
    <w:abstractNumId w:val="7"/>
  </w:num>
  <w:num w:numId="8">
    <w:abstractNumId w:val="1"/>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EA9"/>
    <w:rsid w:val="00012328"/>
    <w:rsid w:val="00014A6C"/>
    <w:rsid w:val="000150DB"/>
    <w:rsid w:val="00015C2B"/>
    <w:rsid w:val="00016690"/>
    <w:rsid w:val="0002648A"/>
    <w:rsid w:val="00031A73"/>
    <w:rsid w:val="00034A74"/>
    <w:rsid w:val="00045A6D"/>
    <w:rsid w:val="00046091"/>
    <w:rsid w:val="0004755A"/>
    <w:rsid w:val="00052C9C"/>
    <w:rsid w:val="00065BD2"/>
    <w:rsid w:val="0007772A"/>
    <w:rsid w:val="0008047F"/>
    <w:rsid w:val="00087565"/>
    <w:rsid w:val="00090B2F"/>
    <w:rsid w:val="00094DC0"/>
    <w:rsid w:val="000A1BF2"/>
    <w:rsid w:val="000A5342"/>
    <w:rsid w:val="000B1AA2"/>
    <w:rsid w:val="000B62CD"/>
    <w:rsid w:val="000E1427"/>
    <w:rsid w:val="000F7221"/>
    <w:rsid w:val="00107606"/>
    <w:rsid w:val="00120344"/>
    <w:rsid w:val="00130A17"/>
    <w:rsid w:val="00131B9A"/>
    <w:rsid w:val="001375B4"/>
    <w:rsid w:val="00142702"/>
    <w:rsid w:val="0015650B"/>
    <w:rsid w:val="001810FD"/>
    <w:rsid w:val="00184BBE"/>
    <w:rsid w:val="0019127B"/>
    <w:rsid w:val="00191BA8"/>
    <w:rsid w:val="0019343A"/>
    <w:rsid w:val="001A063A"/>
    <w:rsid w:val="001A5C23"/>
    <w:rsid w:val="001B6CAA"/>
    <w:rsid w:val="001C0315"/>
    <w:rsid w:val="001D27AD"/>
    <w:rsid w:val="001D4F7A"/>
    <w:rsid w:val="001D51C1"/>
    <w:rsid w:val="001E390F"/>
    <w:rsid w:val="001F38F6"/>
    <w:rsid w:val="001F74C2"/>
    <w:rsid w:val="00201DEE"/>
    <w:rsid w:val="00212077"/>
    <w:rsid w:val="00212771"/>
    <w:rsid w:val="0022061C"/>
    <w:rsid w:val="00231590"/>
    <w:rsid w:val="00236E1E"/>
    <w:rsid w:val="002372C8"/>
    <w:rsid w:val="002453DA"/>
    <w:rsid w:val="00250879"/>
    <w:rsid w:val="00254129"/>
    <w:rsid w:val="00254ED1"/>
    <w:rsid w:val="00261582"/>
    <w:rsid w:val="00266AD4"/>
    <w:rsid w:val="0029334A"/>
    <w:rsid w:val="00294951"/>
    <w:rsid w:val="0029518D"/>
    <w:rsid w:val="002A01CF"/>
    <w:rsid w:val="002B6267"/>
    <w:rsid w:val="002C194B"/>
    <w:rsid w:val="002D392C"/>
    <w:rsid w:val="002E779E"/>
    <w:rsid w:val="002F1B71"/>
    <w:rsid w:val="002F3CBA"/>
    <w:rsid w:val="00303877"/>
    <w:rsid w:val="003064AA"/>
    <w:rsid w:val="00326365"/>
    <w:rsid w:val="00340574"/>
    <w:rsid w:val="00341674"/>
    <w:rsid w:val="003472B4"/>
    <w:rsid w:val="00350158"/>
    <w:rsid w:val="00367A34"/>
    <w:rsid w:val="003862D4"/>
    <w:rsid w:val="0039738C"/>
    <w:rsid w:val="003A678E"/>
    <w:rsid w:val="003C15A7"/>
    <w:rsid w:val="003C29C3"/>
    <w:rsid w:val="003C686C"/>
    <w:rsid w:val="003D7779"/>
    <w:rsid w:val="003F0C1C"/>
    <w:rsid w:val="003F0E15"/>
    <w:rsid w:val="00404AA4"/>
    <w:rsid w:val="004064AC"/>
    <w:rsid w:val="00427B02"/>
    <w:rsid w:val="00427FD9"/>
    <w:rsid w:val="00442274"/>
    <w:rsid w:val="00454BCB"/>
    <w:rsid w:val="00464C24"/>
    <w:rsid w:val="00465FDB"/>
    <w:rsid w:val="00471A14"/>
    <w:rsid w:val="00487DE4"/>
    <w:rsid w:val="0049182D"/>
    <w:rsid w:val="00491C43"/>
    <w:rsid w:val="004A2B8F"/>
    <w:rsid w:val="004A5EA9"/>
    <w:rsid w:val="004B03B3"/>
    <w:rsid w:val="004B0AE1"/>
    <w:rsid w:val="004B47CF"/>
    <w:rsid w:val="004B7FDA"/>
    <w:rsid w:val="004C2434"/>
    <w:rsid w:val="004D1691"/>
    <w:rsid w:val="004D5457"/>
    <w:rsid w:val="004E1A24"/>
    <w:rsid w:val="004F0649"/>
    <w:rsid w:val="004F2921"/>
    <w:rsid w:val="004F739A"/>
    <w:rsid w:val="005013A4"/>
    <w:rsid w:val="00512D69"/>
    <w:rsid w:val="00514CDE"/>
    <w:rsid w:val="00534BB1"/>
    <w:rsid w:val="005472FB"/>
    <w:rsid w:val="00555F27"/>
    <w:rsid w:val="005658EB"/>
    <w:rsid w:val="00567760"/>
    <w:rsid w:val="00573864"/>
    <w:rsid w:val="00594478"/>
    <w:rsid w:val="00594888"/>
    <w:rsid w:val="005A742C"/>
    <w:rsid w:val="005B1AD3"/>
    <w:rsid w:val="005D2846"/>
    <w:rsid w:val="005D5026"/>
    <w:rsid w:val="005E5723"/>
    <w:rsid w:val="005E65DF"/>
    <w:rsid w:val="005F6812"/>
    <w:rsid w:val="0060127B"/>
    <w:rsid w:val="00604956"/>
    <w:rsid w:val="00617A5D"/>
    <w:rsid w:val="006202D2"/>
    <w:rsid w:val="00627355"/>
    <w:rsid w:val="006307F3"/>
    <w:rsid w:val="00645E5A"/>
    <w:rsid w:val="00667BDF"/>
    <w:rsid w:val="006722F3"/>
    <w:rsid w:val="0067613F"/>
    <w:rsid w:val="0067622D"/>
    <w:rsid w:val="00681961"/>
    <w:rsid w:val="00683CE8"/>
    <w:rsid w:val="006904AA"/>
    <w:rsid w:val="00692B60"/>
    <w:rsid w:val="00693092"/>
    <w:rsid w:val="006944DB"/>
    <w:rsid w:val="006A74FE"/>
    <w:rsid w:val="006A793B"/>
    <w:rsid w:val="006C2BFA"/>
    <w:rsid w:val="006D14EA"/>
    <w:rsid w:val="006E1E39"/>
    <w:rsid w:val="0070054B"/>
    <w:rsid w:val="00704B7B"/>
    <w:rsid w:val="00710C74"/>
    <w:rsid w:val="00755EA0"/>
    <w:rsid w:val="0076102E"/>
    <w:rsid w:val="00775B4D"/>
    <w:rsid w:val="00776AE2"/>
    <w:rsid w:val="00777012"/>
    <w:rsid w:val="007A4608"/>
    <w:rsid w:val="007A7ACF"/>
    <w:rsid w:val="007B6CBB"/>
    <w:rsid w:val="007D7DF4"/>
    <w:rsid w:val="007E0D23"/>
    <w:rsid w:val="007E620A"/>
    <w:rsid w:val="007F4AA7"/>
    <w:rsid w:val="00802D80"/>
    <w:rsid w:val="00807755"/>
    <w:rsid w:val="00810A30"/>
    <w:rsid w:val="008122F6"/>
    <w:rsid w:val="00825593"/>
    <w:rsid w:val="00825EC5"/>
    <w:rsid w:val="00832119"/>
    <w:rsid w:val="00832CDB"/>
    <w:rsid w:val="00845466"/>
    <w:rsid w:val="00846D85"/>
    <w:rsid w:val="0086061A"/>
    <w:rsid w:val="00862B4B"/>
    <w:rsid w:val="00867F30"/>
    <w:rsid w:val="00883AA1"/>
    <w:rsid w:val="008849D4"/>
    <w:rsid w:val="00887F12"/>
    <w:rsid w:val="008A28C8"/>
    <w:rsid w:val="008A7BF7"/>
    <w:rsid w:val="008B219B"/>
    <w:rsid w:val="008E6938"/>
    <w:rsid w:val="009033A8"/>
    <w:rsid w:val="00910289"/>
    <w:rsid w:val="009128E0"/>
    <w:rsid w:val="00915D34"/>
    <w:rsid w:val="00916FEC"/>
    <w:rsid w:val="00923BEF"/>
    <w:rsid w:val="00924267"/>
    <w:rsid w:val="0092602F"/>
    <w:rsid w:val="00930783"/>
    <w:rsid w:val="009463F2"/>
    <w:rsid w:val="00950DC6"/>
    <w:rsid w:val="00960171"/>
    <w:rsid w:val="009C127B"/>
    <w:rsid w:val="009C1A77"/>
    <w:rsid w:val="009D1DC8"/>
    <w:rsid w:val="009D2B96"/>
    <w:rsid w:val="009D379F"/>
    <w:rsid w:val="009D71CF"/>
    <w:rsid w:val="00A0728B"/>
    <w:rsid w:val="00A22EBD"/>
    <w:rsid w:val="00A24FDC"/>
    <w:rsid w:val="00A27CB7"/>
    <w:rsid w:val="00A33566"/>
    <w:rsid w:val="00A410F1"/>
    <w:rsid w:val="00A5168F"/>
    <w:rsid w:val="00A56FB8"/>
    <w:rsid w:val="00A579BB"/>
    <w:rsid w:val="00A63D55"/>
    <w:rsid w:val="00A72FE2"/>
    <w:rsid w:val="00A7643B"/>
    <w:rsid w:val="00A95D89"/>
    <w:rsid w:val="00AA03AF"/>
    <w:rsid w:val="00AA5F52"/>
    <w:rsid w:val="00AA66A7"/>
    <w:rsid w:val="00AA767E"/>
    <w:rsid w:val="00AB5A42"/>
    <w:rsid w:val="00AB6F91"/>
    <w:rsid w:val="00AC1360"/>
    <w:rsid w:val="00AC1CF0"/>
    <w:rsid w:val="00AE0AE2"/>
    <w:rsid w:val="00AE2DE1"/>
    <w:rsid w:val="00AF5B5C"/>
    <w:rsid w:val="00B0607D"/>
    <w:rsid w:val="00B06F82"/>
    <w:rsid w:val="00B11721"/>
    <w:rsid w:val="00B13D65"/>
    <w:rsid w:val="00B17C19"/>
    <w:rsid w:val="00B3007C"/>
    <w:rsid w:val="00B32C58"/>
    <w:rsid w:val="00B368DC"/>
    <w:rsid w:val="00B506C9"/>
    <w:rsid w:val="00B858D5"/>
    <w:rsid w:val="00B900C0"/>
    <w:rsid w:val="00B9342C"/>
    <w:rsid w:val="00BA0137"/>
    <w:rsid w:val="00BA568A"/>
    <w:rsid w:val="00BB7C59"/>
    <w:rsid w:val="00BC5839"/>
    <w:rsid w:val="00BC663D"/>
    <w:rsid w:val="00BC7EC0"/>
    <w:rsid w:val="00BD3F03"/>
    <w:rsid w:val="00C164D6"/>
    <w:rsid w:val="00C23C75"/>
    <w:rsid w:val="00C4018A"/>
    <w:rsid w:val="00C44179"/>
    <w:rsid w:val="00C510F2"/>
    <w:rsid w:val="00C53087"/>
    <w:rsid w:val="00C55E69"/>
    <w:rsid w:val="00C607FB"/>
    <w:rsid w:val="00C618DB"/>
    <w:rsid w:val="00C63F1F"/>
    <w:rsid w:val="00C73054"/>
    <w:rsid w:val="00C74F6F"/>
    <w:rsid w:val="00C815B6"/>
    <w:rsid w:val="00C85D22"/>
    <w:rsid w:val="00CC1D00"/>
    <w:rsid w:val="00CC3F04"/>
    <w:rsid w:val="00CC42A0"/>
    <w:rsid w:val="00CD1388"/>
    <w:rsid w:val="00CD5735"/>
    <w:rsid w:val="00CD7942"/>
    <w:rsid w:val="00CE2EA7"/>
    <w:rsid w:val="00CF47FB"/>
    <w:rsid w:val="00CF70D7"/>
    <w:rsid w:val="00D11007"/>
    <w:rsid w:val="00D147CB"/>
    <w:rsid w:val="00D176EA"/>
    <w:rsid w:val="00D2449B"/>
    <w:rsid w:val="00D33078"/>
    <w:rsid w:val="00D41998"/>
    <w:rsid w:val="00D41D62"/>
    <w:rsid w:val="00D51051"/>
    <w:rsid w:val="00D55F50"/>
    <w:rsid w:val="00D56963"/>
    <w:rsid w:val="00D915CB"/>
    <w:rsid w:val="00D975B1"/>
    <w:rsid w:val="00DA1A1B"/>
    <w:rsid w:val="00DA3765"/>
    <w:rsid w:val="00DB0CC2"/>
    <w:rsid w:val="00DC1569"/>
    <w:rsid w:val="00DC15E9"/>
    <w:rsid w:val="00DC77D6"/>
    <w:rsid w:val="00DD5591"/>
    <w:rsid w:val="00DD62F6"/>
    <w:rsid w:val="00DE0862"/>
    <w:rsid w:val="00DE125D"/>
    <w:rsid w:val="00DE35A6"/>
    <w:rsid w:val="00DF22A8"/>
    <w:rsid w:val="00DF2F39"/>
    <w:rsid w:val="00E025E1"/>
    <w:rsid w:val="00E20FDB"/>
    <w:rsid w:val="00E241B0"/>
    <w:rsid w:val="00E327CB"/>
    <w:rsid w:val="00E34616"/>
    <w:rsid w:val="00E37C63"/>
    <w:rsid w:val="00E40242"/>
    <w:rsid w:val="00E4101C"/>
    <w:rsid w:val="00E412F0"/>
    <w:rsid w:val="00E4246C"/>
    <w:rsid w:val="00E542DD"/>
    <w:rsid w:val="00E57E30"/>
    <w:rsid w:val="00E61D1A"/>
    <w:rsid w:val="00E61F7C"/>
    <w:rsid w:val="00E66534"/>
    <w:rsid w:val="00E67978"/>
    <w:rsid w:val="00E80E58"/>
    <w:rsid w:val="00E8384C"/>
    <w:rsid w:val="00E87E75"/>
    <w:rsid w:val="00EA09F9"/>
    <w:rsid w:val="00EA2951"/>
    <w:rsid w:val="00EA3D4F"/>
    <w:rsid w:val="00EA7244"/>
    <w:rsid w:val="00EA76B2"/>
    <w:rsid w:val="00EB2EB8"/>
    <w:rsid w:val="00EB37D2"/>
    <w:rsid w:val="00EC23C7"/>
    <w:rsid w:val="00ED0DA7"/>
    <w:rsid w:val="00ED7597"/>
    <w:rsid w:val="00EE00A3"/>
    <w:rsid w:val="00EE035A"/>
    <w:rsid w:val="00EE6887"/>
    <w:rsid w:val="00EE6A63"/>
    <w:rsid w:val="00F01F80"/>
    <w:rsid w:val="00F02A47"/>
    <w:rsid w:val="00F10F9B"/>
    <w:rsid w:val="00F22639"/>
    <w:rsid w:val="00F33E1E"/>
    <w:rsid w:val="00F35D95"/>
    <w:rsid w:val="00F46CF7"/>
    <w:rsid w:val="00F56165"/>
    <w:rsid w:val="00F705E8"/>
    <w:rsid w:val="00F77A1F"/>
    <w:rsid w:val="00F81D00"/>
    <w:rsid w:val="00F87F21"/>
    <w:rsid w:val="00FA617F"/>
    <w:rsid w:val="00FB1D9F"/>
    <w:rsid w:val="00FB7FD9"/>
    <w:rsid w:val="00FC39E2"/>
    <w:rsid w:val="00FE1EA8"/>
    <w:rsid w:val="00FE2073"/>
    <w:rsid w:val="00FF0CDF"/>
    <w:rsid w:val="00FF64DF"/>
    <w:rsid w:val="00FF7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docId w15:val="{3A5666AB-451A-49E9-8CEF-115857CEB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customStyle="1" w:styleId="Default">
    <w:name w:val="Default"/>
    <w:rsid w:val="00F22639"/>
    <w:pPr>
      <w:autoSpaceDE w:val="0"/>
      <w:autoSpaceDN w:val="0"/>
      <w:adjustRightInd w:val="0"/>
      <w:spacing w:after="0" w:line="240" w:lineRule="auto"/>
    </w:pPr>
    <w:rPr>
      <w:rFonts w:ascii="Arial" w:hAnsi="Arial" w:cs="Arial"/>
      <w:color w:val="000000"/>
      <w:sz w:val="24"/>
      <w:szCs w:val="24"/>
    </w:rPr>
  </w:style>
  <w:style w:type="character" w:styleId="Strong">
    <w:name w:val="Strong"/>
    <w:uiPriority w:val="22"/>
    <w:qFormat/>
    <w:rsid w:val="00C85D22"/>
    <w:rPr>
      <w:b/>
      <w:bCs/>
    </w:rPr>
  </w:style>
  <w:style w:type="character" w:styleId="Emphasis">
    <w:name w:val="Emphasis"/>
    <w:basedOn w:val="DefaultParagraphFont"/>
    <w:uiPriority w:val="20"/>
    <w:qFormat/>
    <w:rsid w:val="00201DEE"/>
    <w:rPr>
      <w:b/>
      <w:bCs/>
      <w:i w:val="0"/>
      <w:iCs w:val="0"/>
    </w:rPr>
  </w:style>
  <w:style w:type="character" w:customStyle="1" w:styleId="st1">
    <w:name w:val="st1"/>
    <w:basedOn w:val="DefaultParagraphFont"/>
    <w:rsid w:val="00201DEE"/>
  </w:style>
  <w:style w:type="character" w:customStyle="1" w:styleId="tdgreyhighlightsmall1">
    <w:name w:val="tdgreyhighlightsmall1"/>
    <w:basedOn w:val="DefaultParagraphFont"/>
    <w:rsid w:val="00AA66A7"/>
    <w:rPr>
      <w:shd w:val="clear" w:color="auto" w:fill="FFFF00"/>
    </w:rPr>
  </w:style>
  <w:style w:type="paragraph" w:styleId="Footer">
    <w:name w:val="footer"/>
    <w:basedOn w:val="Normal"/>
    <w:link w:val="FooterChar"/>
    <w:uiPriority w:val="99"/>
    <w:unhideWhenUsed/>
    <w:rsid w:val="00130A17"/>
    <w:pPr>
      <w:tabs>
        <w:tab w:val="center" w:pos="4513"/>
        <w:tab w:val="right" w:pos="9026"/>
      </w:tabs>
    </w:pPr>
  </w:style>
  <w:style w:type="character" w:customStyle="1" w:styleId="FooterChar">
    <w:name w:val="Footer Char"/>
    <w:basedOn w:val="DefaultParagraphFont"/>
    <w:link w:val="Footer"/>
    <w:uiPriority w:val="99"/>
    <w:rsid w:val="00130A17"/>
    <w:rPr>
      <w:rFonts w:ascii="Arial" w:eastAsia="Times New Roman" w:hAnsi="Arial" w:cs="Times New Roman"/>
      <w:szCs w:val="20"/>
    </w:rPr>
  </w:style>
  <w:style w:type="paragraph" w:customStyle="1" w:styleId="Bullet1">
    <w:name w:val="Bullet 1"/>
    <w:basedOn w:val="PLANNING"/>
    <w:qFormat/>
    <w:rsid w:val="00D41D62"/>
    <w:pPr>
      <w:numPr>
        <w:numId w:val="7"/>
      </w:numPr>
      <w:ind w:left="1054"/>
      <w:textAlignment w:val="auto"/>
    </w:pPr>
    <w:rPr>
      <w:rFonts w:ascii="Calibri" w:hAnsi="Calibri"/>
    </w:rPr>
  </w:style>
  <w:style w:type="paragraph" w:customStyle="1" w:styleId="Indent1">
    <w:name w:val="Indent 1"/>
    <w:basedOn w:val="Bullet1"/>
    <w:qFormat/>
    <w:rsid w:val="00D41D62"/>
    <w:pPr>
      <w:numPr>
        <w:numId w:val="0"/>
      </w:numPr>
      <w:ind w:left="1414" w:hanging="720"/>
    </w:pPr>
  </w:style>
  <w:style w:type="paragraph" w:customStyle="1" w:styleId="Indent2">
    <w:name w:val="Indent 2"/>
    <w:basedOn w:val="Indent1"/>
    <w:qFormat/>
    <w:rsid w:val="00D41D62"/>
    <w:pPr>
      <w:ind w:left="2134"/>
    </w:pPr>
  </w:style>
  <w:style w:type="character" w:customStyle="1" w:styleId="legaddition5">
    <w:name w:val="legaddition5"/>
    <w:basedOn w:val="DefaultParagraphFont"/>
    <w:rsid w:val="00EB37D2"/>
  </w:style>
  <w:style w:type="paragraph" w:customStyle="1" w:styleId="p12">
    <w:name w:val="p12"/>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13">
    <w:name w:val="p13"/>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14">
    <w:name w:val="p14"/>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15">
    <w:name w:val="p15"/>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16">
    <w:name w:val="p16"/>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17">
    <w:name w:val="p17"/>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18">
    <w:name w:val="p18"/>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19">
    <w:name w:val="p19"/>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20">
    <w:name w:val="p20"/>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21">
    <w:name w:val="p21"/>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22">
    <w:name w:val="p22"/>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23">
    <w:name w:val="p23"/>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24">
    <w:name w:val="p24"/>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paragraph" w:customStyle="1" w:styleId="p25">
    <w:name w:val="p25"/>
    <w:basedOn w:val="Normal"/>
    <w:rsid w:val="00F01F80"/>
    <w:pPr>
      <w:overflowPunct/>
      <w:autoSpaceDE/>
      <w:autoSpaceDN/>
      <w:adjustRightInd/>
      <w:spacing w:before="100" w:beforeAutospacing="1" w:after="100" w:afterAutospacing="1"/>
      <w:textAlignment w:val="auto"/>
    </w:pPr>
    <w:rPr>
      <w:rFonts w:ascii="inherit" w:hAnsi="inherit"/>
      <w:sz w:val="24"/>
      <w:szCs w:val="24"/>
      <w:lang w:eastAsia="en-GB"/>
    </w:rPr>
  </w:style>
  <w:style w:type="character" w:customStyle="1" w:styleId="c0">
    <w:name w:val="c0"/>
    <w:basedOn w:val="DefaultParagraphFont"/>
    <w:rsid w:val="00F01F80"/>
    <w:rPr>
      <w:rFonts w:ascii="inherit" w:hAnsi="inherit" w:hint="default"/>
    </w:rPr>
  </w:style>
  <w:style w:type="character" w:customStyle="1" w:styleId="tdgreyhighlightsmall">
    <w:name w:val="tdgreyhighlightsmall"/>
    <w:basedOn w:val="DefaultParagraphFont"/>
    <w:rsid w:val="00137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15860">
      <w:bodyDiv w:val="1"/>
      <w:marLeft w:val="0"/>
      <w:marRight w:val="0"/>
      <w:marTop w:val="0"/>
      <w:marBottom w:val="0"/>
      <w:divBdr>
        <w:top w:val="none" w:sz="0" w:space="0" w:color="auto"/>
        <w:left w:val="none" w:sz="0" w:space="0" w:color="auto"/>
        <w:bottom w:val="none" w:sz="0" w:space="0" w:color="auto"/>
        <w:right w:val="none" w:sz="0" w:space="0" w:color="auto"/>
      </w:divBdr>
    </w:div>
    <w:div w:id="194852125">
      <w:bodyDiv w:val="1"/>
      <w:marLeft w:val="0"/>
      <w:marRight w:val="0"/>
      <w:marTop w:val="0"/>
      <w:marBottom w:val="0"/>
      <w:divBdr>
        <w:top w:val="none" w:sz="0" w:space="0" w:color="auto"/>
        <w:left w:val="none" w:sz="0" w:space="0" w:color="auto"/>
        <w:bottom w:val="none" w:sz="0" w:space="0" w:color="auto"/>
        <w:right w:val="none" w:sz="0" w:space="0" w:color="auto"/>
      </w:divBdr>
      <w:divsChild>
        <w:div w:id="1075780053">
          <w:marLeft w:val="0"/>
          <w:marRight w:val="0"/>
          <w:marTop w:val="0"/>
          <w:marBottom w:val="0"/>
          <w:divBdr>
            <w:top w:val="none" w:sz="0" w:space="0" w:color="auto"/>
            <w:left w:val="none" w:sz="0" w:space="0" w:color="auto"/>
            <w:bottom w:val="none" w:sz="0" w:space="0" w:color="auto"/>
            <w:right w:val="none" w:sz="0" w:space="0" w:color="auto"/>
          </w:divBdr>
          <w:divsChild>
            <w:div w:id="1924753183">
              <w:marLeft w:val="0"/>
              <w:marRight w:val="0"/>
              <w:marTop w:val="0"/>
              <w:marBottom w:val="0"/>
              <w:divBdr>
                <w:top w:val="none" w:sz="0" w:space="0" w:color="auto"/>
                <w:left w:val="none" w:sz="0" w:space="0" w:color="auto"/>
                <w:bottom w:val="none" w:sz="0" w:space="0" w:color="auto"/>
                <w:right w:val="none" w:sz="0" w:space="0" w:color="auto"/>
              </w:divBdr>
              <w:divsChild>
                <w:div w:id="997074172">
                  <w:marLeft w:val="0"/>
                  <w:marRight w:val="0"/>
                  <w:marTop w:val="0"/>
                  <w:marBottom w:val="0"/>
                  <w:divBdr>
                    <w:top w:val="single" w:sz="48" w:space="0" w:color="000000"/>
                    <w:left w:val="single" w:sz="48" w:space="0" w:color="000000"/>
                    <w:bottom w:val="single" w:sz="48" w:space="0" w:color="000000"/>
                    <w:right w:val="single" w:sz="48" w:space="0" w:color="000000"/>
                  </w:divBdr>
                  <w:divsChild>
                    <w:div w:id="1754742553">
                      <w:marLeft w:val="0"/>
                      <w:marRight w:val="0"/>
                      <w:marTop w:val="0"/>
                      <w:marBottom w:val="0"/>
                      <w:divBdr>
                        <w:top w:val="single" w:sz="24" w:space="2" w:color="auto"/>
                        <w:left w:val="single" w:sz="24" w:space="2" w:color="auto"/>
                        <w:bottom w:val="single" w:sz="24" w:space="2" w:color="auto"/>
                        <w:right w:val="single" w:sz="24" w:space="2" w:color="auto"/>
                      </w:divBdr>
                    </w:div>
                  </w:divsChild>
                </w:div>
              </w:divsChild>
            </w:div>
          </w:divsChild>
        </w:div>
      </w:divsChild>
    </w:div>
    <w:div w:id="462619941">
      <w:bodyDiv w:val="1"/>
      <w:marLeft w:val="0"/>
      <w:marRight w:val="0"/>
      <w:marTop w:val="0"/>
      <w:marBottom w:val="0"/>
      <w:divBdr>
        <w:top w:val="none" w:sz="0" w:space="0" w:color="auto"/>
        <w:left w:val="none" w:sz="0" w:space="0" w:color="auto"/>
        <w:bottom w:val="none" w:sz="0" w:space="0" w:color="auto"/>
        <w:right w:val="none" w:sz="0" w:space="0" w:color="auto"/>
      </w:divBdr>
    </w:div>
    <w:div w:id="551886631">
      <w:bodyDiv w:val="1"/>
      <w:marLeft w:val="0"/>
      <w:marRight w:val="0"/>
      <w:marTop w:val="0"/>
      <w:marBottom w:val="0"/>
      <w:divBdr>
        <w:top w:val="none" w:sz="0" w:space="0" w:color="auto"/>
        <w:left w:val="none" w:sz="0" w:space="0" w:color="auto"/>
        <w:bottom w:val="none" w:sz="0" w:space="0" w:color="auto"/>
        <w:right w:val="none" w:sz="0" w:space="0" w:color="auto"/>
      </w:divBdr>
    </w:div>
    <w:div w:id="943533005">
      <w:bodyDiv w:val="1"/>
      <w:marLeft w:val="0"/>
      <w:marRight w:val="0"/>
      <w:marTop w:val="0"/>
      <w:marBottom w:val="0"/>
      <w:divBdr>
        <w:top w:val="none" w:sz="0" w:space="0" w:color="auto"/>
        <w:left w:val="none" w:sz="0" w:space="0" w:color="auto"/>
        <w:bottom w:val="none" w:sz="0" w:space="0" w:color="auto"/>
        <w:right w:val="none" w:sz="0" w:space="0" w:color="auto"/>
      </w:divBdr>
    </w:div>
    <w:div w:id="103234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A880B-78D9-4056-84FE-151D5F590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1534</Words>
  <Characters>8746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Birkett</dc:creator>
  <cp:lastModifiedBy>Adam Birkett</cp:lastModifiedBy>
  <cp:revision>2</cp:revision>
  <cp:lastPrinted>2020-02-03T15:03:00Z</cp:lastPrinted>
  <dcterms:created xsi:type="dcterms:W3CDTF">2020-02-11T08:53:00Z</dcterms:created>
  <dcterms:modified xsi:type="dcterms:W3CDTF">2020-02-11T08:53:00Z</dcterms:modified>
</cp:coreProperties>
</file>