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095AEB" w:rsidRPr="00DD62CA" w:rsidTr="00662E9C">
        <w:trPr>
          <w:cantSplit/>
        </w:trPr>
        <w:tc>
          <w:tcPr>
            <w:tcW w:w="6983" w:type="dxa"/>
            <w:gridSpan w:val="4"/>
          </w:tcPr>
          <w:p w:rsidR="00095AEB" w:rsidRPr="00DD62CA" w:rsidRDefault="00095AEB">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095AEB" w:rsidRPr="00DD62CA" w:rsidRDefault="00095AEB">
            <w:pPr>
              <w:rPr>
                <w:rFonts w:ascii="Calibri" w:hAnsi="Calibri"/>
                <w:sz w:val="24"/>
                <w:szCs w:val="24"/>
              </w:rPr>
            </w:pPr>
          </w:p>
        </w:tc>
        <w:tc>
          <w:tcPr>
            <w:tcW w:w="1713" w:type="dxa"/>
          </w:tcPr>
          <w:p w:rsidR="00095AEB" w:rsidRPr="00DD62CA" w:rsidRDefault="00095AEB">
            <w:pPr>
              <w:rPr>
                <w:rFonts w:ascii="Calibri" w:hAnsi="Calibri"/>
                <w:sz w:val="24"/>
                <w:szCs w:val="24"/>
              </w:rPr>
            </w:pPr>
          </w:p>
        </w:tc>
      </w:tr>
      <w:tr w:rsidR="00095AEB" w:rsidRPr="00DD62CA" w:rsidTr="0054798B">
        <w:trPr>
          <w:cantSplit/>
        </w:trPr>
        <w:tc>
          <w:tcPr>
            <w:tcW w:w="8696" w:type="dxa"/>
            <w:gridSpan w:val="5"/>
            <w:tcBorders>
              <w:bottom w:val="single" w:sz="6" w:space="0" w:color="auto"/>
            </w:tcBorders>
          </w:tcPr>
          <w:p w:rsidR="00095AEB" w:rsidRPr="00DD62CA" w:rsidRDefault="00095AEB" w:rsidP="00095AEB">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095AEB" w:rsidRPr="00DD62CA" w:rsidRDefault="00095AEB">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095AEB">
            <w:pPr>
              <w:pStyle w:val="addresses"/>
              <w:rPr>
                <w:rFonts w:ascii="Calibri" w:hAnsi="Calibri"/>
                <w:sz w:val="24"/>
                <w:szCs w:val="24"/>
              </w:rPr>
            </w:pPr>
            <w:r>
              <w:rPr>
                <w:rFonts w:ascii="Calibri" w:hAnsi="Calibri"/>
                <w:sz w:val="24"/>
                <w:szCs w:val="24"/>
              </w:rPr>
              <w:t>3/2019/0840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095AEB">
            <w:pPr>
              <w:rPr>
                <w:rFonts w:ascii="Calibri" w:hAnsi="Calibri"/>
                <w:sz w:val="24"/>
                <w:szCs w:val="24"/>
              </w:rPr>
            </w:pPr>
            <w:r>
              <w:rPr>
                <w:rFonts w:ascii="Calibri" w:hAnsi="Calibri"/>
                <w:sz w:val="24"/>
                <w:szCs w:val="24"/>
              </w:rPr>
              <w:t>18 May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095AEB">
            <w:pPr>
              <w:rPr>
                <w:rFonts w:ascii="Calibri" w:hAnsi="Calibri"/>
                <w:sz w:val="24"/>
                <w:szCs w:val="24"/>
              </w:rPr>
            </w:pPr>
            <w:r>
              <w:rPr>
                <w:rFonts w:ascii="Calibri" w:hAnsi="Calibri"/>
                <w:sz w:val="24"/>
                <w:szCs w:val="24"/>
              </w:rPr>
              <w:t>25/09/2019</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095AEB">
            <w:pPr>
              <w:rPr>
                <w:rFonts w:ascii="Calibri" w:hAnsi="Calibri"/>
                <w:sz w:val="24"/>
                <w:szCs w:val="24"/>
              </w:rPr>
            </w:pPr>
            <w:r>
              <w:rPr>
                <w:rFonts w:ascii="Calibri" w:hAnsi="Calibri"/>
                <w:sz w:val="24"/>
                <w:szCs w:val="24"/>
              </w:rPr>
              <w:t>James Alpe Ltd</w:t>
            </w:r>
          </w:p>
          <w:p w:rsidR="002F3ADA" w:rsidRPr="00DD62CA" w:rsidRDefault="00095AEB">
            <w:pPr>
              <w:rPr>
                <w:rFonts w:ascii="Calibri" w:hAnsi="Calibri"/>
                <w:sz w:val="24"/>
                <w:szCs w:val="24"/>
              </w:rPr>
            </w:pPr>
            <w:r>
              <w:rPr>
                <w:rFonts w:ascii="Calibri" w:hAnsi="Calibri"/>
                <w:sz w:val="24"/>
                <w:szCs w:val="24"/>
              </w:rPr>
              <w:t>C/o Agent</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095AEB">
            <w:pPr>
              <w:pStyle w:val="addresses"/>
              <w:rPr>
                <w:rFonts w:ascii="Calibri" w:hAnsi="Calibri"/>
                <w:sz w:val="24"/>
                <w:szCs w:val="24"/>
              </w:rPr>
            </w:pPr>
            <w:r>
              <w:rPr>
                <w:rFonts w:ascii="Calibri" w:hAnsi="Calibri"/>
                <w:sz w:val="24"/>
                <w:szCs w:val="24"/>
              </w:rPr>
              <w:t>Mr A Kinder</w:t>
            </w:r>
          </w:p>
          <w:p w:rsidR="00095AEB" w:rsidRDefault="00095AEB">
            <w:pPr>
              <w:pStyle w:val="addresses"/>
              <w:rPr>
                <w:rFonts w:ascii="Calibri" w:hAnsi="Calibri"/>
                <w:sz w:val="24"/>
                <w:szCs w:val="24"/>
              </w:rPr>
            </w:pPr>
            <w:r>
              <w:rPr>
                <w:rFonts w:ascii="Calibri" w:hAnsi="Calibri"/>
                <w:sz w:val="24"/>
                <w:szCs w:val="24"/>
              </w:rPr>
              <w:t>Avalon Town Planning</w:t>
            </w:r>
          </w:p>
          <w:p w:rsidR="00095AEB" w:rsidRDefault="00095AEB">
            <w:pPr>
              <w:pStyle w:val="addresses"/>
              <w:rPr>
                <w:rFonts w:ascii="Calibri" w:hAnsi="Calibri"/>
                <w:sz w:val="24"/>
                <w:szCs w:val="24"/>
              </w:rPr>
            </w:pPr>
            <w:r>
              <w:rPr>
                <w:rFonts w:ascii="Calibri" w:hAnsi="Calibri"/>
                <w:sz w:val="24"/>
                <w:szCs w:val="24"/>
              </w:rPr>
              <w:t>2 Reedley Business Centre</w:t>
            </w:r>
          </w:p>
          <w:p w:rsidR="00095AEB" w:rsidRDefault="00095AEB">
            <w:pPr>
              <w:pStyle w:val="addresses"/>
              <w:rPr>
                <w:rFonts w:ascii="Calibri" w:hAnsi="Calibri"/>
                <w:sz w:val="24"/>
                <w:szCs w:val="24"/>
              </w:rPr>
            </w:pPr>
            <w:r>
              <w:rPr>
                <w:rFonts w:ascii="Calibri" w:hAnsi="Calibri"/>
                <w:sz w:val="24"/>
                <w:szCs w:val="24"/>
              </w:rPr>
              <w:t>Redman Road</w:t>
            </w:r>
          </w:p>
          <w:p w:rsidR="00095AEB" w:rsidRDefault="00095AEB">
            <w:pPr>
              <w:pStyle w:val="addresses"/>
              <w:rPr>
                <w:rFonts w:ascii="Calibri" w:hAnsi="Calibri"/>
                <w:sz w:val="24"/>
                <w:szCs w:val="24"/>
              </w:rPr>
            </w:pPr>
            <w:r>
              <w:rPr>
                <w:rFonts w:ascii="Calibri" w:hAnsi="Calibri"/>
                <w:sz w:val="24"/>
                <w:szCs w:val="24"/>
              </w:rPr>
              <w:t>Burnley</w:t>
            </w:r>
          </w:p>
          <w:p w:rsidR="002F3ADA" w:rsidRPr="00DD62CA" w:rsidRDefault="00095AEB">
            <w:pPr>
              <w:pStyle w:val="addresses"/>
              <w:rPr>
                <w:rFonts w:ascii="Calibri" w:hAnsi="Calibri"/>
                <w:sz w:val="24"/>
                <w:szCs w:val="24"/>
              </w:rPr>
            </w:pPr>
            <w:r>
              <w:rPr>
                <w:rFonts w:ascii="Calibri" w:hAnsi="Calibri"/>
                <w:sz w:val="24"/>
                <w:szCs w:val="24"/>
              </w:rPr>
              <w:t>BB10 2TY</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095AEB">
            <w:pPr>
              <w:pStyle w:val="TableText"/>
              <w:rPr>
                <w:rFonts w:ascii="Calibri" w:hAnsi="Calibri"/>
                <w:sz w:val="24"/>
                <w:szCs w:val="24"/>
              </w:rPr>
            </w:pPr>
            <w:r>
              <w:rPr>
                <w:rFonts w:ascii="Calibri" w:hAnsi="Calibri"/>
                <w:sz w:val="24"/>
                <w:szCs w:val="24"/>
              </w:rPr>
              <w:t>Extension to existing workshop (B2 use).</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095AEB">
            <w:pPr>
              <w:pStyle w:val="TableText"/>
              <w:rPr>
                <w:rFonts w:ascii="Calibri" w:hAnsi="Calibri"/>
                <w:sz w:val="24"/>
                <w:szCs w:val="24"/>
              </w:rPr>
            </w:pPr>
            <w:r>
              <w:rPr>
                <w:rFonts w:ascii="Calibri" w:hAnsi="Calibri"/>
                <w:sz w:val="24"/>
                <w:szCs w:val="24"/>
              </w:rPr>
              <w:t>James Alpe Accident Repair Centre Lincoln Way Clitheroe BB7 1QD</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095AEB" w:rsidRDefault="00095AE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2F3ADA" w:rsidRPr="00DD62CA" w:rsidRDefault="002F3ADA">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 xml:space="preserve">The permission shall relate to the development as shown on Plan Reference </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Dwg 01A Location Plan (amended 03.02.2020)</w:t>
            </w:r>
          </w:p>
          <w:p w:rsidR="00095AEB" w:rsidRDefault="00095AEB">
            <w:pPr>
              <w:pStyle w:val="TableText"/>
              <w:rPr>
                <w:rFonts w:ascii="Calibri" w:hAnsi="Calibri"/>
                <w:sz w:val="24"/>
                <w:szCs w:val="24"/>
              </w:rPr>
            </w:pPr>
            <w:r>
              <w:rPr>
                <w:rFonts w:ascii="Calibri" w:hAnsi="Calibri"/>
                <w:sz w:val="24"/>
                <w:szCs w:val="24"/>
              </w:rPr>
              <w:t>Dwg 02 Existing Site Plan</w:t>
            </w:r>
          </w:p>
          <w:p w:rsidR="00095AEB" w:rsidRDefault="00095AEB">
            <w:pPr>
              <w:pStyle w:val="TableText"/>
              <w:rPr>
                <w:rFonts w:ascii="Calibri" w:hAnsi="Calibri"/>
                <w:sz w:val="24"/>
                <w:szCs w:val="24"/>
              </w:rPr>
            </w:pPr>
            <w:r>
              <w:rPr>
                <w:rFonts w:ascii="Calibri" w:hAnsi="Calibri"/>
                <w:sz w:val="24"/>
                <w:szCs w:val="24"/>
              </w:rPr>
              <w:t>Dwg 03C Proposed Site Plan (amended 03.02.2020)</w:t>
            </w:r>
          </w:p>
          <w:p w:rsidR="00095AEB" w:rsidRDefault="00095AEB">
            <w:pPr>
              <w:pStyle w:val="TableText"/>
              <w:rPr>
                <w:rFonts w:ascii="Calibri" w:hAnsi="Calibri"/>
                <w:sz w:val="24"/>
                <w:szCs w:val="24"/>
              </w:rPr>
            </w:pPr>
            <w:r>
              <w:rPr>
                <w:rFonts w:ascii="Calibri" w:hAnsi="Calibri"/>
                <w:sz w:val="24"/>
                <w:szCs w:val="24"/>
              </w:rPr>
              <w:t>Dwg 04 Existing Floor Plan</w:t>
            </w:r>
          </w:p>
          <w:p w:rsidR="00095AEB" w:rsidRDefault="00095AEB">
            <w:pPr>
              <w:pStyle w:val="TableText"/>
              <w:rPr>
                <w:rFonts w:ascii="Calibri" w:hAnsi="Calibri"/>
                <w:sz w:val="24"/>
                <w:szCs w:val="24"/>
              </w:rPr>
            </w:pPr>
            <w:r>
              <w:rPr>
                <w:rFonts w:ascii="Calibri" w:hAnsi="Calibri"/>
                <w:sz w:val="24"/>
                <w:szCs w:val="24"/>
              </w:rPr>
              <w:t>Dwg 05 Proposed Floor Plan</w:t>
            </w:r>
          </w:p>
          <w:p w:rsidR="00095AEB" w:rsidRDefault="00095AEB">
            <w:pPr>
              <w:pStyle w:val="TableText"/>
              <w:rPr>
                <w:rFonts w:ascii="Calibri" w:hAnsi="Calibri"/>
                <w:sz w:val="24"/>
                <w:szCs w:val="24"/>
              </w:rPr>
            </w:pPr>
            <w:r>
              <w:rPr>
                <w:rFonts w:ascii="Calibri" w:hAnsi="Calibri"/>
                <w:sz w:val="24"/>
                <w:szCs w:val="24"/>
              </w:rPr>
              <w:t>Dwg 06 Existing Elevations</w:t>
            </w:r>
          </w:p>
          <w:p w:rsidR="00095AEB" w:rsidRDefault="00095AEB">
            <w:pPr>
              <w:pStyle w:val="TableText"/>
              <w:rPr>
                <w:rFonts w:ascii="Calibri" w:hAnsi="Calibri"/>
                <w:sz w:val="24"/>
                <w:szCs w:val="24"/>
              </w:rPr>
            </w:pPr>
            <w:r>
              <w:rPr>
                <w:rFonts w:ascii="Calibri" w:hAnsi="Calibri"/>
                <w:sz w:val="24"/>
                <w:szCs w:val="24"/>
              </w:rPr>
              <w:t>Dwg 07 Proposed Elevations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rsidR="00095AEB" w:rsidRDefault="00095AEB">
            <w:pPr>
              <w:pStyle w:val="TableText"/>
              <w:rPr>
                <w:rFonts w:ascii="Calibri" w:hAnsi="Calibri"/>
                <w:sz w:val="24"/>
                <w:szCs w:val="24"/>
              </w:rPr>
            </w:pPr>
          </w:p>
          <w:p w:rsidR="00095AEB" w:rsidRPr="00DD62CA" w:rsidRDefault="00095AEB">
            <w:pPr>
              <w:pStyle w:val="TableText"/>
              <w:rPr>
                <w:rFonts w:ascii="Calibri" w:hAnsi="Calibri"/>
                <w:sz w:val="24"/>
                <w:szCs w:val="24"/>
              </w:rPr>
            </w:pPr>
            <w:r>
              <w:rPr>
                <w:rFonts w:ascii="Calibri" w:hAnsi="Calibri"/>
                <w:sz w:val="24"/>
                <w:szCs w:val="24"/>
              </w:rPr>
              <w:t>P.T.O.</w:t>
            </w: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All new external work and finishes shall match those of the existing buildings in respect of materials used, detailed execution and finished appearance except where indicated otherwise on the approved drawings.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To ensure that the materials to be used are appropriate to the locality.</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The extension hereby approved shall not be occupied or used for any other purposes than those ancillary to and in conjunction with the operations associated with the business to which it relates (known as the James Alpe Motor Vehicle Repair). The extension shall not operate independently of the aforementioned business and shall not be divided by way of sale or sub-letting to form a separate unit or units.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To define the scope of the permission and prevent the use of the building for purpose(s) which may be cause harm to the area or operation of the immediate highway.</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The development hereby approved shall be completed in strict accordance with the recommendations and mitigation measures contained within the Noise Impact Assessment (dated 22/03/2019) by Nova Acoustics that was submitted with the application.</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To protect the amenities of occupiers of nearby properties.</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 xml:space="preserve">No externally sited fixed plant, machinery or equipment (including ventilation and extraction equipment); or internally sited fixed plant, machinery and equipment (including ventilation and extraction equipment) which communicates directly to the exterior of a building used in connection with the development shall be fitted without first obtaining planning permission from the Local Planning Authority.  </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In the interests of the amenity of the surrounding area due to noise from such equipment.</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Notwithstanding the provisions of the Town and Country Planning (General Permitted Development) Order 2015 or any Order revoking or re-enacting that Order, no extensions or alterations, including the introduction of mezzanine floors, shall be carried out in respect of the buildings to which this permission relates.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To prevent an intensification in the use of the premises, in the interests of the visual amenities of the area and the amenities of local residents.</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During the construction period no building or engineering operations within the site or deliveries to and from the site shall take place other than between 07:30 hours and 18:00 hours Monday to Friday and between 08:30 hours and 14:00 hours on Saturdays, and not at all on Sundays or Bank Holidays.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In order to protect the amenities of existing residents.</w:t>
            </w:r>
          </w:p>
          <w:p w:rsidR="00095AEB" w:rsidRPr="00DD62CA" w:rsidRDefault="00095AEB">
            <w:pPr>
              <w:pStyle w:val="TableText"/>
              <w:rPr>
                <w:rFonts w:ascii="Calibri" w:hAnsi="Calibri"/>
                <w:sz w:val="24"/>
                <w:szCs w:val="24"/>
              </w:rPr>
            </w:pPr>
            <w:r>
              <w:rPr>
                <w:rFonts w:ascii="Calibri" w:hAnsi="Calibri"/>
                <w:sz w:val="24"/>
                <w:szCs w:val="24"/>
              </w:rPr>
              <w:t>P.T.O.</w:t>
            </w: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Details of any external lighting to be installed on the new unit, or elsewhere on the site, shall have been submitted to and approved in writing by the Local Planning Authority prior to installation. For the avoidance of doubt the submitted details shall include luminance levels and demonstrate how any proposed external lighting has been designed and located to avoid excessive light spill and pollution.</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The external lighting shall be installed precisely in accordance with the approved details and thereby retained as such.</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In order to ensure a satisfactory appearance in the interests of visual amenity and to prevent nuisance.</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The working hours within the premises shall be restricted to the period from 07:00-18:00 Monday to Friday inclusive, 07:00-12.00 on Saturday and not at all on Sunday and Bank Holidays.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In order to prevent nuisance arising.</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A scheme for the landscaping of the development shall be submitted prior to the commencement of the development. These details shall indicate the types and numbers of trees and shrubs to be planted, their distribution on site, those areas to be seeded, paved or hard landscaped (including full details of the colour, form and texture) taking into account the recommendations contained in the Preliminary Ecology Appraisal by Pennine Ecological; and detail any changes of ground level or landform, proposed finished levels, means of enclosure, minor artefacts and structures.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All hard and soft landscape works shall be carried out in accordance with the approved details within the first planting and seeding seasons following the occupation of any buildings or the completion of the development, whichever is the sooner, and any trees or plants which within a period of 5 years from the completion of the development die, are removed or become seriously damaged or diseased shall be replaced in the next planting season with others of similar size and species.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To ensure that a satisfactory landscaping scheme for the development is carried out to mitigate the impact of the development and secure a high quality design.</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Any removal of vegetation including trees and hedges shall be undertaken outside the nesting bird season [March - August inclusive] unless preceded by a pre-clearance check by a licensed ecologist on the day of removal which confirms the absence of nesting birds.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To ensure that there are no adverse effects on the favourable conservation status of birds.</w:t>
            </w:r>
          </w:p>
          <w:p w:rsidR="00095AEB" w:rsidRPr="00DD62CA" w:rsidRDefault="00095AEB">
            <w:pPr>
              <w:pStyle w:val="TableText"/>
              <w:rPr>
                <w:rFonts w:ascii="Calibri" w:hAnsi="Calibri"/>
                <w:sz w:val="24"/>
                <w:szCs w:val="24"/>
              </w:rPr>
            </w:pPr>
            <w:r>
              <w:rPr>
                <w:rFonts w:ascii="Calibri" w:hAnsi="Calibri"/>
                <w:sz w:val="24"/>
                <w:szCs w:val="24"/>
              </w:rPr>
              <w:t>P.T.O.</w:t>
            </w: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The development shall be carried out in strict accordance with the actions, methods &amp; timing details included in the recommendations of the Preliminary Ecology Appraisal (dated November 2018) by Pennine Ecological that was submitted with the application.</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protected species.</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No development shall take place, including any works of demolition, until a construction method statement has been submitted to and approved in writing by the local planning authority. The approved statement shall be adhered to throughout the construction period. It shall provide for:</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a)The parking of vehicles of site operatives and visitors</w:t>
            </w:r>
          </w:p>
          <w:p w:rsidR="00095AEB" w:rsidRDefault="00095AEB">
            <w:pPr>
              <w:pStyle w:val="TableText"/>
              <w:rPr>
                <w:rFonts w:ascii="Calibri" w:hAnsi="Calibri"/>
                <w:sz w:val="24"/>
                <w:szCs w:val="24"/>
              </w:rPr>
            </w:pPr>
            <w:r>
              <w:rPr>
                <w:rFonts w:ascii="Calibri" w:hAnsi="Calibri"/>
                <w:sz w:val="24"/>
                <w:szCs w:val="24"/>
              </w:rPr>
              <w:t>b)The loading and unloading of plant and materials</w:t>
            </w:r>
          </w:p>
          <w:p w:rsidR="00095AEB" w:rsidRDefault="00095AEB">
            <w:pPr>
              <w:pStyle w:val="TableText"/>
              <w:rPr>
                <w:rFonts w:ascii="Calibri" w:hAnsi="Calibri"/>
                <w:sz w:val="24"/>
                <w:szCs w:val="24"/>
              </w:rPr>
            </w:pPr>
            <w:r>
              <w:rPr>
                <w:rFonts w:ascii="Calibri" w:hAnsi="Calibri"/>
                <w:sz w:val="24"/>
                <w:szCs w:val="24"/>
              </w:rPr>
              <w:t>c)The storage of plant and materials used in constructing the development</w:t>
            </w:r>
          </w:p>
          <w:p w:rsidR="00095AEB" w:rsidRDefault="00095AEB">
            <w:pPr>
              <w:pStyle w:val="TableText"/>
              <w:rPr>
                <w:rFonts w:ascii="Calibri" w:hAnsi="Calibri"/>
                <w:sz w:val="24"/>
                <w:szCs w:val="24"/>
              </w:rPr>
            </w:pPr>
            <w:r>
              <w:rPr>
                <w:rFonts w:ascii="Calibri" w:hAnsi="Calibri"/>
                <w:sz w:val="24"/>
                <w:szCs w:val="24"/>
              </w:rPr>
              <w:t>d) Contact details for the site manager</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The approved statement shall be adhered to throughout the construction period of the development hereby approved.</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In the interests of protecting residential amenity from noise and disturbance and to ensure the safe operation of the Highway during the construction phase of the development.</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The car parking spaces and manoeuvring areas shall be marked out in accordance with the approved plan before the use of the extension hereby permitted becomes operative; such parking facilities shall thereafter be permanently retained and shall solely be used for vehicular parking in conjunction with and ancillary to the functions and operations undertaken at James Alpe Ltd.</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In the interest of highway safety and to ensure adequate parking is available within the site.</w:t>
            </w:r>
          </w:p>
          <w:p w:rsidR="00095AEB" w:rsidRPr="00DD62CA" w:rsidRDefault="00095AEB">
            <w:pPr>
              <w:pStyle w:val="TableText"/>
              <w:rPr>
                <w:rFonts w:ascii="Calibri" w:hAnsi="Calibri"/>
                <w:sz w:val="24"/>
                <w:szCs w:val="24"/>
              </w:rPr>
            </w:pP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The development hereby approved shall be carried out in complete accordance with principles set out in the submitted Flood Risk/Sustainable Urban Drainage Systems (SuDS) Assessment (Ref No. QFRA 1198, Rev: 1.2, Dated: 10.04.2020) which was prepared by UK Flood Risk Consultants.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No surface water will be permitted to drain directly or indirectly into the public sewer. Any variation to the discharge of foul shall be agreed in writing by the Local Planning Authority prior to the commencement of the development. The development shall be completed in accordance with the approved details.</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To prevent flooding by ensuring the satisfactory storage of/disposal of surface water from the site and to ensure that water quality is not detrimentally impacted by the proposed development.</w:t>
            </w:r>
          </w:p>
          <w:p w:rsidR="00095AEB" w:rsidRPr="00DD62CA" w:rsidRDefault="00095AEB">
            <w:pPr>
              <w:pStyle w:val="TableText"/>
              <w:rPr>
                <w:rFonts w:ascii="Calibri" w:hAnsi="Calibri"/>
                <w:sz w:val="24"/>
                <w:szCs w:val="24"/>
              </w:rPr>
            </w:pPr>
            <w:r>
              <w:rPr>
                <w:rFonts w:ascii="Calibri" w:hAnsi="Calibri"/>
                <w:sz w:val="24"/>
                <w:szCs w:val="24"/>
              </w:rPr>
              <w:t>T.PO.</w:t>
            </w:r>
          </w:p>
        </w:tc>
      </w:tr>
      <w:tr w:rsidR="00095AEB" w:rsidRPr="00DD62CA">
        <w:trPr>
          <w:cantSplit/>
          <w:trHeight w:val="527"/>
        </w:trPr>
        <w:tc>
          <w:tcPr>
            <w:tcW w:w="988" w:type="dxa"/>
          </w:tcPr>
          <w:p w:rsidR="00095AEB" w:rsidRPr="00DD62CA" w:rsidRDefault="00095AEB">
            <w:pPr>
              <w:pStyle w:val="TableText"/>
              <w:numPr>
                <w:ilvl w:val="0"/>
                <w:numId w:val="3"/>
              </w:numPr>
              <w:rPr>
                <w:rFonts w:ascii="Calibri" w:hAnsi="Calibri"/>
                <w:sz w:val="24"/>
                <w:szCs w:val="24"/>
              </w:rPr>
            </w:pPr>
          </w:p>
        </w:tc>
        <w:tc>
          <w:tcPr>
            <w:tcW w:w="9365" w:type="dxa"/>
            <w:gridSpan w:val="2"/>
          </w:tcPr>
          <w:p w:rsidR="00095AEB" w:rsidRDefault="00095AEB">
            <w:pPr>
              <w:pStyle w:val="TableText"/>
              <w:rPr>
                <w:rFonts w:ascii="Calibri" w:hAnsi="Calibri"/>
                <w:sz w:val="24"/>
                <w:szCs w:val="24"/>
              </w:rPr>
            </w:pPr>
            <w:r>
              <w:rPr>
                <w:rFonts w:ascii="Calibri" w:hAnsi="Calibri"/>
                <w:sz w:val="24"/>
                <w:szCs w:val="24"/>
              </w:rPr>
              <w:t>Surface water must drain separate from the foul and no surface water will be permitted to discharge to the foul sewerage system.</w:t>
            </w:r>
          </w:p>
          <w:p w:rsidR="00095AEB" w:rsidRDefault="00095AEB">
            <w:pPr>
              <w:pStyle w:val="TableText"/>
              <w:rPr>
                <w:rFonts w:ascii="Calibri" w:hAnsi="Calibri"/>
                <w:sz w:val="24"/>
                <w:szCs w:val="24"/>
              </w:rPr>
            </w:pPr>
          </w:p>
          <w:p w:rsidR="00095AEB" w:rsidRDefault="00095AEB">
            <w:pPr>
              <w:pStyle w:val="TableText"/>
              <w:rPr>
                <w:rFonts w:ascii="Calibri" w:hAnsi="Calibri"/>
                <w:sz w:val="24"/>
                <w:szCs w:val="24"/>
              </w:rPr>
            </w:pPr>
            <w:r>
              <w:rPr>
                <w:rFonts w:ascii="Calibri" w:hAnsi="Calibri"/>
                <w:sz w:val="24"/>
                <w:szCs w:val="24"/>
              </w:rPr>
              <w:t>Reason: To secure proper drainage</w:t>
            </w:r>
          </w:p>
          <w:p w:rsidR="00095AEB" w:rsidRPr="00DD62CA" w:rsidRDefault="00095AEB">
            <w:pPr>
              <w:pStyle w:val="TableText"/>
              <w:rPr>
                <w:rFonts w:ascii="Calibri" w:hAnsi="Calibri"/>
                <w:sz w:val="24"/>
                <w:szCs w:val="24"/>
              </w:rPr>
            </w:pPr>
          </w:p>
        </w:tc>
      </w:tr>
    </w:tbl>
    <w:bookmarkEnd w:id="1"/>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095AEB" w:rsidRPr="00DD62CA" w:rsidRDefault="00095AEB">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095AEB">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AEB" w:rsidRDefault="00095AEB">
      <w:r>
        <w:separator/>
      </w:r>
    </w:p>
  </w:endnote>
  <w:endnote w:type="continuationSeparator" w:id="0">
    <w:p w:rsidR="00095AEB" w:rsidRDefault="0009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AEB" w:rsidRDefault="00095AEB">
      <w:r>
        <w:separator/>
      </w:r>
    </w:p>
  </w:footnote>
  <w:footnote w:type="continuationSeparator" w:id="0">
    <w:p w:rsidR="00095AEB" w:rsidRDefault="00095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095AEB">
      <w:rPr>
        <w:b/>
        <w:bCs/>
      </w:rPr>
      <w:t>3/2019/0840</w:t>
    </w:r>
    <w:r>
      <w:rPr>
        <w:b/>
        <w:bCs/>
      </w:rPr>
      <w:t xml:space="preserve">                                  DECISION DATE: </w:t>
    </w:r>
    <w:r w:rsidR="00095AEB">
      <w:rPr>
        <w:b/>
        <w:bCs/>
      </w:rPr>
      <w:t xml:space="preserve"> 18 May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EB"/>
    <w:rsid w:val="00095AEB"/>
    <w:rsid w:val="001613C3"/>
    <w:rsid w:val="00172E52"/>
    <w:rsid w:val="002C337D"/>
    <w:rsid w:val="002D5D44"/>
    <w:rsid w:val="002F3ADA"/>
    <w:rsid w:val="004B764D"/>
    <w:rsid w:val="0070149C"/>
    <w:rsid w:val="007C793E"/>
    <w:rsid w:val="0081123F"/>
    <w:rsid w:val="00A15272"/>
    <w:rsid w:val="00AA358D"/>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BD8E19-33BF-46C2-BF85-D334CEBF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5</Pages>
  <Words>1552</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2004-01-27T17:21:00Z</cp:lastPrinted>
  <dcterms:created xsi:type="dcterms:W3CDTF">2020-05-18T14:13:00Z</dcterms:created>
  <dcterms:modified xsi:type="dcterms:W3CDTF">2020-05-18T14:13:00Z</dcterms:modified>
</cp:coreProperties>
</file>