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3F11F2" w:rsidRPr="00DD62CA" w:rsidTr="006708EB">
        <w:trPr>
          <w:cantSplit/>
        </w:trPr>
        <w:tc>
          <w:tcPr>
            <w:tcW w:w="6983" w:type="dxa"/>
            <w:gridSpan w:val="4"/>
          </w:tcPr>
          <w:p w:rsidR="003F11F2" w:rsidRPr="00DD62CA" w:rsidRDefault="003F11F2">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3F11F2" w:rsidRPr="00DD62CA" w:rsidRDefault="003F11F2">
            <w:pPr>
              <w:rPr>
                <w:rFonts w:ascii="Calibri" w:hAnsi="Calibri"/>
                <w:sz w:val="24"/>
                <w:szCs w:val="24"/>
              </w:rPr>
            </w:pPr>
          </w:p>
        </w:tc>
        <w:tc>
          <w:tcPr>
            <w:tcW w:w="1713" w:type="dxa"/>
          </w:tcPr>
          <w:p w:rsidR="003F11F2" w:rsidRPr="00DD62CA" w:rsidRDefault="003F11F2">
            <w:pPr>
              <w:rPr>
                <w:rFonts w:ascii="Calibri" w:hAnsi="Calibri"/>
                <w:sz w:val="24"/>
                <w:szCs w:val="24"/>
              </w:rPr>
            </w:pPr>
          </w:p>
        </w:tc>
      </w:tr>
      <w:tr w:rsidR="003F11F2" w:rsidRPr="00DD62CA" w:rsidTr="005E28B8">
        <w:trPr>
          <w:cantSplit/>
        </w:trPr>
        <w:tc>
          <w:tcPr>
            <w:tcW w:w="8696" w:type="dxa"/>
            <w:gridSpan w:val="5"/>
            <w:tcBorders>
              <w:bottom w:val="single" w:sz="6" w:space="0" w:color="auto"/>
            </w:tcBorders>
          </w:tcPr>
          <w:p w:rsidR="003F11F2" w:rsidRPr="00DD62CA" w:rsidRDefault="003F11F2">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3F11F2" w:rsidRPr="00DD62CA" w:rsidRDefault="003F11F2">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3F11F2">
            <w:pPr>
              <w:pStyle w:val="addresses"/>
              <w:rPr>
                <w:rFonts w:ascii="Calibri" w:hAnsi="Calibri"/>
                <w:sz w:val="24"/>
                <w:szCs w:val="24"/>
              </w:rPr>
            </w:pPr>
            <w:r>
              <w:rPr>
                <w:rFonts w:ascii="Calibri" w:hAnsi="Calibri"/>
                <w:sz w:val="24"/>
                <w:szCs w:val="24"/>
              </w:rPr>
              <w:t>3/2019/1073</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3F11F2">
            <w:pPr>
              <w:rPr>
                <w:rFonts w:ascii="Calibri" w:hAnsi="Calibri"/>
                <w:sz w:val="24"/>
                <w:szCs w:val="24"/>
              </w:rPr>
            </w:pPr>
            <w:r>
              <w:rPr>
                <w:rFonts w:ascii="Calibri" w:hAnsi="Calibri"/>
                <w:sz w:val="24"/>
                <w:szCs w:val="24"/>
              </w:rPr>
              <w:t>13 January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3F11F2">
            <w:pPr>
              <w:rPr>
                <w:rFonts w:ascii="Calibri" w:hAnsi="Calibri"/>
                <w:sz w:val="24"/>
                <w:szCs w:val="24"/>
              </w:rPr>
            </w:pPr>
            <w:r>
              <w:rPr>
                <w:rFonts w:ascii="Calibri" w:hAnsi="Calibri"/>
                <w:sz w:val="24"/>
                <w:szCs w:val="24"/>
              </w:rPr>
              <w:t>20/11/2019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3F11F2">
            <w:pPr>
              <w:rPr>
                <w:rFonts w:ascii="Calibri" w:hAnsi="Calibri"/>
                <w:sz w:val="24"/>
                <w:szCs w:val="24"/>
              </w:rPr>
            </w:pPr>
            <w:r>
              <w:rPr>
                <w:rFonts w:ascii="Calibri" w:hAnsi="Calibri"/>
                <w:sz w:val="24"/>
                <w:szCs w:val="24"/>
              </w:rPr>
              <w:t>HE Airey and Sons</w:t>
            </w:r>
          </w:p>
          <w:p w:rsidR="002F3ADA" w:rsidRPr="00DD62CA" w:rsidRDefault="003F11F2">
            <w:pPr>
              <w:rPr>
                <w:rFonts w:ascii="Calibri" w:hAnsi="Calibri"/>
                <w:sz w:val="24"/>
                <w:szCs w:val="24"/>
              </w:rPr>
            </w:pPr>
            <w:r>
              <w:rPr>
                <w:rFonts w:ascii="Calibri" w:hAnsi="Calibri"/>
                <w:sz w:val="24"/>
                <w:szCs w:val="24"/>
              </w:rPr>
              <w:t>c/o agent</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3F11F2">
            <w:pPr>
              <w:pStyle w:val="addresses"/>
              <w:rPr>
                <w:rFonts w:ascii="Calibri" w:hAnsi="Calibri"/>
                <w:sz w:val="24"/>
                <w:szCs w:val="24"/>
              </w:rPr>
            </w:pPr>
            <w:r>
              <w:rPr>
                <w:rFonts w:ascii="Calibri" w:hAnsi="Calibri"/>
                <w:sz w:val="24"/>
                <w:szCs w:val="24"/>
              </w:rPr>
              <w:t>David Wrigley Planning</w:t>
            </w:r>
          </w:p>
          <w:p w:rsidR="003F11F2" w:rsidRDefault="003F11F2">
            <w:pPr>
              <w:pStyle w:val="addresses"/>
              <w:rPr>
                <w:rFonts w:ascii="Calibri" w:hAnsi="Calibri"/>
                <w:sz w:val="24"/>
                <w:szCs w:val="24"/>
              </w:rPr>
            </w:pPr>
            <w:r>
              <w:rPr>
                <w:rFonts w:ascii="Calibri" w:hAnsi="Calibri"/>
                <w:sz w:val="24"/>
                <w:szCs w:val="24"/>
              </w:rPr>
              <w:t>Fairfield Business Park</w:t>
            </w:r>
          </w:p>
          <w:p w:rsidR="003F11F2" w:rsidRDefault="003F11F2">
            <w:pPr>
              <w:pStyle w:val="addresses"/>
              <w:rPr>
                <w:rFonts w:ascii="Calibri" w:hAnsi="Calibri"/>
                <w:sz w:val="24"/>
                <w:szCs w:val="24"/>
              </w:rPr>
            </w:pPr>
            <w:r>
              <w:rPr>
                <w:rFonts w:ascii="Calibri" w:hAnsi="Calibri"/>
                <w:sz w:val="24"/>
                <w:szCs w:val="24"/>
              </w:rPr>
              <w:t>Longsight Road</w:t>
            </w:r>
          </w:p>
          <w:p w:rsidR="003F11F2" w:rsidRDefault="003F11F2">
            <w:pPr>
              <w:pStyle w:val="addresses"/>
              <w:rPr>
                <w:rFonts w:ascii="Calibri" w:hAnsi="Calibri"/>
                <w:sz w:val="24"/>
                <w:szCs w:val="24"/>
              </w:rPr>
            </w:pPr>
            <w:r>
              <w:rPr>
                <w:rFonts w:ascii="Calibri" w:hAnsi="Calibri"/>
                <w:sz w:val="24"/>
                <w:szCs w:val="24"/>
              </w:rPr>
              <w:t>Clayton le Dale</w:t>
            </w:r>
          </w:p>
          <w:p w:rsidR="003F11F2" w:rsidRDefault="003F11F2">
            <w:pPr>
              <w:pStyle w:val="addresses"/>
              <w:rPr>
                <w:rFonts w:ascii="Calibri" w:hAnsi="Calibri"/>
                <w:sz w:val="24"/>
                <w:szCs w:val="24"/>
              </w:rPr>
            </w:pPr>
            <w:r>
              <w:rPr>
                <w:rFonts w:ascii="Calibri" w:hAnsi="Calibri"/>
                <w:sz w:val="24"/>
                <w:szCs w:val="24"/>
              </w:rPr>
              <w:t>Blackburn</w:t>
            </w:r>
          </w:p>
          <w:p w:rsidR="002F3ADA" w:rsidRPr="00DD62CA" w:rsidRDefault="003F11F2">
            <w:pPr>
              <w:pStyle w:val="addresses"/>
              <w:rPr>
                <w:rFonts w:ascii="Calibri" w:hAnsi="Calibri"/>
                <w:sz w:val="24"/>
                <w:szCs w:val="24"/>
              </w:rPr>
            </w:pPr>
            <w:r>
              <w:rPr>
                <w:rFonts w:ascii="Calibri" w:hAnsi="Calibri"/>
                <w:sz w:val="24"/>
                <w:szCs w:val="24"/>
              </w:rPr>
              <w:t>BB2 7JA</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3F11F2">
            <w:pPr>
              <w:pStyle w:val="TableText"/>
              <w:rPr>
                <w:rFonts w:ascii="Calibri" w:hAnsi="Calibri"/>
                <w:sz w:val="24"/>
                <w:szCs w:val="24"/>
              </w:rPr>
            </w:pPr>
            <w:r>
              <w:rPr>
                <w:rFonts w:ascii="Calibri" w:hAnsi="Calibri"/>
                <w:sz w:val="24"/>
                <w:szCs w:val="24"/>
              </w:rPr>
              <w:t xml:space="preserve">Proposal to construct agricultural general-purpose storage building to adjoin existing farm building. </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3F11F2">
            <w:pPr>
              <w:pStyle w:val="TableText"/>
              <w:rPr>
                <w:rFonts w:ascii="Calibri" w:hAnsi="Calibri"/>
                <w:sz w:val="24"/>
                <w:szCs w:val="24"/>
              </w:rPr>
            </w:pPr>
            <w:r>
              <w:rPr>
                <w:rFonts w:ascii="Calibri" w:hAnsi="Calibri"/>
                <w:sz w:val="24"/>
                <w:szCs w:val="24"/>
              </w:rPr>
              <w:t>Thornley Hall Farm Thornley with Wheatley Longridge PR3 2TN</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3F11F2" w:rsidRDefault="003F11F2">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3F11F2" w:rsidRDefault="003F11F2">
            <w:pPr>
              <w:pStyle w:val="TableText"/>
              <w:rPr>
                <w:rFonts w:ascii="Calibri" w:hAnsi="Calibri"/>
                <w:sz w:val="24"/>
                <w:szCs w:val="24"/>
              </w:rPr>
            </w:pPr>
          </w:p>
          <w:p w:rsidR="003F11F2" w:rsidRDefault="003F11F2">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3F11F2" w:rsidRPr="00DD62CA">
        <w:trPr>
          <w:cantSplit/>
          <w:trHeight w:val="527"/>
        </w:trPr>
        <w:tc>
          <w:tcPr>
            <w:tcW w:w="988" w:type="dxa"/>
          </w:tcPr>
          <w:p w:rsidR="003F11F2" w:rsidRPr="00DD62CA" w:rsidRDefault="003F11F2">
            <w:pPr>
              <w:pStyle w:val="TableText"/>
              <w:numPr>
                <w:ilvl w:val="0"/>
                <w:numId w:val="3"/>
              </w:numPr>
              <w:rPr>
                <w:rFonts w:ascii="Calibri" w:hAnsi="Calibri"/>
                <w:sz w:val="24"/>
                <w:szCs w:val="24"/>
              </w:rPr>
            </w:pPr>
          </w:p>
        </w:tc>
        <w:tc>
          <w:tcPr>
            <w:tcW w:w="9365" w:type="dxa"/>
            <w:gridSpan w:val="2"/>
          </w:tcPr>
          <w:p w:rsidR="003F11F2" w:rsidRDefault="003F11F2">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3F11F2" w:rsidRDefault="003F11F2">
            <w:pPr>
              <w:pStyle w:val="TableText"/>
              <w:rPr>
                <w:rFonts w:ascii="Calibri" w:hAnsi="Calibri"/>
                <w:sz w:val="24"/>
                <w:szCs w:val="24"/>
              </w:rPr>
            </w:pPr>
          </w:p>
          <w:p w:rsidR="003F11F2" w:rsidRDefault="003F11F2">
            <w:pPr>
              <w:pStyle w:val="TableText"/>
              <w:rPr>
                <w:rFonts w:ascii="Calibri" w:hAnsi="Calibri"/>
                <w:sz w:val="24"/>
                <w:szCs w:val="24"/>
              </w:rPr>
            </w:pPr>
            <w:r>
              <w:rPr>
                <w:rFonts w:ascii="Calibri" w:hAnsi="Calibri"/>
                <w:sz w:val="24"/>
                <w:szCs w:val="24"/>
              </w:rPr>
              <w:t>H E AIREY &amp; SONS. THORNLEY HALL FARM - PLAN2 proposal to construct general purpose store- Site Plan HM/1073/2</w:t>
            </w:r>
          </w:p>
          <w:p w:rsidR="003F11F2" w:rsidRDefault="003F11F2">
            <w:pPr>
              <w:pStyle w:val="TableText"/>
              <w:rPr>
                <w:rFonts w:ascii="Calibri" w:hAnsi="Calibri"/>
                <w:sz w:val="24"/>
                <w:szCs w:val="24"/>
              </w:rPr>
            </w:pPr>
            <w:r>
              <w:rPr>
                <w:rFonts w:ascii="Calibri" w:hAnsi="Calibri"/>
                <w:sz w:val="24"/>
                <w:szCs w:val="24"/>
              </w:rPr>
              <w:t>H E AIREY &amp; SONS. THORNLEY HALL FARM - PLAN3 proposal to construct general purpose store- elevations HM/1073/3</w:t>
            </w:r>
          </w:p>
          <w:p w:rsidR="003F11F2" w:rsidRDefault="003F11F2">
            <w:pPr>
              <w:pStyle w:val="TableText"/>
              <w:rPr>
                <w:rFonts w:ascii="Calibri" w:hAnsi="Calibri"/>
                <w:sz w:val="24"/>
                <w:szCs w:val="24"/>
              </w:rPr>
            </w:pPr>
            <w:r>
              <w:rPr>
                <w:rFonts w:ascii="Calibri" w:hAnsi="Calibri"/>
                <w:sz w:val="24"/>
                <w:szCs w:val="24"/>
              </w:rPr>
              <w:t>H E AIREY &amp; SONS. THORNLEY HALL FARM - PLAN4 proposal to construct general purpose store - Floor Plan HM/1073/4</w:t>
            </w:r>
          </w:p>
          <w:p w:rsidR="003F11F2" w:rsidRDefault="003F11F2">
            <w:pPr>
              <w:pStyle w:val="TableText"/>
              <w:rPr>
                <w:rFonts w:ascii="Calibri" w:hAnsi="Calibri"/>
                <w:sz w:val="24"/>
                <w:szCs w:val="24"/>
              </w:rPr>
            </w:pPr>
            <w:r>
              <w:rPr>
                <w:rFonts w:ascii="Calibri" w:hAnsi="Calibri"/>
                <w:sz w:val="24"/>
                <w:szCs w:val="24"/>
              </w:rPr>
              <w:tab/>
              <w:t>H E AIREY &amp; SONS. THORNLEY HALL FARM - PLAN5 proposal to construct general purpose store- Roof Plan HM/1073/5</w:t>
            </w:r>
          </w:p>
          <w:p w:rsidR="003F11F2" w:rsidRDefault="003F11F2">
            <w:pPr>
              <w:pStyle w:val="TableText"/>
              <w:rPr>
                <w:rFonts w:ascii="Calibri" w:hAnsi="Calibri"/>
                <w:sz w:val="24"/>
                <w:szCs w:val="24"/>
              </w:rPr>
            </w:pPr>
          </w:p>
          <w:p w:rsidR="003F11F2" w:rsidRDefault="003F11F2">
            <w:pPr>
              <w:pStyle w:val="TableText"/>
              <w:rPr>
                <w:rFonts w:ascii="Calibri" w:hAnsi="Calibri"/>
                <w:sz w:val="24"/>
                <w:szCs w:val="24"/>
              </w:rPr>
            </w:pPr>
            <w:r>
              <w:rPr>
                <w:rFonts w:ascii="Calibri" w:hAnsi="Calibri"/>
                <w:sz w:val="24"/>
                <w:szCs w:val="24"/>
              </w:rPr>
              <w:t xml:space="preserve">Reason:  For the avoidance of doubt and to clarify which plans are relevant to the consent in accordance with the Ribble Valley Core Strategy. </w:t>
            </w:r>
          </w:p>
          <w:p w:rsidR="003F11F2" w:rsidRPr="00DD62CA" w:rsidRDefault="003F11F2">
            <w:pPr>
              <w:pStyle w:val="TableText"/>
              <w:rPr>
                <w:rFonts w:ascii="Calibri" w:hAnsi="Calibri"/>
                <w:sz w:val="24"/>
                <w:szCs w:val="24"/>
              </w:rPr>
            </w:pPr>
          </w:p>
        </w:tc>
      </w:tr>
      <w:tr w:rsidR="003F11F2" w:rsidRPr="00DD62CA">
        <w:trPr>
          <w:cantSplit/>
          <w:trHeight w:val="527"/>
        </w:trPr>
        <w:tc>
          <w:tcPr>
            <w:tcW w:w="988" w:type="dxa"/>
          </w:tcPr>
          <w:p w:rsidR="003F11F2" w:rsidRPr="00DD62CA" w:rsidRDefault="003F11F2">
            <w:pPr>
              <w:pStyle w:val="TableText"/>
              <w:numPr>
                <w:ilvl w:val="0"/>
                <w:numId w:val="3"/>
              </w:numPr>
              <w:rPr>
                <w:rFonts w:ascii="Calibri" w:hAnsi="Calibri"/>
                <w:sz w:val="24"/>
                <w:szCs w:val="24"/>
              </w:rPr>
            </w:pPr>
          </w:p>
        </w:tc>
        <w:tc>
          <w:tcPr>
            <w:tcW w:w="9365" w:type="dxa"/>
            <w:gridSpan w:val="2"/>
          </w:tcPr>
          <w:p w:rsidR="003F11F2" w:rsidRDefault="003F11F2">
            <w:pPr>
              <w:pStyle w:val="TableText"/>
              <w:rPr>
                <w:rFonts w:ascii="Calibri" w:hAnsi="Calibri"/>
                <w:sz w:val="24"/>
                <w:szCs w:val="24"/>
              </w:rPr>
            </w:pPr>
            <w:r>
              <w:rPr>
                <w:rFonts w:ascii="Calibri" w:hAnsi="Calibri"/>
                <w:sz w:val="24"/>
                <w:szCs w:val="24"/>
              </w:rPr>
              <w:t>The external facing materials, detailed on the approved plans, shall be used and no others substituted.</w:t>
            </w:r>
          </w:p>
          <w:p w:rsidR="003F11F2" w:rsidRDefault="003F11F2">
            <w:pPr>
              <w:pStyle w:val="TableText"/>
              <w:rPr>
                <w:rFonts w:ascii="Calibri" w:hAnsi="Calibri"/>
                <w:sz w:val="24"/>
                <w:szCs w:val="24"/>
              </w:rPr>
            </w:pPr>
          </w:p>
          <w:p w:rsidR="003F11F2" w:rsidRDefault="003F11F2">
            <w:pPr>
              <w:pStyle w:val="TableText"/>
              <w:rPr>
                <w:rFonts w:ascii="Calibri" w:hAnsi="Calibri"/>
                <w:sz w:val="24"/>
                <w:szCs w:val="24"/>
              </w:rPr>
            </w:pPr>
            <w:r>
              <w:rPr>
                <w:rFonts w:ascii="Calibri" w:hAnsi="Calibri"/>
                <w:sz w:val="24"/>
                <w:szCs w:val="24"/>
              </w:rPr>
              <w:t>Reason:  In order that the Local Planning Authority may ensure that the materials to be used are appropriate to the locality</w:t>
            </w:r>
          </w:p>
          <w:p w:rsidR="003F11F2" w:rsidRPr="00DD62CA" w:rsidRDefault="003F11F2">
            <w:pPr>
              <w:pStyle w:val="TableText"/>
              <w:rPr>
                <w:rFonts w:ascii="Calibri" w:hAnsi="Calibri"/>
                <w:sz w:val="24"/>
                <w:szCs w:val="24"/>
              </w:rPr>
            </w:pPr>
          </w:p>
        </w:tc>
      </w:tr>
      <w:tr w:rsidR="003F11F2" w:rsidRPr="00DD62CA">
        <w:trPr>
          <w:cantSplit/>
          <w:trHeight w:val="527"/>
        </w:trPr>
        <w:tc>
          <w:tcPr>
            <w:tcW w:w="988" w:type="dxa"/>
          </w:tcPr>
          <w:p w:rsidR="003F11F2" w:rsidRPr="00DD62CA" w:rsidRDefault="003F11F2">
            <w:pPr>
              <w:pStyle w:val="TableText"/>
              <w:numPr>
                <w:ilvl w:val="0"/>
                <w:numId w:val="3"/>
              </w:numPr>
              <w:rPr>
                <w:rFonts w:ascii="Calibri" w:hAnsi="Calibri"/>
                <w:sz w:val="24"/>
                <w:szCs w:val="24"/>
              </w:rPr>
            </w:pPr>
          </w:p>
        </w:tc>
        <w:tc>
          <w:tcPr>
            <w:tcW w:w="9365" w:type="dxa"/>
            <w:gridSpan w:val="2"/>
          </w:tcPr>
          <w:p w:rsidR="003F11F2" w:rsidRDefault="003F11F2">
            <w:pPr>
              <w:pStyle w:val="TableText"/>
              <w:rPr>
                <w:rFonts w:ascii="Calibri" w:hAnsi="Calibri"/>
                <w:sz w:val="24"/>
                <w:szCs w:val="24"/>
              </w:rPr>
            </w:pPr>
            <w:r>
              <w:rPr>
                <w:rFonts w:ascii="Calibri" w:hAnsi="Calibri"/>
                <w:sz w:val="24"/>
                <w:szCs w:val="24"/>
              </w:rPr>
              <w:t>The building hereby permitted shall be used for agricultural purposes only (as defined in section 336(1) of the Town and Country Planning Act 2015); in conjunction with the remainder of the holding known as Thornley Hall Farm.</w:t>
            </w:r>
          </w:p>
          <w:p w:rsidR="003F11F2" w:rsidRDefault="003F11F2">
            <w:pPr>
              <w:pStyle w:val="TableText"/>
              <w:rPr>
                <w:rFonts w:ascii="Calibri" w:hAnsi="Calibri"/>
                <w:sz w:val="24"/>
                <w:szCs w:val="24"/>
              </w:rPr>
            </w:pPr>
          </w:p>
          <w:p w:rsidR="003F11F2" w:rsidRDefault="003F11F2">
            <w:pPr>
              <w:pStyle w:val="TableText"/>
              <w:rPr>
                <w:rFonts w:ascii="Calibri" w:hAnsi="Calibri"/>
                <w:sz w:val="24"/>
                <w:szCs w:val="24"/>
              </w:rPr>
            </w:pPr>
            <w:r>
              <w:rPr>
                <w:rFonts w:ascii="Calibri" w:hAnsi="Calibri"/>
                <w:sz w:val="24"/>
                <w:szCs w:val="24"/>
              </w:rPr>
              <w:t>Reason: To ensure the building is used solely for agricultural purposes connected with an agricultural enterprise.</w:t>
            </w:r>
          </w:p>
          <w:p w:rsidR="003F11F2" w:rsidRPr="00DD62CA" w:rsidRDefault="003F11F2">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11F2" w:rsidRDefault="003F11F2">
      <w:r>
        <w:separator/>
      </w:r>
    </w:p>
  </w:endnote>
  <w:endnote w:type="continuationSeparator" w:id="0">
    <w:p w:rsidR="003F11F2" w:rsidRDefault="003F1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11F2" w:rsidRDefault="003F11F2">
      <w:r>
        <w:separator/>
      </w:r>
    </w:p>
  </w:footnote>
  <w:footnote w:type="continuationSeparator" w:id="0">
    <w:p w:rsidR="003F11F2" w:rsidRDefault="003F11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3F11F2">
      <w:rPr>
        <w:b/>
        <w:bCs/>
      </w:rPr>
      <w:t>3/2019/1073</w:t>
    </w:r>
    <w:r>
      <w:rPr>
        <w:b/>
        <w:bCs/>
      </w:rPr>
      <w:t xml:space="preserve">                                  DECISION DATE: </w:t>
    </w:r>
    <w:r w:rsidR="003F11F2">
      <w:rPr>
        <w:b/>
        <w:bCs/>
      </w:rPr>
      <w:t>13/01/2020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1F2"/>
    <w:rsid w:val="00097D28"/>
    <w:rsid w:val="001613C3"/>
    <w:rsid w:val="00172E52"/>
    <w:rsid w:val="002C337D"/>
    <w:rsid w:val="002D5D44"/>
    <w:rsid w:val="002F3ADA"/>
    <w:rsid w:val="003F11F2"/>
    <w:rsid w:val="004B764D"/>
    <w:rsid w:val="0070149C"/>
    <w:rsid w:val="007C793E"/>
    <w:rsid w:val="0081123F"/>
    <w:rsid w:val="00AA358D"/>
    <w:rsid w:val="00BB0C41"/>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285D665-AAAC-412B-974E-1214E0C46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502</Words>
  <Characters>2855</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2020-01-13T16:37:00Z</cp:lastPrinted>
  <dcterms:created xsi:type="dcterms:W3CDTF">2020-01-13T16:38:00Z</dcterms:created>
  <dcterms:modified xsi:type="dcterms:W3CDTF">2020-01-13T16:38:00Z</dcterms:modified>
</cp:coreProperties>
</file>