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695A16" w:rsidRPr="00DD62CA" w:rsidTr="00FB4FB3">
        <w:trPr>
          <w:cantSplit/>
        </w:trPr>
        <w:tc>
          <w:tcPr>
            <w:tcW w:w="6983" w:type="dxa"/>
            <w:gridSpan w:val="4"/>
          </w:tcPr>
          <w:p w:rsidR="00695A16" w:rsidRPr="00DD62CA" w:rsidRDefault="00695A16">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695A16" w:rsidRPr="00DD62CA" w:rsidRDefault="00695A16">
            <w:pPr>
              <w:rPr>
                <w:rFonts w:ascii="Calibri" w:hAnsi="Calibri"/>
                <w:sz w:val="24"/>
                <w:szCs w:val="24"/>
              </w:rPr>
            </w:pPr>
          </w:p>
        </w:tc>
        <w:tc>
          <w:tcPr>
            <w:tcW w:w="1713" w:type="dxa"/>
          </w:tcPr>
          <w:p w:rsidR="00695A16" w:rsidRPr="00DD62CA" w:rsidRDefault="00695A16">
            <w:pPr>
              <w:rPr>
                <w:rFonts w:ascii="Calibri" w:hAnsi="Calibri"/>
                <w:sz w:val="24"/>
                <w:szCs w:val="24"/>
              </w:rPr>
            </w:pPr>
          </w:p>
        </w:tc>
      </w:tr>
      <w:tr w:rsidR="00695A16" w:rsidRPr="00DD62CA" w:rsidTr="00DF4D3D">
        <w:trPr>
          <w:cantSplit/>
        </w:trPr>
        <w:tc>
          <w:tcPr>
            <w:tcW w:w="8696" w:type="dxa"/>
            <w:gridSpan w:val="5"/>
            <w:tcBorders>
              <w:bottom w:val="single" w:sz="6" w:space="0" w:color="auto"/>
            </w:tcBorders>
          </w:tcPr>
          <w:p w:rsidR="00695A16" w:rsidRPr="00DD62CA" w:rsidRDefault="00695A16" w:rsidP="00695A16">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695A16" w:rsidRPr="00DD62CA" w:rsidRDefault="00695A16">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Town and Country Planning Act 1990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695A16">
            <w:pPr>
              <w:pStyle w:val="addresses"/>
              <w:rPr>
                <w:rFonts w:ascii="Calibri" w:hAnsi="Calibri"/>
                <w:sz w:val="24"/>
                <w:szCs w:val="24"/>
              </w:rPr>
            </w:pPr>
            <w:r>
              <w:rPr>
                <w:rFonts w:ascii="Calibri" w:hAnsi="Calibri"/>
                <w:sz w:val="24"/>
                <w:szCs w:val="24"/>
              </w:rPr>
              <w:t>3/2020/0163</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695A16">
            <w:pPr>
              <w:rPr>
                <w:rFonts w:ascii="Calibri" w:hAnsi="Calibri"/>
                <w:sz w:val="24"/>
                <w:szCs w:val="24"/>
              </w:rPr>
            </w:pPr>
            <w:r>
              <w:rPr>
                <w:rFonts w:ascii="Calibri" w:hAnsi="Calibri"/>
                <w:sz w:val="24"/>
                <w:szCs w:val="24"/>
              </w:rPr>
              <w:t>29 April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695A16">
            <w:pPr>
              <w:rPr>
                <w:rFonts w:ascii="Calibri" w:hAnsi="Calibri"/>
                <w:sz w:val="24"/>
                <w:szCs w:val="24"/>
              </w:rPr>
            </w:pPr>
            <w:r>
              <w:rPr>
                <w:rFonts w:ascii="Calibri" w:hAnsi="Calibri"/>
                <w:sz w:val="24"/>
                <w:szCs w:val="24"/>
              </w:rPr>
              <w:t>05/03/2020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695A16">
            <w:pPr>
              <w:rPr>
                <w:rFonts w:ascii="Calibri" w:hAnsi="Calibri"/>
                <w:sz w:val="24"/>
                <w:szCs w:val="24"/>
              </w:rPr>
            </w:pPr>
            <w:r>
              <w:rPr>
                <w:rFonts w:ascii="Calibri" w:hAnsi="Calibri"/>
                <w:sz w:val="24"/>
                <w:szCs w:val="24"/>
              </w:rPr>
              <w:t>Mr and Mrs Howarth</w:t>
            </w:r>
          </w:p>
          <w:p w:rsidR="00695A16" w:rsidRDefault="00695A16">
            <w:pPr>
              <w:rPr>
                <w:rFonts w:ascii="Calibri" w:hAnsi="Calibri"/>
                <w:sz w:val="24"/>
                <w:szCs w:val="24"/>
              </w:rPr>
            </w:pPr>
            <w:r>
              <w:rPr>
                <w:rFonts w:ascii="Calibri" w:hAnsi="Calibri"/>
                <w:sz w:val="24"/>
                <w:szCs w:val="24"/>
              </w:rPr>
              <w:t>42 Painter Wood</w:t>
            </w:r>
          </w:p>
          <w:p w:rsidR="00695A16" w:rsidRDefault="00695A16">
            <w:pPr>
              <w:rPr>
                <w:rFonts w:ascii="Calibri" w:hAnsi="Calibri"/>
                <w:sz w:val="24"/>
                <w:szCs w:val="24"/>
              </w:rPr>
            </w:pPr>
            <w:proofErr w:type="spellStart"/>
            <w:r>
              <w:rPr>
                <w:rFonts w:ascii="Calibri" w:hAnsi="Calibri"/>
                <w:sz w:val="24"/>
                <w:szCs w:val="24"/>
              </w:rPr>
              <w:t>Billington</w:t>
            </w:r>
            <w:proofErr w:type="spellEnd"/>
          </w:p>
          <w:p w:rsidR="00695A16" w:rsidRDefault="00695A16">
            <w:pPr>
              <w:rPr>
                <w:rFonts w:ascii="Calibri" w:hAnsi="Calibri"/>
                <w:sz w:val="24"/>
                <w:szCs w:val="24"/>
              </w:rPr>
            </w:pPr>
            <w:r>
              <w:rPr>
                <w:rFonts w:ascii="Calibri" w:hAnsi="Calibri"/>
                <w:sz w:val="24"/>
                <w:szCs w:val="24"/>
              </w:rPr>
              <w:t>Clitheroe</w:t>
            </w:r>
          </w:p>
          <w:p w:rsidR="00695A16" w:rsidRDefault="00695A16">
            <w:pPr>
              <w:rPr>
                <w:rFonts w:ascii="Calibri" w:hAnsi="Calibri"/>
                <w:sz w:val="24"/>
                <w:szCs w:val="24"/>
              </w:rPr>
            </w:pPr>
            <w:r>
              <w:rPr>
                <w:rFonts w:ascii="Calibri" w:hAnsi="Calibri"/>
                <w:sz w:val="24"/>
                <w:szCs w:val="24"/>
              </w:rPr>
              <w:t>BB7 9JD</w:t>
            </w:r>
          </w:p>
          <w:p w:rsidR="002F3ADA" w:rsidRPr="00DD62CA" w:rsidRDefault="00695A16">
            <w:pPr>
              <w:rPr>
                <w:rFonts w:ascii="Calibri" w:hAnsi="Calibri"/>
                <w:sz w:val="24"/>
                <w:szCs w:val="24"/>
              </w:rPr>
            </w:pPr>
            <w:r>
              <w:rPr>
                <w:rFonts w:ascii="Calibri" w:hAnsi="Calibri"/>
                <w:sz w:val="24"/>
                <w:szCs w:val="24"/>
              </w:rPr>
              <w:t>BB7 9JP</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695A16">
            <w:pPr>
              <w:pStyle w:val="addresses"/>
              <w:rPr>
                <w:rFonts w:ascii="Calibri" w:hAnsi="Calibri"/>
                <w:sz w:val="24"/>
                <w:szCs w:val="24"/>
              </w:rPr>
            </w:pPr>
            <w:r>
              <w:rPr>
                <w:rFonts w:ascii="Calibri" w:hAnsi="Calibri"/>
                <w:sz w:val="24"/>
                <w:szCs w:val="24"/>
              </w:rPr>
              <w:t>Mr Joe Davies</w:t>
            </w:r>
          </w:p>
          <w:p w:rsidR="00695A16" w:rsidRDefault="00695A16">
            <w:pPr>
              <w:pStyle w:val="addresses"/>
              <w:rPr>
                <w:rFonts w:ascii="Calibri" w:hAnsi="Calibri"/>
                <w:sz w:val="24"/>
                <w:szCs w:val="24"/>
              </w:rPr>
            </w:pPr>
            <w:r>
              <w:rPr>
                <w:rFonts w:ascii="Calibri" w:hAnsi="Calibri"/>
                <w:sz w:val="24"/>
                <w:szCs w:val="24"/>
              </w:rPr>
              <w:t>Peter Hitchen Architects</w:t>
            </w:r>
          </w:p>
          <w:p w:rsidR="00695A16" w:rsidRDefault="00695A16">
            <w:pPr>
              <w:pStyle w:val="addresses"/>
              <w:rPr>
                <w:rFonts w:ascii="Calibri" w:hAnsi="Calibri"/>
                <w:sz w:val="24"/>
                <w:szCs w:val="24"/>
              </w:rPr>
            </w:pPr>
            <w:r>
              <w:rPr>
                <w:rFonts w:ascii="Calibri" w:hAnsi="Calibri"/>
                <w:sz w:val="24"/>
                <w:szCs w:val="24"/>
              </w:rPr>
              <w:t>Marathon House</w:t>
            </w:r>
          </w:p>
          <w:p w:rsidR="00695A16" w:rsidRDefault="00695A16">
            <w:pPr>
              <w:pStyle w:val="addresses"/>
              <w:rPr>
                <w:rFonts w:ascii="Calibri" w:hAnsi="Calibri"/>
                <w:sz w:val="24"/>
                <w:szCs w:val="24"/>
              </w:rPr>
            </w:pPr>
            <w:r>
              <w:rPr>
                <w:rFonts w:ascii="Calibri" w:hAnsi="Calibri"/>
                <w:sz w:val="24"/>
                <w:szCs w:val="24"/>
              </w:rPr>
              <w:t>The Sidings Business Park</w:t>
            </w:r>
          </w:p>
          <w:p w:rsidR="00695A16" w:rsidRDefault="00695A16">
            <w:pPr>
              <w:pStyle w:val="addresses"/>
              <w:rPr>
                <w:rFonts w:ascii="Calibri" w:hAnsi="Calibri"/>
                <w:sz w:val="24"/>
                <w:szCs w:val="24"/>
              </w:rPr>
            </w:pPr>
            <w:r>
              <w:rPr>
                <w:rFonts w:ascii="Calibri" w:hAnsi="Calibri"/>
                <w:sz w:val="24"/>
                <w:szCs w:val="24"/>
              </w:rPr>
              <w:t>Whalley</w:t>
            </w:r>
          </w:p>
          <w:p w:rsidR="00695A16" w:rsidRDefault="00695A16">
            <w:pPr>
              <w:pStyle w:val="addresses"/>
              <w:rPr>
                <w:rFonts w:ascii="Calibri" w:hAnsi="Calibri"/>
                <w:sz w:val="24"/>
                <w:szCs w:val="24"/>
              </w:rPr>
            </w:pPr>
            <w:r>
              <w:rPr>
                <w:rFonts w:ascii="Calibri" w:hAnsi="Calibri"/>
                <w:sz w:val="24"/>
                <w:szCs w:val="24"/>
              </w:rPr>
              <w:t>Clitheroe</w:t>
            </w:r>
          </w:p>
          <w:p w:rsidR="002F3ADA" w:rsidRPr="00DD62CA" w:rsidRDefault="00695A16">
            <w:pPr>
              <w:pStyle w:val="addresses"/>
              <w:rPr>
                <w:rFonts w:ascii="Calibri" w:hAnsi="Calibri"/>
                <w:sz w:val="24"/>
                <w:szCs w:val="24"/>
              </w:rPr>
            </w:pPr>
            <w:r>
              <w:rPr>
                <w:rFonts w:ascii="Calibri" w:hAnsi="Calibri"/>
                <w:sz w:val="24"/>
                <w:szCs w:val="24"/>
              </w:rPr>
              <w:t>BB7 9SE</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695A16">
            <w:pPr>
              <w:pStyle w:val="TableText"/>
              <w:rPr>
                <w:rFonts w:ascii="Calibri" w:hAnsi="Calibri"/>
                <w:sz w:val="24"/>
                <w:szCs w:val="24"/>
              </w:rPr>
            </w:pPr>
            <w:r>
              <w:rPr>
                <w:rFonts w:ascii="Calibri" w:hAnsi="Calibri"/>
                <w:sz w:val="24"/>
                <w:szCs w:val="24"/>
              </w:rPr>
              <w:t>Single storey extensions to side and rear.  Alterations to fenestration.</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695A16">
            <w:pPr>
              <w:pStyle w:val="TableText"/>
              <w:rPr>
                <w:rFonts w:ascii="Calibri" w:hAnsi="Calibri"/>
                <w:sz w:val="24"/>
                <w:szCs w:val="24"/>
              </w:rPr>
            </w:pPr>
            <w:r>
              <w:rPr>
                <w:rFonts w:ascii="Calibri" w:hAnsi="Calibri"/>
                <w:sz w:val="24"/>
                <w:szCs w:val="24"/>
              </w:rPr>
              <w:t xml:space="preserve">42 Painter Wood Whalley Old Road </w:t>
            </w:r>
            <w:proofErr w:type="spellStart"/>
            <w:r>
              <w:rPr>
                <w:rFonts w:ascii="Calibri" w:hAnsi="Calibri"/>
                <w:sz w:val="24"/>
                <w:szCs w:val="24"/>
              </w:rPr>
              <w:t>Billington</w:t>
            </w:r>
            <w:proofErr w:type="spellEnd"/>
            <w:r>
              <w:rPr>
                <w:rFonts w:ascii="Calibri" w:hAnsi="Calibri"/>
                <w:sz w:val="24"/>
                <w:szCs w:val="24"/>
              </w:rPr>
              <w:t xml:space="preserve"> BB7 9JD</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695A16" w:rsidRDefault="00695A16">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695A16" w:rsidRDefault="00695A16">
            <w:pPr>
              <w:pStyle w:val="TableText"/>
              <w:rPr>
                <w:rFonts w:ascii="Calibri" w:hAnsi="Calibri"/>
                <w:sz w:val="24"/>
                <w:szCs w:val="24"/>
              </w:rPr>
            </w:pPr>
          </w:p>
          <w:p w:rsidR="00695A16" w:rsidRDefault="00695A16">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2F3ADA" w:rsidRPr="00DD62CA" w:rsidRDefault="002F3ADA">
            <w:pPr>
              <w:pStyle w:val="TableText"/>
              <w:rPr>
                <w:rFonts w:ascii="Calibri" w:hAnsi="Calibri"/>
                <w:sz w:val="24"/>
                <w:szCs w:val="24"/>
              </w:rPr>
            </w:pPr>
          </w:p>
        </w:tc>
      </w:tr>
      <w:tr w:rsidR="00695A16" w:rsidRPr="00DD62CA">
        <w:trPr>
          <w:cantSplit/>
          <w:trHeight w:val="527"/>
        </w:trPr>
        <w:tc>
          <w:tcPr>
            <w:tcW w:w="988" w:type="dxa"/>
          </w:tcPr>
          <w:p w:rsidR="00695A16" w:rsidRPr="00DD62CA" w:rsidRDefault="00695A16">
            <w:pPr>
              <w:pStyle w:val="TableText"/>
              <w:numPr>
                <w:ilvl w:val="0"/>
                <w:numId w:val="3"/>
              </w:numPr>
              <w:rPr>
                <w:rFonts w:ascii="Calibri" w:hAnsi="Calibri"/>
                <w:sz w:val="24"/>
                <w:szCs w:val="24"/>
              </w:rPr>
            </w:pPr>
          </w:p>
        </w:tc>
        <w:tc>
          <w:tcPr>
            <w:tcW w:w="9365" w:type="dxa"/>
            <w:gridSpan w:val="2"/>
          </w:tcPr>
          <w:p w:rsidR="00695A16" w:rsidRDefault="00695A16">
            <w:pPr>
              <w:pStyle w:val="TableText"/>
              <w:rPr>
                <w:rFonts w:ascii="Calibri" w:hAnsi="Calibri"/>
                <w:sz w:val="24"/>
                <w:szCs w:val="24"/>
              </w:rPr>
            </w:pPr>
            <w:r>
              <w:rPr>
                <w:rFonts w:ascii="Calibri" w:hAnsi="Calibri"/>
                <w:sz w:val="24"/>
                <w:szCs w:val="24"/>
              </w:rPr>
              <w:t>The permission shall relate to the development as shown on Plan Reference</w:t>
            </w:r>
          </w:p>
          <w:p w:rsidR="00695A16" w:rsidRDefault="00695A16">
            <w:pPr>
              <w:pStyle w:val="TableText"/>
              <w:rPr>
                <w:rFonts w:ascii="Calibri" w:hAnsi="Calibri"/>
                <w:sz w:val="24"/>
                <w:szCs w:val="24"/>
              </w:rPr>
            </w:pPr>
            <w:r>
              <w:rPr>
                <w:rFonts w:ascii="Calibri" w:hAnsi="Calibri"/>
                <w:sz w:val="24"/>
                <w:szCs w:val="24"/>
              </w:rPr>
              <w:t>Location Plan Scale 1:1250</w:t>
            </w:r>
          </w:p>
          <w:p w:rsidR="00695A16" w:rsidRDefault="00695A16">
            <w:pPr>
              <w:pStyle w:val="TableText"/>
              <w:rPr>
                <w:rFonts w:ascii="Calibri" w:hAnsi="Calibri"/>
                <w:sz w:val="24"/>
                <w:szCs w:val="24"/>
              </w:rPr>
            </w:pPr>
            <w:r>
              <w:rPr>
                <w:rFonts w:ascii="Calibri" w:hAnsi="Calibri"/>
                <w:sz w:val="24"/>
                <w:szCs w:val="24"/>
              </w:rPr>
              <w:t>Proposed elevation Plan A202</w:t>
            </w:r>
          </w:p>
          <w:p w:rsidR="00695A16" w:rsidRDefault="00695A16">
            <w:pPr>
              <w:pStyle w:val="TableText"/>
              <w:rPr>
                <w:rFonts w:ascii="Calibri" w:hAnsi="Calibri"/>
                <w:sz w:val="24"/>
                <w:szCs w:val="24"/>
              </w:rPr>
            </w:pPr>
            <w:r>
              <w:rPr>
                <w:rFonts w:ascii="Calibri" w:hAnsi="Calibri"/>
                <w:sz w:val="24"/>
                <w:szCs w:val="24"/>
              </w:rPr>
              <w:t>Proposed Section Plan A204</w:t>
            </w:r>
          </w:p>
          <w:p w:rsidR="00695A16" w:rsidRDefault="00695A16">
            <w:pPr>
              <w:pStyle w:val="TableText"/>
              <w:rPr>
                <w:rFonts w:ascii="Calibri" w:hAnsi="Calibri"/>
                <w:sz w:val="24"/>
                <w:szCs w:val="24"/>
              </w:rPr>
            </w:pPr>
            <w:r>
              <w:rPr>
                <w:rFonts w:ascii="Calibri" w:hAnsi="Calibri"/>
                <w:sz w:val="24"/>
                <w:szCs w:val="24"/>
              </w:rPr>
              <w:t>Proposed Garage Floor Plan A207</w:t>
            </w:r>
          </w:p>
          <w:p w:rsidR="00695A16" w:rsidRDefault="00695A16">
            <w:pPr>
              <w:pStyle w:val="TableText"/>
              <w:rPr>
                <w:rFonts w:ascii="Calibri" w:hAnsi="Calibri"/>
                <w:sz w:val="24"/>
                <w:szCs w:val="24"/>
              </w:rPr>
            </w:pPr>
            <w:r>
              <w:rPr>
                <w:rFonts w:ascii="Calibri" w:hAnsi="Calibri"/>
                <w:sz w:val="24"/>
                <w:szCs w:val="24"/>
              </w:rPr>
              <w:t xml:space="preserve">Proposed Floor Plan A202 </w:t>
            </w:r>
          </w:p>
          <w:p w:rsidR="00695A16" w:rsidRDefault="00695A16">
            <w:pPr>
              <w:pStyle w:val="TableText"/>
              <w:rPr>
                <w:rFonts w:ascii="Calibri" w:hAnsi="Calibri"/>
                <w:sz w:val="24"/>
                <w:szCs w:val="24"/>
              </w:rPr>
            </w:pPr>
          </w:p>
          <w:p w:rsidR="00695A16" w:rsidRDefault="00695A16">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rsidR="00695A16" w:rsidRPr="00DD62CA" w:rsidRDefault="00695A16">
            <w:pPr>
              <w:pStyle w:val="TableText"/>
              <w:rPr>
                <w:rFonts w:ascii="Calibri" w:hAnsi="Calibri"/>
                <w:sz w:val="24"/>
                <w:szCs w:val="24"/>
              </w:rPr>
            </w:pPr>
          </w:p>
        </w:tc>
      </w:tr>
      <w:tr w:rsidR="00695A16" w:rsidRPr="00DD62CA">
        <w:trPr>
          <w:cantSplit/>
          <w:trHeight w:val="527"/>
        </w:trPr>
        <w:tc>
          <w:tcPr>
            <w:tcW w:w="988" w:type="dxa"/>
          </w:tcPr>
          <w:p w:rsidR="00695A16" w:rsidRPr="00DD62CA" w:rsidRDefault="00695A16">
            <w:pPr>
              <w:pStyle w:val="TableText"/>
              <w:numPr>
                <w:ilvl w:val="0"/>
                <w:numId w:val="3"/>
              </w:numPr>
              <w:rPr>
                <w:rFonts w:ascii="Calibri" w:hAnsi="Calibri"/>
                <w:sz w:val="24"/>
                <w:szCs w:val="24"/>
              </w:rPr>
            </w:pPr>
          </w:p>
        </w:tc>
        <w:tc>
          <w:tcPr>
            <w:tcW w:w="9365" w:type="dxa"/>
            <w:gridSpan w:val="2"/>
          </w:tcPr>
          <w:p w:rsidR="00695A16" w:rsidRDefault="00695A16">
            <w:pPr>
              <w:pStyle w:val="TableText"/>
              <w:rPr>
                <w:rFonts w:ascii="Calibri" w:hAnsi="Calibri"/>
                <w:sz w:val="24"/>
                <w:szCs w:val="24"/>
              </w:rPr>
            </w:pPr>
            <w:r>
              <w:rPr>
                <w:rFonts w:ascii="Calibri" w:hAnsi="Calibri"/>
                <w:sz w:val="24"/>
                <w:szCs w:val="24"/>
              </w:rPr>
              <w:t>Precise specifications or samples of walling and roofing materials and details of any surface materials to be used including their colour and texture shall have been submitted to and approved by the Local Planning Authority before their use in the proposed works.</w:t>
            </w:r>
          </w:p>
          <w:p w:rsidR="00695A16" w:rsidRDefault="00695A16">
            <w:pPr>
              <w:pStyle w:val="TableText"/>
              <w:rPr>
                <w:rFonts w:ascii="Calibri" w:hAnsi="Calibri"/>
                <w:sz w:val="24"/>
                <w:szCs w:val="24"/>
              </w:rPr>
            </w:pPr>
          </w:p>
          <w:p w:rsidR="00695A16" w:rsidRPr="00DD62CA" w:rsidRDefault="00695A16">
            <w:pPr>
              <w:pStyle w:val="TableText"/>
              <w:rPr>
                <w:rFonts w:ascii="Calibri" w:hAnsi="Calibri"/>
                <w:sz w:val="24"/>
                <w:szCs w:val="24"/>
              </w:rPr>
            </w:pPr>
            <w:proofErr w:type="gramStart"/>
            <w:r>
              <w:rPr>
                <w:rFonts w:ascii="Calibri" w:hAnsi="Calibri"/>
                <w:sz w:val="24"/>
                <w:szCs w:val="24"/>
              </w:rPr>
              <w:t>Reason :</w:t>
            </w:r>
            <w:proofErr w:type="gramEnd"/>
            <w:r>
              <w:rPr>
                <w:rFonts w:ascii="Calibri" w:hAnsi="Calibri"/>
                <w:sz w:val="24"/>
                <w:szCs w:val="24"/>
              </w:rPr>
              <w:t xml:space="preserve">  In order that the Local Planning Authority may ensure that the materials to be used are appropriate to the locality.      P.T.O.</w:t>
            </w: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rsidR="002F3ADA" w:rsidRPr="00DD62CA" w:rsidRDefault="002F3ADA">
            <w:pPr>
              <w:pStyle w:val="TableText"/>
              <w:rPr>
                <w:rFonts w:ascii="Calibri" w:hAnsi="Calibri"/>
                <w:sz w:val="24"/>
                <w:szCs w:val="24"/>
              </w:rPr>
            </w:pP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rsidR="00695A16" w:rsidRPr="00DD62CA" w:rsidRDefault="00695A16">
            <w:pPr>
              <w:pStyle w:val="TableText"/>
              <w:rPr>
                <w:rFonts w:ascii="Calibri" w:hAnsi="Calibri"/>
                <w:sz w:val="24"/>
                <w:szCs w:val="24"/>
              </w:rPr>
            </w:pP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2F3ADA" w:rsidRPr="00DD62CA">
        <w:tc>
          <w:tcPr>
            <w:tcW w:w="993" w:type="dxa"/>
          </w:tcPr>
          <w:p w:rsidR="002F3ADA" w:rsidRPr="00DD62CA" w:rsidRDefault="002F3ADA" w:rsidP="00695A16">
            <w:pPr>
              <w:pStyle w:val="TableText"/>
              <w:ind w:left="720"/>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even" r:id="rId7"/>
      <w:headerReference w:type="default" r:id="rId8"/>
      <w:footerReference w:type="even" r:id="rId9"/>
      <w:footerReference w:type="default" r:id="rId10"/>
      <w:headerReference w:type="first" r:id="rId11"/>
      <w:footerReference w:type="first" r:id="rId12"/>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A16" w:rsidRDefault="00695A16">
      <w:r>
        <w:separator/>
      </w:r>
    </w:p>
  </w:endnote>
  <w:endnote w:type="continuationSeparator" w:id="0">
    <w:p w:rsidR="00695A16" w:rsidRDefault="0069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A16" w:rsidRDefault="00695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A16" w:rsidRDefault="00695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A16" w:rsidRDefault="00695A16">
      <w:r>
        <w:separator/>
      </w:r>
    </w:p>
  </w:footnote>
  <w:footnote w:type="continuationSeparator" w:id="0">
    <w:p w:rsidR="00695A16" w:rsidRDefault="0069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A16" w:rsidRDefault="00695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695A16">
      <w:rPr>
        <w:b/>
        <w:bCs/>
      </w:rPr>
      <w:t>3/2020/0163</w:t>
    </w:r>
    <w:r>
      <w:rPr>
        <w:b/>
        <w:bCs/>
      </w:rPr>
      <w:t xml:space="preserve">                                  DECISION DATE: </w:t>
    </w:r>
    <w:r w:rsidR="00695A16">
      <w:rPr>
        <w:b/>
        <w:bCs/>
      </w:rPr>
      <w:t>29 April 2020</w:t>
    </w:r>
  </w:p>
  <w:p w:rsidR="002F3ADA" w:rsidRDefault="002F3ADA">
    <w:pPr>
      <w:pBdr>
        <w:bottom w:val="single" w:sz="4" w:space="1" w:color="auto"/>
      </w:pBdr>
    </w:pPr>
  </w:p>
  <w:p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A16" w:rsidRDefault="00695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16"/>
    <w:rsid w:val="001613C3"/>
    <w:rsid w:val="00172E52"/>
    <w:rsid w:val="002C337D"/>
    <w:rsid w:val="002D5D44"/>
    <w:rsid w:val="002F3ADA"/>
    <w:rsid w:val="004B764D"/>
    <w:rsid w:val="00695A16"/>
    <w:rsid w:val="0070149C"/>
    <w:rsid w:val="007C793E"/>
    <w:rsid w:val="0081123F"/>
    <w:rsid w:val="00AA358D"/>
    <w:rsid w:val="00CA6C48"/>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18C09D-A51C-478D-A192-1BAFFE82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411</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2004-01-27T17:21:00Z</cp:lastPrinted>
  <dcterms:created xsi:type="dcterms:W3CDTF">2020-04-29T15:13:00Z</dcterms:created>
  <dcterms:modified xsi:type="dcterms:W3CDTF">2020-04-29T15:13:00Z</dcterms:modified>
</cp:coreProperties>
</file>