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3F6AC1" w:rsidRPr="00DD62CA" w:rsidTr="00F12BEB">
        <w:trPr>
          <w:cantSplit/>
        </w:trPr>
        <w:tc>
          <w:tcPr>
            <w:tcW w:w="6983" w:type="dxa"/>
            <w:gridSpan w:val="4"/>
          </w:tcPr>
          <w:p w:rsidR="003F6AC1" w:rsidRPr="00DD62CA" w:rsidRDefault="003F6AC1">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3F6AC1" w:rsidRPr="00DD62CA" w:rsidRDefault="003F6AC1">
            <w:pPr>
              <w:rPr>
                <w:rFonts w:ascii="Calibri" w:hAnsi="Calibri"/>
                <w:sz w:val="24"/>
                <w:szCs w:val="24"/>
              </w:rPr>
            </w:pPr>
          </w:p>
        </w:tc>
        <w:tc>
          <w:tcPr>
            <w:tcW w:w="1713" w:type="dxa"/>
          </w:tcPr>
          <w:p w:rsidR="003F6AC1" w:rsidRPr="00DD62CA" w:rsidRDefault="003F6AC1">
            <w:pPr>
              <w:rPr>
                <w:rFonts w:ascii="Calibri" w:hAnsi="Calibri"/>
                <w:sz w:val="24"/>
                <w:szCs w:val="24"/>
              </w:rPr>
            </w:pPr>
          </w:p>
        </w:tc>
      </w:tr>
      <w:tr w:rsidR="003F6AC1" w:rsidRPr="00DD62CA" w:rsidTr="00B95449">
        <w:trPr>
          <w:cantSplit/>
        </w:trPr>
        <w:tc>
          <w:tcPr>
            <w:tcW w:w="8696" w:type="dxa"/>
            <w:gridSpan w:val="5"/>
            <w:tcBorders>
              <w:bottom w:val="single" w:sz="6" w:space="0" w:color="auto"/>
            </w:tcBorders>
          </w:tcPr>
          <w:p w:rsidR="003F6AC1" w:rsidRPr="00DD62CA" w:rsidRDefault="003F6AC1">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3F6AC1" w:rsidRPr="00DD62CA" w:rsidRDefault="003F6AC1">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F6AC1">
            <w:pPr>
              <w:pStyle w:val="addresses"/>
              <w:rPr>
                <w:rFonts w:ascii="Calibri" w:hAnsi="Calibri"/>
                <w:sz w:val="24"/>
                <w:szCs w:val="24"/>
              </w:rPr>
            </w:pPr>
            <w:r>
              <w:rPr>
                <w:rFonts w:ascii="Calibri" w:hAnsi="Calibri"/>
                <w:sz w:val="24"/>
                <w:szCs w:val="24"/>
              </w:rPr>
              <w:t>3/2020/0184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F6AC1">
            <w:pPr>
              <w:rPr>
                <w:rFonts w:ascii="Calibri" w:hAnsi="Calibri"/>
                <w:sz w:val="24"/>
                <w:szCs w:val="24"/>
              </w:rPr>
            </w:pPr>
            <w:r>
              <w:rPr>
                <w:rFonts w:ascii="Calibri" w:hAnsi="Calibri"/>
                <w:sz w:val="24"/>
                <w:szCs w:val="24"/>
              </w:rPr>
              <w:t>23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F6AC1">
            <w:pPr>
              <w:rPr>
                <w:rFonts w:ascii="Calibri" w:hAnsi="Calibri"/>
                <w:sz w:val="24"/>
                <w:szCs w:val="24"/>
              </w:rPr>
            </w:pPr>
            <w:r>
              <w:rPr>
                <w:rFonts w:ascii="Calibri" w:hAnsi="Calibri"/>
                <w:sz w:val="24"/>
                <w:szCs w:val="24"/>
              </w:rPr>
              <w:t>09/03/2020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F6AC1">
            <w:pPr>
              <w:rPr>
                <w:rFonts w:ascii="Calibri" w:hAnsi="Calibri"/>
                <w:sz w:val="24"/>
                <w:szCs w:val="24"/>
              </w:rPr>
            </w:pPr>
            <w:r>
              <w:rPr>
                <w:rFonts w:ascii="Calibri" w:hAnsi="Calibri"/>
                <w:sz w:val="24"/>
                <w:szCs w:val="24"/>
              </w:rPr>
              <w:t>Mr and Mrs Bailey</w:t>
            </w:r>
          </w:p>
          <w:p w:rsidR="003F6AC1" w:rsidRDefault="003F6AC1">
            <w:pPr>
              <w:rPr>
                <w:rFonts w:ascii="Calibri" w:hAnsi="Calibri"/>
                <w:sz w:val="24"/>
                <w:szCs w:val="24"/>
              </w:rPr>
            </w:pPr>
            <w:r>
              <w:rPr>
                <w:rFonts w:ascii="Calibri" w:hAnsi="Calibri"/>
                <w:sz w:val="24"/>
                <w:szCs w:val="24"/>
              </w:rPr>
              <w:t>30 George Lane</w:t>
            </w:r>
          </w:p>
          <w:p w:rsidR="003F6AC1" w:rsidRDefault="003F6AC1">
            <w:pPr>
              <w:rPr>
                <w:rFonts w:ascii="Calibri" w:hAnsi="Calibri"/>
                <w:sz w:val="24"/>
                <w:szCs w:val="24"/>
              </w:rPr>
            </w:pPr>
            <w:r>
              <w:rPr>
                <w:rFonts w:ascii="Calibri" w:hAnsi="Calibri"/>
                <w:sz w:val="24"/>
                <w:szCs w:val="24"/>
              </w:rPr>
              <w:t>Read</w:t>
            </w:r>
          </w:p>
          <w:p w:rsidR="003F6AC1" w:rsidRDefault="003F6AC1">
            <w:pPr>
              <w:rPr>
                <w:rFonts w:ascii="Calibri" w:hAnsi="Calibri"/>
                <w:sz w:val="24"/>
                <w:szCs w:val="24"/>
              </w:rPr>
            </w:pPr>
            <w:r>
              <w:rPr>
                <w:rFonts w:ascii="Calibri" w:hAnsi="Calibri"/>
                <w:sz w:val="24"/>
                <w:szCs w:val="24"/>
              </w:rPr>
              <w:t>Burnley</w:t>
            </w:r>
          </w:p>
          <w:p w:rsidR="002F3ADA" w:rsidRPr="00DD62CA" w:rsidRDefault="003F6AC1">
            <w:pPr>
              <w:rPr>
                <w:rFonts w:ascii="Calibri" w:hAnsi="Calibri"/>
                <w:sz w:val="24"/>
                <w:szCs w:val="24"/>
              </w:rPr>
            </w:pPr>
            <w:r>
              <w:rPr>
                <w:rFonts w:ascii="Calibri" w:hAnsi="Calibri"/>
                <w:sz w:val="24"/>
                <w:szCs w:val="24"/>
              </w:rPr>
              <w:t>BB12 7RH</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F6AC1">
            <w:pPr>
              <w:pStyle w:val="addresses"/>
              <w:rPr>
                <w:rFonts w:ascii="Calibri" w:hAnsi="Calibri"/>
                <w:sz w:val="24"/>
                <w:szCs w:val="24"/>
              </w:rPr>
            </w:pPr>
            <w:r>
              <w:rPr>
                <w:rFonts w:ascii="Calibri" w:hAnsi="Calibri"/>
                <w:sz w:val="24"/>
                <w:szCs w:val="24"/>
              </w:rPr>
              <w:t>Mr Joe Davies</w:t>
            </w:r>
          </w:p>
          <w:p w:rsidR="003F6AC1" w:rsidRDefault="003F6AC1">
            <w:pPr>
              <w:pStyle w:val="addresses"/>
              <w:rPr>
                <w:rFonts w:ascii="Calibri" w:hAnsi="Calibri"/>
                <w:sz w:val="24"/>
                <w:szCs w:val="24"/>
              </w:rPr>
            </w:pPr>
            <w:r>
              <w:rPr>
                <w:rFonts w:ascii="Calibri" w:hAnsi="Calibri"/>
                <w:sz w:val="24"/>
                <w:szCs w:val="24"/>
              </w:rPr>
              <w:t>Peter Hitchen Architects</w:t>
            </w:r>
          </w:p>
          <w:p w:rsidR="003F6AC1" w:rsidRDefault="003F6AC1">
            <w:pPr>
              <w:pStyle w:val="addresses"/>
              <w:rPr>
                <w:rFonts w:ascii="Calibri" w:hAnsi="Calibri"/>
                <w:sz w:val="24"/>
                <w:szCs w:val="24"/>
              </w:rPr>
            </w:pPr>
            <w:r>
              <w:rPr>
                <w:rFonts w:ascii="Calibri" w:hAnsi="Calibri"/>
                <w:sz w:val="24"/>
                <w:szCs w:val="24"/>
              </w:rPr>
              <w:t>Marathon House</w:t>
            </w:r>
          </w:p>
          <w:p w:rsidR="003F6AC1" w:rsidRDefault="003F6AC1">
            <w:pPr>
              <w:pStyle w:val="addresses"/>
              <w:rPr>
                <w:rFonts w:ascii="Calibri" w:hAnsi="Calibri"/>
                <w:sz w:val="24"/>
                <w:szCs w:val="24"/>
              </w:rPr>
            </w:pPr>
            <w:r>
              <w:rPr>
                <w:rFonts w:ascii="Calibri" w:hAnsi="Calibri"/>
                <w:sz w:val="24"/>
                <w:szCs w:val="24"/>
              </w:rPr>
              <w:t>The Sidings Business Park</w:t>
            </w:r>
          </w:p>
          <w:p w:rsidR="003F6AC1" w:rsidRDefault="003F6AC1">
            <w:pPr>
              <w:pStyle w:val="addresses"/>
              <w:rPr>
                <w:rFonts w:ascii="Calibri" w:hAnsi="Calibri"/>
                <w:sz w:val="24"/>
                <w:szCs w:val="24"/>
              </w:rPr>
            </w:pPr>
            <w:r>
              <w:rPr>
                <w:rFonts w:ascii="Calibri" w:hAnsi="Calibri"/>
                <w:sz w:val="24"/>
                <w:szCs w:val="24"/>
              </w:rPr>
              <w:t>Whalley</w:t>
            </w:r>
          </w:p>
          <w:p w:rsidR="003F6AC1" w:rsidRDefault="003F6AC1">
            <w:pPr>
              <w:pStyle w:val="addresses"/>
              <w:rPr>
                <w:rFonts w:ascii="Calibri" w:hAnsi="Calibri"/>
                <w:sz w:val="24"/>
                <w:szCs w:val="24"/>
              </w:rPr>
            </w:pPr>
            <w:r>
              <w:rPr>
                <w:rFonts w:ascii="Calibri" w:hAnsi="Calibri"/>
                <w:sz w:val="24"/>
                <w:szCs w:val="24"/>
              </w:rPr>
              <w:t>Clitheroe</w:t>
            </w:r>
          </w:p>
          <w:p w:rsidR="002F3ADA" w:rsidRPr="00DD62CA" w:rsidRDefault="003F6AC1">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F6AC1">
            <w:pPr>
              <w:pStyle w:val="TableText"/>
              <w:rPr>
                <w:rFonts w:ascii="Calibri" w:hAnsi="Calibri"/>
                <w:sz w:val="24"/>
                <w:szCs w:val="24"/>
              </w:rPr>
            </w:pPr>
            <w:r>
              <w:rPr>
                <w:rFonts w:ascii="Calibri" w:hAnsi="Calibri"/>
                <w:sz w:val="24"/>
                <w:szCs w:val="24"/>
              </w:rPr>
              <w:t>Demolition of existing extension to be replaced by a larger extension and alterations.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F6AC1">
            <w:pPr>
              <w:pStyle w:val="TableText"/>
              <w:rPr>
                <w:rFonts w:ascii="Calibri" w:hAnsi="Calibri"/>
                <w:sz w:val="24"/>
                <w:szCs w:val="24"/>
              </w:rPr>
            </w:pPr>
            <w:r>
              <w:rPr>
                <w:rFonts w:ascii="Calibri" w:hAnsi="Calibri"/>
                <w:sz w:val="24"/>
                <w:szCs w:val="24"/>
              </w:rPr>
              <w:t>30 George Lane Read BB12 7RH</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F6AC1" w:rsidRDefault="003F6AC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3F6AC1" w:rsidRDefault="003F6AC1">
            <w:pPr>
              <w:pStyle w:val="TableText"/>
              <w:rPr>
                <w:rFonts w:ascii="Calibri" w:hAnsi="Calibri"/>
                <w:sz w:val="24"/>
                <w:szCs w:val="24"/>
              </w:rPr>
            </w:pPr>
          </w:p>
          <w:p w:rsidR="002F3ADA" w:rsidRPr="00DD62CA" w:rsidRDefault="003F6AC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3F6AC1" w:rsidRPr="00DD62CA">
        <w:trPr>
          <w:cantSplit/>
          <w:trHeight w:val="527"/>
        </w:trPr>
        <w:tc>
          <w:tcPr>
            <w:tcW w:w="988" w:type="dxa"/>
          </w:tcPr>
          <w:p w:rsidR="003F6AC1" w:rsidRPr="00DD62CA" w:rsidRDefault="003F6AC1">
            <w:pPr>
              <w:pStyle w:val="TableText"/>
              <w:numPr>
                <w:ilvl w:val="0"/>
                <w:numId w:val="3"/>
              </w:numPr>
              <w:rPr>
                <w:rFonts w:ascii="Calibri" w:hAnsi="Calibri"/>
                <w:sz w:val="24"/>
                <w:szCs w:val="24"/>
              </w:rPr>
            </w:pPr>
          </w:p>
        </w:tc>
        <w:tc>
          <w:tcPr>
            <w:tcW w:w="9365" w:type="dxa"/>
            <w:gridSpan w:val="2"/>
          </w:tcPr>
          <w:p w:rsidR="003F6AC1" w:rsidRDefault="003F6AC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rsidR="003F6AC1" w:rsidRDefault="003F6AC1">
            <w:pPr>
              <w:pStyle w:val="TableText"/>
              <w:rPr>
                <w:rFonts w:ascii="Calibri" w:hAnsi="Calibri"/>
                <w:sz w:val="24"/>
                <w:szCs w:val="24"/>
              </w:rPr>
            </w:pPr>
          </w:p>
          <w:p w:rsidR="003F6AC1" w:rsidRDefault="003F6AC1">
            <w:pPr>
              <w:pStyle w:val="TableText"/>
              <w:rPr>
                <w:rFonts w:ascii="Calibri" w:hAnsi="Calibri"/>
                <w:sz w:val="24"/>
                <w:szCs w:val="24"/>
              </w:rPr>
            </w:pPr>
            <w:r>
              <w:rPr>
                <w:rFonts w:ascii="Calibri" w:hAnsi="Calibri"/>
                <w:sz w:val="24"/>
                <w:szCs w:val="24"/>
              </w:rPr>
              <w:t xml:space="preserve">Location Plan </w:t>
            </w:r>
          </w:p>
          <w:p w:rsidR="003F6AC1" w:rsidRDefault="003F6AC1">
            <w:pPr>
              <w:pStyle w:val="TableText"/>
              <w:rPr>
                <w:rFonts w:ascii="Calibri" w:hAnsi="Calibri"/>
                <w:sz w:val="24"/>
                <w:szCs w:val="24"/>
              </w:rPr>
            </w:pPr>
          </w:p>
          <w:p w:rsidR="003F6AC1" w:rsidRDefault="003F6AC1">
            <w:pPr>
              <w:pStyle w:val="TableText"/>
              <w:rPr>
                <w:rFonts w:ascii="Calibri" w:hAnsi="Calibri"/>
                <w:sz w:val="24"/>
                <w:szCs w:val="24"/>
              </w:rPr>
            </w:pPr>
            <w:r>
              <w:rPr>
                <w:rFonts w:ascii="Calibri" w:hAnsi="Calibri"/>
                <w:sz w:val="24"/>
                <w:szCs w:val="24"/>
              </w:rPr>
              <w:t xml:space="preserve">A200 </w:t>
            </w:r>
          </w:p>
          <w:p w:rsidR="003F6AC1" w:rsidRDefault="003F6AC1">
            <w:pPr>
              <w:pStyle w:val="TableText"/>
              <w:rPr>
                <w:rFonts w:ascii="Calibri" w:hAnsi="Calibri"/>
                <w:sz w:val="24"/>
                <w:szCs w:val="24"/>
              </w:rPr>
            </w:pPr>
          </w:p>
          <w:p w:rsidR="003F6AC1" w:rsidRDefault="003F6AC1">
            <w:pPr>
              <w:pStyle w:val="TableText"/>
              <w:rPr>
                <w:rFonts w:ascii="Calibri" w:hAnsi="Calibri"/>
                <w:sz w:val="24"/>
                <w:szCs w:val="24"/>
              </w:rPr>
            </w:pPr>
            <w:r>
              <w:rPr>
                <w:rFonts w:ascii="Calibri" w:hAnsi="Calibri"/>
                <w:sz w:val="24"/>
                <w:szCs w:val="24"/>
              </w:rPr>
              <w:t xml:space="preserve">A201 </w:t>
            </w:r>
          </w:p>
          <w:p w:rsidR="003F6AC1" w:rsidRDefault="003F6AC1">
            <w:pPr>
              <w:pStyle w:val="TableText"/>
              <w:rPr>
                <w:rFonts w:ascii="Calibri" w:hAnsi="Calibri"/>
                <w:sz w:val="24"/>
                <w:szCs w:val="24"/>
              </w:rPr>
            </w:pPr>
          </w:p>
          <w:p w:rsidR="003F6AC1" w:rsidRDefault="003F6AC1">
            <w:pPr>
              <w:pStyle w:val="TableText"/>
              <w:rPr>
                <w:rFonts w:ascii="Calibri" w:hAnsi="Calibri"/>
                <w:sz w:val="24"/>
                <w:szCs w:val="24"/>
              </w:rPr>
            </w:pPr>
            <w:r>
              <w:rPr>
                <w:rFonts w:ascii="Calibri" w:hAnsi="Calibri"/>
                <w:sz w:val="24"/>
                <w:szCs w:val="24"/>
              </w:rPr>
              <w:t xml:space="preserve">A202  </w:t>
            </w:r>
          </w:p>
          <w:p w:rsidR="003F6AC1" w:rsidRDefault="003F6AC1">
            <w:pPr>
              <w:pStyle w:val="TableText"/>
              <w:rPr>
                <w:rFonts w:ascii="Calibri" w:hAnsi="Calibri"/>
                <w:sz w:val="24"/>
                <w:szCs w:val="24"/>
              </w:rPr>
            </w:pPr>
          </w:p>
          <w:p w:rsidR="003F6AC1" w:rsidRPr="00DD62CA" w:rsidRDefault="003F6AC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tc>
      </w:tr>
      <w:tr w:rsidR="003F6AC1" w:rsidRPr="00DD62CA">
        <w:trPr>
          <w:cantSplit/>
          <w:trHeight w:val="527"/>
        </w:trPr>
        <w:tc>
          <w:tcPr>
            <w:tcW w:w="988" w:type="dxa"/>
          </w:tcPr>
          <w:p w:rsidR="003F6AC1" w:rsidRPr="00DD62CA" w:rsidRDefault="003F6AC1">
            <w:pPr>
              <w:pStyle w:val="TableText"/>
              <w:numPr>
                <w:ilvl w:val="0"/>
                <w:numId w:val="3"/>
              </w:numPr>
              <w:rPr>
                <w:rFonts w:ascii="Calibri" w:hAnsi="Calibri"/>
                <w:sz w:val="24"/>
                <w:szCs w:val="24"/>
              </w:rPr>
            </w:pPr>
          </w:p>
        </w:tc>
        <w:tc>
          <w:tcPr>
            <w:tcW w:w="9365" w:type="dxa"/>
            <w:gridSpan w:val="2"/>
          </w:tcPr>
          <w:p w:rsidR="003F6AC1" w:rsidRDefault="003F6AC1">
            <w:pPr>
              <w:pStyle w:val="TableText"/>
              <w:rPr>
                <w:rFonts w:ascii="Calibri" w:hAnsi="Calibri"/>
                <w:sz w:val="24"/>
                <w:szCs w:val="24"/>
              </w:rPr>
            </w:pPr>
            <w:r>
              <w:rPr>
                <w:rFonts w:ascii="Calibri" w:hAnsi="Calibri"/>
                <w:sz w:val="24"/>
                <w:szCs w:val="24"/>
              </w:rPr>
              <w:t xml:space="preserve">The materials used in the construction of the development hereby approved shall be none other than as indicated on the approved plan numbered A202 </w:t>
            </w:r>
          </w:p>
          <w:p w:rsidR="003F6AC1" w:rsidRDefault="003F6AC1">
            <w:pPr>
              <w:pStyle w:val="TableText"/>
              <w:rPr>
                <w:rFonts w:ascii="Calibri" w:hAnsi="Calibri"/>
                <w:sz w:val="24"/>
                <w:szCs w:val="24"/>
              </w:rPr>
            </w:pPr>
          </w:p>
          <w:p w:rsidR="003F6AC1" w:rsidRPr="00DD62CA" w:rsidRDefault="003F6AC1">
            <w:pPr>
              <w:pStyle w:val="TableText"/>
              <w:rPr>
                <w:rFonts w:ascii="Calibri" w:hAnsi="Calibri"/>
                <w:sz w:val="24"/>
                <w:szCs w:val="24"/>
              </w:rPr>
            </w:pPr>
            <w:r>
              <w:rPr>
                <w:rFonts w:ascii="Calibri" w:hAnsi="Calibri"/>
                <w:sz w:val="24"/>
                <w:szCs w:val="24"/>
              </w:rPr>
              <w:t xml:space="preserve">Reason: In the interests of visual amenity to accord with Policy DMG1 of the Core Strategy for the Ribble Valley  </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9D7C94">
      <w:pPr>
        <w:pStyle w:val="TableText"/>
        <w:rPr>
          <w:rFonts w:ascii="Calibri" w:hAnsi="Calibri"/>
          <w:sz w:val="24"/>
          <w:szCs w:val="24"/>
        </w:rPr>
      </w:pPr>
      <w:r w:rsidRPr="009D7C94">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3F6AC1"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AC1" w:rsidRDefault="003F6AC1">
      <w:r>
        <w:separator/>
      </w:r>
    </w:p>
  </w:endnote>
  <w:endnote w:type="continuationSeparator" w:id="0">
    <w:p w:rsidR="003F6AC1" w:rsidRDefault="003F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AC1" w:rsidRDefault="003F6AC1">
      <w:r>
        <w:separator/>
      </w:r>
    </w:p>
  </w:footnote>
  <w:footnote w:type="continuationSeparator" w:id="0">
    <w:p w:rsidR="003F6AC1" w:rsidRDefault="003F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F6AC1">
      <w:rPr>
        <w:b/>
        <w:bCs/>
      </w:rPr>
      <w:t>3/2020/0184</w:t>
    </w:r>
    <w:r>
      <w:rPr>
        <w:b/>
        <w:bCs/>
      </w:rPr>
      <w:t xml:space="preserve">                                  DECISION DATE: </w:t>
    </w:r>
    <w:r w:rsidR="003F6AC1">
      <w:rPr>
        <w:b/>
        <w:bCs/>
      </w:rPr>
      <w:t>23/04/2020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C1"/>
    <w:rsid w:val="00136B75"/>
    <w:rsid w:val="001613C3"/>
    <w:rsid w:val="00172E52"/>
    <w:rsid w:val="002C337D"/>
    <w:rsid w:val="002D5D44"/>
    <w:rsid w:val="002F3ADA"/>
    <w:rsid w:val="003F6AC1"/>
    <w:rsid w:val="004B764D"/>
    <w:rsid w:val="0070149C"/>
    <w:rsid w:val="007C793E"/>
    <w:rsid w:val="0081123F"/>
    <w:rsid w:val="009D7C94"/>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582065-D1C4-43DB-9315-42A658DC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395</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2020-04-23T11:02:00Z</dcterms:created>
  <dcterms:modified xsi:type="dcterms:W3CDTF">2020-04-23T11:02:00Z</dcterms:modified>
</cp:coreProperties>
</file>