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842318" w:rsidP="008F6B58">
            <w:pPr>
              <w:rPr>
                <w:rFonts w:ascii="Calibri" w:hAnsi="Calibri"/>
                <w:szCs w:val="22"/>
              </w:rPr>
            </w:pPr>
            <w:r>
              <w:rPr>
                <w:rFonts w:ascii="Calibri" w:hAnsi="Calibri"/>
                <w:szCs w:val="22"/>
              </w:rPr>
              <w:t>3/2020/0195</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4A5EA9" w:rsidP="002C6277">
            <w:pPr>
              <w:rPr>
                <w:rFonts w:ascii="Calibri" w:hAnsi="Calibri"/>
                <w:szCs w:val="22"/>
              </w:rPr>
            </w:pP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842318" w:rsidP="00811771">
            <w:pPr>
              <w:rPr>
                <w:rFonts w:ascii="Calibri" w:hAnsi="Calibri"/>
                <w:b/>
                <w:szCs w:val="22"/>
              </w:rPr>
            </w:pPr>
            <w:r>
              <w:rPr>
                <w:rFonts w:ascii="Calibri" w:hAnsi="Calibri"/>
                <w:b/>
                <w:szCs w:val="22"/>
              </w:rPr>
              <w:t>RB</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842318"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842318">
            <w:pPr>
              <w:rPr>
                <w:rFonts w:ascii="Calibri" w:hAnsi="Calibri"/>
                <w:szCs w:val="22"/>
              </w:rPr>
            </w:pPr>
            <w:r>
              <w:rPr>
                <w:rFonts w:ascii="Calibri" w:hAnsi="Calibri"/>
                <w:szCs w:val="22"/>
              </w:rPr>
              <w:t>Single storey rear extension and internal alterations</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842318" w:rsidP="00A42E82">
            <w:pPr>
              <w:rPr>
                <w:rFonts w:ascii="Calibri" w:hAnsi="Calibri"/>
                <w:szCs w:val="22"/>
              </w:rPr>
            </w:pPr>
            <w:proofErr w:type="spellStart"/>
            <w:r>
              <w:rPr>
                <w:rFonts w:ascii="Calibri" w:hAnsi="Calibri"/>
                <w:szCs w:val="22"/>
              </w:rPr>
              <w:t>Micklebring</w:t>
            </w:r>
            <w:proofErr w:type="spellEnd"/>
            <w:r>
              <w:rPr>
                <w:rFonts w:ascii="Calibri" w:hAnsi="Calibri"/>
                <w:szCs w:val="22"/>
              </w:rPr>
              <w:t xml:space="preserve">, 22 </w:t>
            </w:r>
            <w:proofErr w:type="spellStart"/>
            <w:r>
              <w:rPr>
                <w:rFonts w:ascii="Calibri" w:hAnsi="Calibri"/>
                <w:szCs w:val="22"/>
              </w:rPr>
              <w:t>Whinney</w:t>
            </w:r>
            <w:proofErr w:type="spellEnd"/>
            <w:r>
              <w:rPr>
                <w:rFonts w:ascii="Calibri" w:hAnsi="Calibri"/>
                <w:szCs w:val="22"/>
              </w:rPr>
              <w:t xml:space="preserve"> Lane, </w:t>
            </w:r>
            <w:proofErr w:type="spellStart"/>
            <w:r>
              <w:rPr>
                <w:rFonts w:ascii="Calibri" w:hAnsi="Calibri"/>
                <w:szCs w:val="22"/>
              </w:rPr>
              <w:t>Langho</w:t>
            </w:r>
            <w:proofErr w:type="spellEnd"/>
            <w:r>
              <w:rPr>
                <w:rFonts w:ascii="Calibri" w:hAnsi="Calibri"/>
                <w:szCs w:val="22"/>
              </w:rPr>
              <w:t>, BB6 8DQ</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2578E7" w:rsidP="009825FF">
            <w:pPr>
              <w:jc w:val="both"/>
              <w:rPr>
                <w:rFonts w:ascii="Calibri" w:hAnsi="Calibri"/>
                <w:szCs w:val="22"/>
              </w:rPr>
            </w:pPr>
            <w:r>
              <w:rPr>
                <w:rFonts w:ascii="Calibri" w:hAnsi="Calibri"/>
                <w:szCs w:val="22"/>
              </w:rPr>
              <w:t>No comments received within Consultation Period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9555" w:type="dxa"/>
            <w:gridSpan w:val="14"/>
            <w:tcMar>
              <w:top w:w="57" w:type="dxa"/>
              <w:bottom w:w="57" w:type="dxa"/>
            </w:tcMar>
          </w:tcPr>
          <w:p w:rsidR="00C0704D" w:rsidRPr="008C75E4" w:rsidRDefault="002578E7" w:rsidP="00FC046F">
            <w:pPr>
              <w:jc w:val="both"/>
              <w:rPr>
                <w:rFonts w:ascii="Calibri" w:hAnsi="Calibri"/>
                <w:szCs w:val="22"/>
              </w:rPr>
            </w:pPr>
            <w:r>
              <w:rPr>
                <w:rFonts w:ascii="Calibri" w:hAnsi="Calibri"/>
                <w:szCs w:val="22"/>
              </w:rPr>
              <w:t>N/A</w:t>
            </w: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2578E7" w:rsidP="00435FC9">
            <w:pPr>
              <w:jc w:val="both"/>
              <w:rPr>
                <w:rFonts w:ascii="Calibri" w:hAnsi="Calibri"/>
                <w:szCs w:val="22"/>
              </w:rPr>
            </w:pPr>
            <w:r>
              <w:rPr>
                <w:rFonts w:ascii="Calibri" w:hAnsi="Calibri"/>
                <w:szCs w:val="22"/>
              </w:rPr>
              <w:t>No representations received in respect of proposed development.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1946E0" w:rsidRPr="003D7F94" w:rsidRDefault="003D7F94" w:rsidP="006126D1">
            <w:pPr>
              <w:jc w:val="both"/>
              <w:rPr>
                <w:rFonts w:ascii="Calibri" w:hAnsi="Calibri"/>
                <w:szCs w:val="22"/>
              </w:rPr>
            </w:pPr>
            <w:r w:rsidRPr="003D7F94">
              <w:rPr>
                <w:rFonts w:ascii="Calibri" w:hAnsi="Calibri"/>
                <w:szCs w:val="22"/>
              </w:rPr>
              <w:t xml:space="preserve">DMG1- General Considerations </w:t>
            </w:r>
          </w:p>
          <w:p w:rsidR="003D7F94" w:rsidRPr="008C75E4" w:rsidRDefault="003D7F94" w:rsidP="006126D1">
            <w:pPr>
              <w:jc w:val="both"/>
              <w:rPr>
                <w:rFonts w:ascii="Calibri" w:hAnsi="Calibri"/>
                <w:b/>
                <w:szCs w:val="22"/>
              </w:rPr>
            </w:pPr>
            <w:r w:rsidRPr="003D7F94">
              <w:rPr>
                <w:rFonts w:ascii="Calibri" w:hAnsi="Calibri"/>
                <w:szCs w:val="22"/>
              </w:rPr>
              <w:t>DMH5- Residential and Curtilage Extensions</w:t>
            </w:r>
            <w:r>
              <w:rPr>
                <w:rFonts w:ascii="Calibri" w:hAnsi="Calibri"/>
                <w:b/>
                <w:szCs w:val="22"/>
              </w:rPr>
              <w:t xml:space="preserve"> </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Pr="001946E0" w:rsidRDefault="003D7F94" w:rsidP="00454754">
            <w:pPr>
              <w:pStyle w:val="PLANNING"/>
              <w:rPr>
                <w:rFonts w:ascii="Calibri" w:hAnsi="Calibri"/>
                <w:bCs/>
                <w:szCs w:val="22"/>
              </w:rPr>
            </w:pPr>
            <w:r>
              <w:rPr>
                <w:rFonts w:ascii="Calibri" w:hAnsi="Calibri"/>
                <w:bCs/>
                <w:szCs w:val="22"/>
              </w:rPr>
              <w:t>None relevant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BA4C17" w:rsidRDefault="00BA4C17" w:rsidP="00454754">
            <w:pPr>
              <w:pStyle w:val="Header"/>
              <w:tabs>
                <w:tab w:val="clear" w:pos="4153"/>
                <w:tab w:val="clear" w:pos="8306"/>
              </w:tabs>
              <w:contextualSpacing/>
              <w:jc w:val="both"/>
              <w:rPr>
                <w:rFonts w:ascii="Calibri" w:hAnsi="Calibri"/>
                <w:b/>
                <w:szCs w:val="22"/>
              </w:rPr>
            </w:pPr>
          </w:p>
          <w:p w:rsidR="00BA4C17" w:rsidRPr="00BA4C17" w:rsidRDefault="00BA4C17" w:rsidP="00454754">
            <w:pPr>
              <w:pStyle w:val="Header"/>
              <w:tabs>
                <w:tab w:val="clear" w:pos="4153"/>
                <w:tab w:val="clear" w:pos="8306"/>
              </w:tabs>
              <w:contextualSpacing/>
              <w:jc w:val="both"/>
              <w:rPr>
                <w:rFonts w:ascii="Calibri" w:hAnsi="Calibri"/>
                <w:szCs w:val="22"/>
              </w:rPr>
            </w:pPr>
            <w:r w:rsidRPr="00BA4C17">
              <w:rPr>
                <w:rFonts w:ascii="Calibri" w:hAnsi="Calibri"/>
                <w:szCs w:val="22"/>
              </w:rPr>
              <w:t xml:space="preserve">The application site relates to a </w:t>
            </w:r>
            <w:proofErr w:type="spellStart"/>
            <w:r w:rsidRPr="00BA4C17">
              <w:rPr>
                <w:rFonts w:ascii="Calibri" w:hAnsi="Calibri"/>
                <w:szCs w:val="22"/>
              </w:rPr>
              <w:t>semi detached</w:t>
            </w:r>
            <w:proofErr w:type="spellEnd"/>
            <w:r w:rsidRPr="00BA4C17">
              <w:rPr>
                <w:rFonts w:ascii="Calibri" w:hAnsi="Calibri"/>
                <w:szCs w:val="22"/>
              </w:rPr>
              <w:t xml:space="preserve"> two storey dwelling located within</w:t>
            </w:r>
            <w:r w:rsidR="00AC562A">
              <w:rPr>
                <w:rFonts w:ascii="Calibri" w:hAnsi="Calibri"/>
                <w:szCs w:val="22"/>
              </w:rPr>
              <w:t xml:space="preserve"> </w:t>
            </w:r>
            <w:proofErr w:type="spellStart"/>
            <w:r w:rsidR="00AC562A">
              <w:rPr>
                <w:rFonts w:ascii="Calibri" w:hAnsi="Calibri"/>
                <w:szCs w:val="22"/>
              </w:rPr>
              <w:t>Langho</w:t>
            </w:r>
            <w:proofErr w:type="spellEnd"/>
            <w:r w:rsidRPr="00BA4C17">
              <w:rPr>
                <w:rFonts w:ascii="Calibri" w:hAnsi="Calibri"/>
                <w:szCs w:val="22"/>
              </w:rPr>
              <w:t>. The dwelling benefits from a private garden and driveway to the front and a private garden area to the rear.</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Default="00454754" w:rsidP="00454754">
            <w:pPr>
              <w:pStyle w:val="Header"/>
              <w:tabs>
                <w:tab w:val="clear" w:pos="4153"/>
                <w:tab w:val="clear" w:pos="8306"/>
              </w:tabs>
              <w:jc w:val="both"/>
              <w:rPr>
                <w:rFonts w:ascii="Calibri" w:hAnsi="Calibri"/>
                <w:szCs w:val="22"/>
              </w:rPr>
            </w:pPr>
          </w:p>
          <w:p w:rsidR="00BA4C17" w:rsidRDefault="00BA4C17" w:rsidP="00454754">
            <w:pPr>
              <w:pStyle w:val="Header"/>
              <w:tabs>
                <w:tab w:val="clear" w:pos="4153"/>
                <w:tab w:val="clear" w:pos="8306"/>
              </w:tabs>
              <w:jc w:val="both"/>
              <w:rPr>
                <w:rFonts w:ascii="Calibri" w:hAnsi="Calibri"/>
                <w:szCs w:val="22"/>
              </w:rPr>
            </w:pPr>
            <w:r w:rsidRPr="00BA4C17">
              <w:rPr>
                <w:rFonts w:ascii="Calibri" w:hAnsi="Calibri"/>
                <w:szCs w:val="22"/>
              </w:rPr>
              <w:t xml:space="preserve">Consent is sought for </w:t>
            </w:r>
            <w:r w:rsidR="00B851A7">
              <w:rPr>
                <w:rFonts w:ascii="Calibri" w:hAnsi="Calibri"/>
                <w:szCs w:val="22"/>
              </w:rPr>
              <w:t>erection of a single storey extension to the rear of the dwelling. The extension will have a rearward projection of 3.3 metres measuring 6.4 metres in width. The extension will have a lean-to roof measuring approximately 2.6m</w:t>
            </w:r>
            <w:r w:rsidR="002B2133">
              <w:rPr>
                <w:rFonts w:ascii="Calibri" w:hAnsi="Calibri"/>
                <w:szCs w:val="22"/>
              </w:rPr>
              <w:t xml:space="preserve"> at</w:t>
            </w:r>
            <w:r w:rsidR="00B851A7">
              <w:rPr>
                <w:rFonts w:ascii="Calibri" w:hAnsi="Calibri"/>
                <w:szCs w:val="22"/>
              </w:rPr>
              <w:t xml:space="preserve"> the eaves and approximately 3.6m at the highest point. The extension will be constructed with red brick with a grey tile roof and will have </w:t>
            </w:r>
            <w:proofErr w:type="spellStart"/>
            <w:r w:rsidR="00B851A7">
              <w:rPr>
                <w:rFonts w:ascii="Calibri" w:hAnsi="Calibri"/>
                <w:szCs w:val="22"/>
              </w:rPr>
              <w:t>upvc</w:t>
            </w:r>
            <w:proofErr w:type="spellEnd"/>
            <w:r w:rsidR="00B851A7">
              <w:rPr>
                <w:rFonts w:ascii="Calibri" w:hAnsi="Calibri"/>
                <w:szCs w:val="22"/>
              </w:rPr>
              <w:t xml:space="preserve"> and aluminium windows and doors.  </w:t>
            </w:r>
          </w:p>
          <w:p w:rsidR="00BA4C17" w:rsidRPr="00F012FA" w:rsidRDefault="00BA4C17" w:rsidP="00454754">
            <w:pPr>
              <w:pStyle w:val="Header"/>
              <w:tabs>
                <w:tab w:val="clear" w:pos="4153"/>
                <w:tab w:val="clear" w:pos="8306"/>
              </w:tabs>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rsidR="00C6456D" w:rsidRDefault="00C6456D" w:rsidP="00454754">
            <w:pPr>
              <w:contextualSpacing/>
              <w:jc w:val="both"/>
              <w:rPr>
                <w:rFonts w:ascii="Calibri" w:hAnsi="Calibri"/>
                <w:szCs w:val="22"/>
              </w:rPr>
            </w:pPr>
          </w:p>
          <w:p w:rsidR="00BA4C17" w:rsidRDefault="00BA4C17" w:rsidP="00BA4C17">
            <w:pPr>
              <w:contextualSpacing/>
              <w:jc w:val="both"/>
              <w:rPr>
                <w:rFonts w:ascii="Calibri" w:hAnsi="Calibri"/>
                <w:szCs w:val="22"/>
              </w:rPr>
            </w:pPr>
            <w:r w:rsidRPr="00BA4C17">
              <w:rPr>
                <w:rFonts w:ascii="Calibri" w:hAnsi="Calibri"/>
                <w:szCs w:val="22"/>
              </w:rPr>
              <w:t xml:space="preserve">The development proposes the demolition of the existing </w:t>
            </w:r>
            <w:r w:rsidR="00834DEA">
              <w:rPr>
                <w:rFonts w:ascii="Calibri" w:hAnsi="Calibri"/>
                <w:szCs w:val="22"/>
              </w:rPr>
              <w:t>rear porch</w:t>
            </w:r>
            <w:r w:rsidRPr="00BA4C17">
              <w:rPr>
                <w:rFonts w:ascii="Calibri" w:hAnsi="Calibri"/>
                <w:szCs w:val="22"/>
              </w:rPr>
              <w:t xml:space="preserve"> </w:t>
            </w:r>
            <w:r w:rsidR="003D7F94">
              <w:rPr>
                <w:rFonts w:ascii="Calibri" w:hAnsi="Calibri"/>
                <w:szCs w:val="22"/>
              </w:rPr>
              <w:t xml:space="preserve">and the </w:t>
            </w:r>
            <w:r w:rsidR="00834DEA">
              <w:rPr>
                <w:rFonts w:ascii="Calibri" w:hAnsi="Calibri"/>
                <w:szCs w:val="22"/>
              </w:rPr>
              <w:t xml:space="preserve">erection of </w:t>
            </w:r>
            <w:r w:rsidRPr="00BA4C17">
              <w:rPr>
                <w:rFonts w:ascii="Calibri" w:hAnsi="Calibri"/>
                <w:szCs w:val="22"/>
              </w:rPr>
              <w:t>a larger single storey extension that has a maximum rearward projection of 3.</w:t>
            </w:r>
            <w:r w:rsidR="00834DEA">
              <w:rPr>
                <w:rFonts w:ascii="Calibri" w:hAnsi="Calibri"/>
                <w:szCs w:val="22"/>
              </w:rPr>
              <w:t>3</w:t>
            </w:r>
            <w:r w:rsidRPr="00BA4C17">
              <w:rPr>
                <w:rFonts w:ascii="Calibri" w:hAnsi="Calibri"/>
                <w:szCs w:val="22"/>
              </w:rPr>
              <w:t xml:space="preserve"> meters</w:t>
            </w:r>
            <w:r w:rsidR="00834DEA">
              <w:rPr>
                <w:rFonts w:ascii="Calibri" w:hAnsi="Calibri"/>
                <w:szCs w:val="22"/>
              </w:rPr>
              <w:t>.</w:t>
            </w:r>
            <w:r w:rsidR="006B6655">
              <w:rPr>
                <w:rFonts w:ascii="Calibri" w:hAnsi="Calibri"/>
                <w:szCs w:val="22"/>
              </w:rPr>
              <w:t xml:space="preserve"> It is considered that the rear extension</w:t>
            </w:r>
            <w:r w:rsidR="003D7F94">
              <w:rPr>
                <w:rFonts w:ascii="Calibri" w:hAnsi="Calibri"/>
                <w:szCs w:val="22"/>
              </w:rPr>
              <w:t xml:space="preserve"> </w:t>
            </w:r>
            <w:r w:rsidR="006B6655">
              <w:rPr>
                <w:rFonts w:ascii="Calibri" w:hAnsi="Calibri"/>
                <w:szCs w:val="22"/>
              </w:rPr>
              <w:t>will have limited impact on the neighbouring dwelling to the south,</w:t>
            </w:r>
            <w:r w:rsidR="003D7F94">
              <w:rPr>
                <w:rFonts w:ascii="Calibri" w:hAnsi="Calibri"/>
                <w:szCs w:val="22"/>
              </w:rPr>
              <w:t xml:space="preserve"> </w:t>
            </w:r>
            <w:r w:rsidR="006B6655">
              <w:rPr>
                <w:rFonts w:ascii="Calibri" w:hAnsi="Calibri"/>
                <w:szCs w:val="22"/>
              </w:rPr>
              <w:t xml:space="preserve">no 24 Whinney Lane as the </w:t>
            </w:r>
            <w:r w:rsidR="003D7F94">
              <w:rPr>
                <w:rFonts w:ascii="Calibri" w:hAnsi="Calibri"/>
                <w:szCs w:val="22"/>
              </w:rPr>
              <w:t xml:space="preserve">3.3 metres projection will </w:t>
            </w:r>
            <w:r w:rsidR="006B6655">
              <w:rPr>
                <w:rFonts w:ascii="Calibri" w:hAnsi="Calibri"/>
                <w:szCs w:val="22"/>
              </w:rPr>
              <w:t xml:space="preserve">not result in the loss of light to the neighbouring dwelling as well as there being no windows proposed on the elevation facing the </w:t>
            </w:r>
            <w:r w:rsidR="003D7F94">
              <w:rPr>
                <w:rFonts w:ascii="Calibri" w:hAnsi="Calibri"/>
                <w:szCs w:val="22"/>
              </w:rPr>
              <w:t>neighbouring</w:t>
            </w:r>
            <w:r w:rsidR="006B6655">
              <w:rPr>
                <w:rFonts w:ascii="Calibri" w:hAnsi="Calibri"/>
                <w:szCs w:val="22"/>
              </w:rPr>
              <w:t xml:space="preserve"> property.  </w:t>
            </w:r>
          </w:p>
          <w:p w:rsidR="006B6655" w:rsidRDefault="006B6655" w:rsidP="00BA4C17">
            <w:pPr>
              <w:contextualSpacing/>
              <w:jc w:val="both"/>
              <w:rPr>
                <w:rFonts w:ascii="Calibri" w:hAnsi="Calibri"/>
                <w:szCs w:val="22"/>
              </w:rPr>
            </w:pPr>
          </w:p>
          <w:p w:rsidR="00BA4C17" w:rsidRPr="00D23470" w:rsidRDefault="006B6655" w:rsidP="00BA4C17">
            <w:pPr>
              <w:contextualSpacing/>
              <w:jc w:val="both"/>
              <w:rPr>
                <w:rFonts w:ascii="Calibri" w:hAnsi="Calibri"/>
                <w:szCs w:val="22"/>
              </w:rPr>
            </w:pPr>
            <w:r>
              <w:rPr>
                <w:rFonts w:ascii="Calibri" w:hAnsi="Calibri"/>
                <w:szCs w:val="22"/>
              </w:rPr>
              <w:t xml:space="preserve">The proposed extension is set approximately 3metres </w:t>
            </w:r>
            <w:r w:rsidR="003D7F94">
              <w:rPr>
                <w:rFonts w:ascii="Calibri" w:hAnsi="Calibri"/>
                <w:szCs w:val="22"/>
              </w:rPr>
              <w:t xml:space="preserve">from the shared boundary </w:t>
            </w:r>
            <w:r>
              <w:rPr>
                <w:rFonts w:ascii="Calibri" w:hAnsi="Calibri"/>
                <w:szCs w:val="22"/>
              </w:rPr>
              <w:t>of the attached property no 20 Whinney Lane</w:t>
            </w:r>
            <w:r w:rsidR="00BA4C17" w:rsidRPr="00BA4C17">
              <w:rPr>
                <w:rFonts w:ascii="Calibri" w:hAnsi="Calibri"/>
                <w:szCs w:val="22"/>
              </w:rPr>
              <w:t xml:space="preserve">. </w:t>
            </w:r>
            <w:r w:rsidR="003D7F94">
              <w:rPr>
                <w:rFonts w:ascii="Calibri" w:hAnsi="Calibri"/>
                <w:szCs w:val="22"/>
              </w:rPr>
              <w:t>It is considered that a</w:t>
            </w:r>
            <w:r w:rsidR="00BA4C17" w:rsidRPr="00BA4C17">
              <w:rPr>
                <w:rFonts w:ascii="Calibri" w:hAnsi="Calibri"/>
                <w:szCs w:val="22"/>
              </w:rPr>
              <w:t xml:space="preserve">s the proposed extension is single storey and taking account </w:t>
            </w:r>
            <w:r w:rsidR="003D7F94">
              <w:rPr>
                <w:rFonts w:ascii="Calibri" w:hAnsi="Calibri"/>
                <w:szCs w:val="22"/>
              </w:rPr>
              <w:t>of the rearward projection being only 0.3 metres over what would be allowed under permitted development</w:t>
            </w:r>
            <w:r w:rsidR="00BA4C17" w:rsidRPr="00BA4C17">
              <w:rPr>
                <w:rFonts w:ascii="Calibri" w:hAnsi="Calibri"/>
                <w:szCs w:val="22"/>
              </w:rPr>
              <w:t xml:space="preserve"> it is not considered that the proposed development will result in any significant detrimental impact on this aforementioned neighbour.</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C50517" w:rsidRDefault="00C50517" w:rsidP="00454754">
            <w:pPr>
              <w:contextualSpacing/>
              <w:jc w:val="both"/>
              <w:rPr>
                <w:rFonts w:ascii="Calibri" w:hAnsi="Calibri"/>
                <w:szCs w:val="22"/>
              </w:rPr>
            </w:pPr>
          </w:p>
          <w:p w:rsidR="00BA4C17" w:rsidRPr="00BA4C17" w:rsidRDefault="00BA4C17" w:rsidP="00BA4C17">
            <w:pPr>
              <w:contextualSpacing/>
              <w:jc w:val="both"/>
              <w:rPr>
                <w:rFonts w:ascii="Calibri" w:hAnsi="Calibri"/>
                <w:szCs w:val="22"/>
              </w:rPr>
            </w:pPr>
            <w:r w:rsidRPr="00BA4C17">
              <w:rPr>
                <w:rFonts w:ascii="Calibri" w:hAnsi="Calibri"/>
                <w:szCs w:val="22"/>
              </w:rPr>
              <w:t>Policy DMG1 requires development to be of a high standard of design and be sympathetic to existing and proposed land uses in terms of size, intensity and nature.</w:t>
            </w:r>
          </w:p>
          <w:p w:rsidR="00BA4C17" w:rsidRPr="00BA4C17" w:rsidRDefault="00BA4C17" w:rsidP="00BA4C17">
            <w:pPr>
              <w:contextualSpacing/>
              <w:jc w:val="both"/>
              <w:rPr>
                <w:rFonts w:ascii="Calibri" w:hAnsi="Calibri"/>
                <w:szCs w:val="22"/>
              </w:rPr>
            </w:pPr>
          </w:p>
          <w:p w:rsidR="00BA4C17" w:rsidRPr="00545D8C" w:rsidRDefault="0060657B" w:rsidP="00BA4C17">
            <w:pPr>
              <w:contextualSpacing/>
              <w:jc w:val="both"/>
              <w:rPr>
                <w:rFonts w:ascii="Calibri" w:hAnsi="Calibri"/>
                <w:szCs w:val="22"/>
              </w:rPr>
            </w:pPr>
            <w:r>
              <w:rPr>
                <w:rFonts w:ascii="Calibri" w:hAnsi="Calibri"/>
                <w:szCs w:val="22"/>
              </w:rPr>
              <w:t>The proposed extension is to the rear of the dwelling</w:t>
            </w:r>
            <w:r w:rsidR="006B6655">
              <w:rPr>
                <w:rFonts w:ascii="Calibri" w:hAnsi="Calibri"/>
                <w:szCs w:val="22"/>
              </w:rPr>
              <w:t xml:space="preserve"> as such the extension will not be visible from the nearest highway and therefore will have minimal impact on the visual amenity of the area. It is considered that the proposed extension is acceptable in terms of size, intensity and nature as well as being subservient to the main dwelling as it is to be constructed in materials to match the main dwelling. </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BA4C17" w:rsidP="00454754">
            <w:pPr>
              <w:pStyle w:val="Header"/>
              <w:tabs>
                <w:tab w:val="clear" w:pos="4153"/>
                <w:tab w:val="clear" w:pos="8306"/>
              </w:tabs>
              <w:contextualSpacing/>
              <w:jc w:val="both"/>
              <w:rPr>
                <w:rFonts w:ascii="Calibri" w:hAnsi="Calibri"/>
                <w:szCs w:val="22"/>
              </w:rPr>
            </w:pPr>
            <w:r w:rsidRPr="00BA4C17">
              <w:rPr>
                <w:rFonts w:ascii="Calibri" w:hAnsi="Calibri"/>
                <w:szCs w:val="22"/>
              </w:rPr>
              <w:t>The proposed development will not result in any significant impact on the residential amenity or visual amenity of the area. With all the above taken into considered it is recommended accordingly.</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BA4C17" w:rsidP="006126D1">
            <w:pPr>
              <w:jc w:val="both"/>
              <w:rPr>
                <w:rFonts w:ascii="Calibri" w:hAnsi="Calibri"/>
                <w:bCs/>
                <w:szCs w:val="22"/>
              </w:rPr>
            </w:pPr>
            <w:r w:rsidRPr="00BA4C17">
              <w:rPr>
                <w:rFonts w:ascii="Calibri" w:hAnsi="Calibri"/>
                <w:bCs/>
                <w:szCs w:val="22"/>
              </w:rPr>
              <w:t>That planning consent be granted.</w:t>
            </w:r>
          </w:p>
        </w:tc>
      </w:tr>
    </w:tbl>
    <w:p w:rsidR="0031197A" w:rsidRPr="008C75E4" w:rsidRDefault="00905E8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10" w:rsidRDefault="00D80310" w:rsidP="006D0B5F">
      <w:r>
        <w:separator/>
      </w:r>
    </w:p>
  </w:endnote>
  <w:endnote w:type="continuationSeparator" w:id="0">
    <w:p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10" w:rsidRDefault="00D80310" w:rsidP="006D0B5F">
      <w:r>
        <w:separator/>
      </w:r>
    </w:p>
  </w:footnote>
  <w:footnote w:type="continuationSeparator" w:id="0">
    <w:p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578E7"/>
    <w:rsid w:val="00284480"/>
    <w:rsid w:val="0028751A"/>
    <w:rsid w:val="0029334A"/>
    <w:rsid w:val="002A01CF"/>
    <w:rsid w:val="002A7DF7"/>
    <w:rsid w:val="002B2133"/>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A4376"/>
    <w:rsid w:val="003C28E1"/>
    <w:rsid w:val="003D7F94"/>
    <w:rsid w:val="003E2151"/>
    <w:rsid w:val="003F16AA"/>
    <w:rsid w:val="003F16B4"/>
    <w:rsid w:val="003F3DB5"/>
    <w:rsid w:val="003F481A"/>
    <w:rsid w:val="00404C72"/>
    <w:rsid w:val="00435FC9"/>
    <w:rsid w:val="0044039F"/>
    <w:rsid w:val="00440CB6"/>
    <w:rsid w:val="0044406A"/>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60657B"/>
    <w:rsid w:val="006126D1"/>
    <w:rsid w:val="006326A2"/>
    <w:rsid w:val="00665C24"/>
    <w:rsid w:val="00690EC3"/>
    <w:rsid w:val="00692B60"/>
    <w:rsid w:val="00695F88"/>
    <w:rsid w:val="006A71AD"/>
    <w:rsid w:val="006B6655"/>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34DEA"/>
    <w:rsid w:val="00842318"/>
    <w:rsid w:val="008542DE"/>
    <w:rsid w:val="008638DE"/>
    <w:rsid w:val="00891182"/>
    <w:rsid w:val="008A28C8"/>
    <w:rsid w:val="008C75E4"/>
    <w:rsid w:val="008F6B58"/>
    <w:rsid w:val="0090282C"/>
    <w:rsid w:val="00905E83"/>
    <w:rsid w:val="00906D0C"/>
    <w:rsid w:val="00934B34"/>
    <w:rsid w:val="009553C9"/>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AC562A"/>
    <w:rsid w:val="00B14DDC"/>
    <w:rsid w:val="00B30A5E"/>
    <w:rsid w:val="00B31505"/>
    <w:rsid w:val="00B6269C"/>
    <w:rsid w:val="00B74C73"/>
    <w:rsid w:val="00B851A7"/>
    <w:rsid w:val="00B93EB5"/>
    <w:rsid w:val="00B96F5A"/>
    <w:rsid w:val="00BA2247"/>
    <w:rsid w:val="00BA4C1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296B-64A1-4435-B8EF-BF3C9179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John Macholc</cp:lastModifiedBy>
  <cp:revision>2</cp:revision>
  <cp:lastPrinted>2020-03-11T10:54:00Z</cp:lastPrinted>
  <dcterms:created xsi:type="dcterms:W3CDTF">2020-04-15T14:42:00Z</dcterms:created>
  <dcterms:modified xsi:type="dcterms:W3CDTF">2020-04-15T14:42:00Z</dcterms:modified>
</cp:coreProperties>
</file>