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527A" w:rsidRPr="00C839D6" w:rsidRDefault="0023527A" w:rsidP="003015D8">
      <w:pPr>
        <w:spacing w:line="240" w:lineRule="auto"/>
        <w:rPr>
          <w:rFonts w:cs="Arial"/>
          <w:szCs w:val="22"/>
        </w:rPr>
      </w:pPr>
      <w:bookmarkStart w:id="0" w:name="_GoBack"/>
      <w:bookmarkEnd w:id="0"/>
      <w:r w:rsidRPr="00C839D6">
        <w:rPr>
          <w:rFonts w:cs="Arial"/>
          <w:szCs w:val="22"/>
        </w:rPr>
        <w:t>RECOMMENDATION FOR PLANNING AND DEVELOPMENT COMMITTEE</w:t>
      </w:r>
    </w:p>
    <w:p w:rsidR="000E04D5" w:rsidRDefault="000E04D5" w:rsidP="003015D8">
      <w:pPr>
        <w:spacing w:line="240" w:lineRule="auto"/>
        <w:rPr>
          <w:rFonts w:cs="Arial"/>
          <w:b/>
          <w:bCs/>
          <w:szCs w:val="22"/>
        </w:rPr>
      </w:pPr>
    </w:p>
    <w:p w:rsidR="0086596C" w:rsidRDefault="007B08E6" w:rsidP="003015D8">
      <w:pPr>
        <w:spacing w:line="240" w:lineRule="auto"/>
        <w:rPr>
          <w:rFonts w:cs="Arial"/>
          <w:b/>
          <w:bCs/>
          <w:szCs w:val="22"/>
        </w:rPr>
      </w:pPr>
      <w:r>
        <w:rPr>
          <w:rFonts w:cs="Arial"/>
          <w:b/>
          <w:bCs/>
          <w:szCs w:val="22"/>
        </w:rPr>
        <w:t>REFUSAL</w:t>
      </w:r>
    </w:p>
    <w:p w:rsidR="0086596C" w:rsidRPr="00267384" w:rsidRDefault="0086596C" w:rsidP="003015D8">
      <w:pPr>
        <w:spacing w:line="240" w:lineRule="auto"/>
        <w:rPr>
          <w:szCs w:val="22"/>
        </w:rPr>
      </w:pPr>
    </w:p>
    <w:p w:rsidR="0023527A" w:rsidRPr="00267384" w:rsidRDefault="0023527A" w:rsidP="003015D8">
      <w:pPr>
        <w:spacing w:line="240" w:lineRule="auto"/>
        <w:rPr>
          <w:rFonts w:cs="Arial"/>
          <w:b/>
          <w:bCs/>
          <w:szCs w:val="22"/>
        </w:rPr>
      </w:pPr>
      <w:r w:rsidRPr="00267384">
        <w:rPr>
          <w:rFonts w:cs="Arial"/>
          <w:b/>
          <w:bCs/>
          <w:szCs w:val="22"/>
        </w:rPr>
        <w:t>DATE:</w:t>
      </w:r>
      <w:r w:rsidRPr="00267384">
        <w:rPr>
          <w:rFonts w:cs="Arial"/>
          <w:b/>
          <w:bCs/>
          <w:szCs w:val="22"/>
        </w:rPr>
        <w:tab/>
      </w:r>
      <w:r w:rsidR="0049244F">
        <w:rPr>
          <w:rFonts w:cs="Arial"/>
          <w:b/>
          <w:bCs/>
          <w:szCs w:val="22"/>
        </w:rPr>
        <w:tab/>
      </w:r>
      <w:r w:rsidR="0049244F">
        <w:rPr>
          <w:rFonts w:cs="Arial"/>
          <w:b/>
          <w:bCs/>
          <w:szCs w:val="22"/>
        </w:rPr>
        <w:tab/>
      </w:r>
      <w:r w:rsidR="00B57495">
        <w:rPr>
          <w:rFonts w:cs="Arial"/>
          <w:b/>
          <w:bCs/>
          <w:szCs w:val="22"/>
        </w:rPr>
        <w:t xml:space="preserve">25 </w:t>
      </w:r>
      <w:r w:rsidR="0049244F">
        <w:rPr>
          <w:rFonts w:cs="Arial"/>
          <w:b/>
          <w:bCs/>
          <w:szCs w:val="22"/>
        </w:rPr>
        <w:t>June</w:t>
      </w:r>
      <w:r w:rsidR="00B57495">
        <w:rPr>
          <w:rFonts w:cs="Arial"/>
          <w:b/>
          <w:bCs/>
          <w:szCs w:val="22"/>
        </w:rPr>
        <w:t xml:space="preserve"> 2020</w:t>
      </w:r>
    </w:p>
    <w:p w:rsidR="0023527A" w:rsidRPr="00267384" w:rsidRDefault="0023527A" w:rsidP="003015D8">
      <w:pPr>
        <w:spacing w:line="240" w:lineRule="auto"/>
        <w:rPr>
          <w:rFonts w:cs="Arial"/>
          <w:b/>
          <w:bCs/>
          <w:szCs w:val="22"/>
        </w:rPr>
      </w:pPr>
      <w:r w:rsidRPr="00267384">
        <w:rPr>
          <w:rFonts w:cs="Arial"/>
          <w:b/>
          <w:bCs/>
          <w:szCs w:val="22"/>
        </w:rPr>
        <w:t>REF:</w:t>
      </w:r>
      <w:r w:rsidRPr="00267384">
        <w:rPr>
          <w:rFonts w:cs="Arial"/>
          <w:b/>
          <w:bCs/>
          <w:szCs w:val="22"/>
        </w:rPr>
        <w:tab/>
      </w:r>
      <w:r w:rsidRPr="00267384">
        <w:rPr>
          <w:rFonts w:cs="Arial"/>
          <w:b/>
          <w:bCs/>
          <w:szCs w:val="22"/>
        </w:rPr>
        <w:tab/>
      </w:r>
      <w:r w:rsidR="0049244F">
        <w:rPr>
          <w:rFonts w:cs="Arial"/>
          <w:b/>
          <w:bCs/>
          <w:szCs w:val="22"/>
        </w:rPr>
        <w:tab/>
        <w:t>AB</w:t>
      </w:r>
      <w:r w:rsidRPr="00267384">
        <w:rPr>
          <w:rFonts w:cs="Arial"/>
          <w:b/>
          <w:bCs/>
          <w:szCs w:val="22"/>
        </w:rPr>
        <w:tab/>
      </w:r>
    </w:p>
    <w:p w:rsidR="0023527A" w:rsidRPr="00267384" w:rsidRDefault="0023527A" w:rsidP="003015D8">
      <w:pPr>
        <w:spacing w:line="240" w:lineRule="auto"/>
        <w:rPr>
          <w:rFonts w:cs="Arial"/>
          <w:b/>
          <w:bCs/>
          <w:szCs w:val="22"/>
        </w:rPr>
      </w:pPr>
      <w:r w:rsidRPr="00267384">
        <w:rPr>
          <w:rFonts w:cs="Arial"/>
          <w:b/>
          <w:bCs/>
          <w:szCs w:val="22"/>
        </w:rPr>
        <w:t>CHECKED BY:</w:t>
      </w:r>
      <w:r w:rsidR="00D37928" w:rsidRPr="00267384">
        <w:rPr>
          <w:rFonts w:cs="Arial"/>
          <w:b/>
          <w:bCs/>
          <w:szCs w:val="22"/>
        </w:rPr>
        <w:t xml:space="preserve"> </w:t>
      </w:r>
    </w:p>
    <w:p w:rsidR="0023527A" w:rsidRPr="00C839D6" w:rsidRDefault="0023527A" w:rsidP="003015D8">
      <w:pPr>
        <w:spacing w:line="240" w:lineRule="auto"/>
        <w:rPr>
          <w:rFonts w:cs="Arial"/>
          <w:szCs w:val="22"/>
        </w:rPr>
      </w:pPr>
    </w:p>
    <w:p w:rsidR="000E04D5" w:rsidRPr="00C839D6" w:rsidRDefault="0023527A" w:rsidP="003015D8">
      <w:pPr>
        <w:tabs>
          <w:tab w:val="left" w:pos="2203"/>
          <w:tab w:val="left" w:pos="5883"/>
          <w:tab w:val="left" w:pos="9513"/>
        </w:tabs>
        <w:spacing w:line="240" w:lineRule="auto"/>
        <w:jc w:val="left"/>
        <w:rPr>
          <w:rFonts w:cs="Arial"/>
          <w:szCs w:val="22"/>
        </w:rPr>
      </w:pPr>
      <w:r w:rsidRPr="00C839D6">
        <w:rPr>
          <w:rFonts w:cs="Arial"/>
          <w:b/>
          <w:szCs w:val="22"/>
        </w:rPr>
        <w:t xml:space="preserve">APPLICATION </w:t>
      </w:r>
      <w:r w:rsidR="008B3DCB" w:rsidRPr="00C839D6">
        <w:rPr>
          <w:rFonts w:cs="Arial"/>
          <w:b/>
          <w:szCs w:val="22"/>
        </w:rPr>
        <w:t>REF</w:t>
      </w:r>
      <w:r w:rsidRPr="00C839D6">
        <w:rPr>
          <w:rFonts w:cs="Arial"/>
          <w:b/>
          <w:szCs w:val="22"/>
        </w:rPr>
        <w:t>:</w:t>
      </w:r>
      <w:r w:rsidR="00B27DE0">
        <w:rPr>
          <w:rFonts w:cs="Arial"/>
          <w:b/>
          <w:szCs w:val="22"/>
        </w:rPr>
        <w:t xml:space="preserve"> </w:t>
      </w:r>
      <w:r w:rsidR="009936A2" w:rsidRPr="00C839D6">
        <w:rPr>
          <w:rFonts w:cs="Arial"/>
          <w:b/>
          <w:szCs w:val="22"/>
        </w:rPr>
        <w:tab/>
      </w:r>
      <w:r w:rsidR="007F3218" w:rsidRPr="007F3218">
        <w:rPr>
          <w:rFonts w:cs="Arial"/>
          <w:b/>
          <w:szCs w:val="22"/>
        </w:rPr>
        <w:t>3/20</w:t>
      </w:r>
      <w:r w:rsidR="003015D8">
        <w:rPr>
          <w:rFonts w:cs="Arial"/>
          <w:b/>
          <w:szCs w:val="22"/>
        </w:rPr>
        <w:t>20/0</w:t>
      </w:r>
      <w:r w:rsidR="007B08E6">
        <w:rPr>
          <w:rFonts w:cs="Arial"/>
          <w:b/>
          <w:szCs w:val="22"/>
        </w:rPr>
        <w:t>219</w:t>
      </w:r>
    </w:p>
    <w:p w:rsidR="00D62F1D" w:rsidRDefault="0023527A" w:rsidP="003015D8">
      <w:pPr>
        <w:tabs>
          <w:tab w:val="left" w:pos="2203"/>
          <w:tab w:val="left" w:pos="5883"/>
          <w:tab w:val="left" w:pos="9513"/>
        </w:tabs>
        <w:spacing w:line="240" w:lineRule="auto"/>
        <w:jc w:val="left"/>
        <w:rPr>
          <w:rFonts w:cs="Arial"/>
          <w:szCs w:val="22"/>
        </w:rPr>
      </w:pPr>
      <w:r w:rsidRPr="00C839D6">
        <w:rPr>
          <w:rFonts w:cs="Arial"/>
          <w:szCs w:val="22"/>
        </w:rPr>
        <w:t xml:space="preserve">GRID REF: </w:t>
      </w:r>
      <w:r w:rsidR="00987268" w:rsidRPr="00C839D6">
        <w:rPr>
          <w:rFonts w:cs="Arial"/>
          <w:szCs w:val="22"/>
        </w:rPr>
        <w:t>SD</w:t>
      </w:r>
      <w:r w:rsidR="00E4241A">
        <w:rPr>
          <w:rFonts w:cs="Arial"/>
          <w:szCs w:val="22"/>
        </w:rPr>
        <w:t xml:space="preserve"> </w:t>
      </w:r>
      <w:r w:rsidR="007B08E6">
        <w:rPr>
          <w:rFonts w:cs="Arial"/>
          <w:szCs w:val="22"/>
        </w:rPr>
        <w:t>375906 445495</w:t>
      </w:r>
    </w:p>
    <w:p w:rsidR="00B27DE0" w:rsidRPr="00C839D6" w:rsidRDefault="00B27DE0" w:rsidP="003015D8">
      <w:pPr>
        <w:tabs>
          <w:tab w:val="left" w:pos="2203"/>
          <w:tab w:val="left" w:pos="5883"/>
          <w:tab w:val="left" w:pos="9513"/>
        </w:tabs>
        <w:spacing w:line="240" w:lineRule="auto"/>
        <w:jc w:val="left"/>
        <w:rPr>
          <w:rFonts w:cs="Arial"/>
          <w:szCs w:val="22"/>
        </w:rPr>
      </w:pPr>
    </w:p>
    <w:p w:rsidR="000E04D5" w:rsidRDefault="000E04D5" w:rsidP="003015D8">
      <w:pPr>
        <w:tabs>
          <w:tab w:val="left" w:pos="2203"/>
          <w:tab w:val="left" w:pos="5883"/>
          <w:tab w:val="left" w:pos="9513"/>
        </w:tabs>
        <w:spacing w:line="240" w:lineRule="auto"/>
        <w:jc w:val="left"/>
        <w:rPr>
          <w:rFonts w:cs="Arial"/>
          <w:b/>
          <w:szCs w:val="22"/>
          <w:u w:val="single"/>
        </w:rPr>
      </w:pPr>
      <w:r w:rsidRPr="00C839D6">
        <w:rPr>
          <w:rFonts w:cs="Arial"/>
          <w:b/>
          <w:szCs w:val="22"/>
          <w:u w:val="single"/>
        </w:rPr>
        <w:t>DEVELOPMEN</w:t>
      </w:r>
      <w:r w:rsidR="00ED0256" w:rsidRPr="00C839D6">
        <w:rPr>
          <w:rFonts w:cs="Arial"/>
          <w:b/>
          <w:szCs w:val="22"/>
          <w:u w:val="single"/>
        </w:rPr>
        <w:t xml:space="preserve">T </w:t>
      </w:r>
      <w:r w:rsidRPr="00C839D6">
        <w:rPr>
          <w:rFonts w:cs="Arial"/>
          <w:b/>
          <w:szCs w:val="22"/>
          <w:u w:val="single"/>
        </w:rPr>
        <w:t>DESCRIPTION:</w:t>
      </w:r>
    </w:p>
    <w:p w:rsidR="00323246" w:rsidRPr="00C839D6" w:rsidRDefault="00323246" w:rsidP="007B08E6">
      <w:pPr>
        <w:tabs>
          <w:tab w:val="left" w:pos="2203"/>
          <w:tab w:val="left" w:pos="5883"/>
          <w:tab w:val="left" w:pos="9513"/>
        </w:tabs>
        <w:spacing w:line="240" w:lineRule="auto"/>
        <w:jc w:val="left"/>
        <w:rPr>
          <w:rFonts w:cs="Arial"/>
          <w:b/>
          <w:szCs w:val="22"/>
          <w:u w:val="single"/>
        </w:rPr>
      </w:pPr>
    </w:p>
    <w:p w:rsidR="00B57495" w:rsidRDefault="007B08E6" w:rsidP="007B08E6">
      <w:pPr>
        <w:spacing w:line="240" w:lineRule="auto"/>
        <w:rPr>
          <w:rFonts w:cs="Arial"/>
          <w:szCs w:val="22"/>
        </w:rPr>
      </w:pPr>
      <w:r w:rsidRPr="007B08E6">
        <w:rPr>
          <w:rFonts w:cs="Arial"/>
          <w:color w:val="000000" w:themeColor="text1"/>
          <w:szCs w:val="22"/>
        </w:rPr>
        <w:t>CHANGE OF USE FROM PUBLIC HOUSE WITH LIVING ACCOMMODATION (A4 DRINKING ESTABLISHMENT)</w:t>
      </w:r>
      <w:r>
        <w:rPr>
          <w:rFonts w:cs="Arial"/>
          <w:color w:val="000000" w:themeColor="text1"/>
          <w:szCs w:val="22"/>
        </w:rPr>
        <w:t xml:space="preserve"> </w:t>
      </w:r>
      <w:r w:rsidRPr="007B08E6">
        <w:rPr>
          <w:rFonts w:cs="Arial"/>
          <w:color w:val="000000" w:themeColor="text1"/>
          <w:szCs w:val="22"/>
        </w:rPr>
        <w:t xml:space="preserve">TO RESIDENTIAL USE (C3 DWELLING) (RESUBMISSION OF APPLICATION 3/2019/0049 AT </w:t>
      </w:r>
      <w:r w:rsidRPr="007B08E6">
        <w:rPr>
          <w:rFonts w:cs="Arial"/>
          <w:szCs w:val="22"/>
        </w:rPr>
        <w:t>DUKE OF YORK INN GRINDLETON BROW GRINDLETON BB7</w:t>
      </w:r>
      <w:r w:rsidR="00B57495">
        <w:rPr>
          <w:rFonts w:cs="Arial"/>
          <w:szCs w:val="22"/>
        </w:rPr>
        <w:t> </w:t>
      </w:r>
      <w:r w:rsidRPr="007B08E6">
        <w:rPr>
          <w:rFonts w:cs="Arial"/>
          <w:szCs w:val="22"/>
        </w:rPr>
        <w:t>4QR</w:t>
      </w:r>
    </w:p>
    <w:p w:rsidR="00B57495" w:rsidRDefault="00B57495" w:rsidP="00B57495">
      <w:pPr>
        <w:spacing w:line="240" w:lineRule="auto"/>
        <w:jc w:val="center"/>
        <w:rPr>
          <w:noProof/>
          <w:szCs w:val="22"/>
        </w:rPr>
      </w:pPr>
    </w:p>
    <w:p w:rsidR="00B57495" w:rsidRPr="007B08E6" w:rsidRDefault="00B57495" w:rsidP="00B57495">
      <w:pPr>
        <w:spacing w:line="240" w:lineRule="auto"/>
        <w:jc w:val="center"/>
        <w:rPr>
          <w:rFonts w:cs="Arial"/>
          <w:szCs w:val="22"/>
        </w:rPr>
      </w:pPr>
      <w:r>
        <w:rPr>
          <w:noProof/>
          <w:szCs w:val="22"/>
        </w:rPr>
        <w:drawing>
          <wp:inline distT="0" distB="0" distL="0" distR="0" wp14:anchorId="01574503" wp14:editId="0BFF261C">
            <wp:extent cx="3666554" cy="51460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 0219 Duke of York Inn Grindleton.png"/>
                    <pic:cNvPicPr/>
                  </pic:nvPicPr>
                  <pic:blipFill rotWithShape="1">
                    <a:blip r:embed="rId8" cstate="print">
                      <a:extLst>
                        <a:ext uri="{28A0092B-C50C-407E-A947-70E740481C1C}">
                          <a14:useLocalDpi xmlns:a14="http://schemas.microsoft.com/office/drawing/2010/main" val="0"/>
                        </a:ext>
                      </a:extLst>
                    </a:blip>
                    <a:srcRect r="4702" b="5414"/>
                    <a:stretch/>
                  </pic:blipFill>
                  <pic:spPr bwMode="auto">
                    <a:xfrm>
                      <a:off x="0" y="0"/>
                      <a:ext cx="3681745" cy="5167361"/>
                    </a:xfrm>
                    <a:prstGeom prst="rect">
                      <a:avLst/>
                    </a:prstGeom>
                    <a:ln>
                      <a:noFill/>
                    </a:ln>
                    <a:extLst>
                      <a:ext uri="{53640926-AAD7-44D8-BBD7-CCE9431645EC}">
                        <a14:shadowObscured xmlns:a14="http://schemas.microsoft.com/office/drawing/2010/main"/>
                      </a:ext>
                    </a:extLst>
                  </pic:spPr>
                </pic:pic>
              </a:graphicData>
            </a:graphic>
          </wp:inline>
        </w:drawing>
      </w:r>
    </w:p>
    <w:p w:rsidR="007B08E6" w:rsidRDefault="007B08E6" w:rsidP="007B08E6">
      <w:pPr>
        <w:spacing w:line="240" w:lineRule="auto"/>
        <w:rPr>
          <w:szCs w:val="22"/>
        </w:rPr>
      </w:pPr>
    </w:p>
    <w:p w:rsidR="000E04D5" w:rsidRPr="003015D8" w:rsidRDefault="000E04D5" w:rsidP="007B08E6">
      <w:pPr>
        <w:spacing w:line="240" w:lineRule="auto"/>
        <w:rPr>
          <w:rFonts w:cs="Arial"/>
          <w:b/>
          <w:szCs w:val="22"/>
          <w:u w:val="single"/>
        </w:rPr>
      </w:pPr>
      <w:r w:rsidRPr="003015D8">
        <w:rPr>
          <w:rFonts w:cs="Arial"/>
          <w:b/>
          <w:szCs w:val="22"/>
          <w:u w:val="single"/>
        </w:rPr>
        <w:lastRenderedPageBreak/>
        <w:t>CONSULTEE RESPONSES/ REPRESENTATIONS MADE:</w:t>
      </w:r>
    </w:p>
    <w:p w:rsidR="000E04D5" w:rsidRPr="003015D8" w:rsidRDefault="000E04D5" w:rsidP="003015D8">
      <w:pPr>
        <w:spacing w:line="240" w:lineRule="auto"/>
        <w:rPr>
          <w:rFonts w:cs="Arial"/>
          <w:b/>
          <w:szCs w:val="22"/>
        </w:rPr>
      </w:pPr>
    </w:p>
    <w:p w:rsidR="003015D8" w:rsidRPr="003015D8" w:rsidRDefault="000E04D5" w:rsidP="00A926BA">
      <w:pPr>
        <w:spacing w:line="240" w:lineRule="auto"/>
        <w:rPr>
          <w:rFonts w:cs="Arial"/>
          <w:b/>
          <w:szCs w:val="22"/>
        </w:rPr>
      </w:pPr>
      <w:r w:rsidRPr="003015D8">
        <w:rPr>
          <w:rFonts w:cs="Arial"/>
          <w:b/>
          <w:szCs w:val="22"/>
        </w:rPr>
        <w:t>PARISH COUNCIL:</w:t>
      </w:r>
    </w:p>
    <w:p w:rsidR="003015D8" w:rsidRPr="003015D8" w:rsidRDefault="003015D8" w:rsidP="00A926BA">
      <w:pPr>
        <w:spacing w:line="240" w:lineRule="auto"/>
        <w:rPr>
          <w:rFonts w:cs="Arial"/>
          <w:color w:val="000000"/>
          <w:szCs w:val="22"/>
        </w:rPr>
      </w:pPr>
    </w:p>
    <w:p w:rsidR="007B08E6" w:rsidRPr="007B08E6" w:rsidRDefault="007B08E6" w:rsidP="007B08E6">
      <w:pPr>
        <w:spacing w:line="240" w:lineRule="auto"/>
        <w:rPr>
          <w:rFonts w:cs="Arial"/>
          <w:color w:val="000000"/>
          <w:szCs w:val="22"/>
        </w:rPr>
      </w:pPr>
      <w:r w:rsidRPr="007B08E6">
        <w:rPr>
          <w:rFonts w:cs="Arial"/>
          <w:color w:val="000000"/>
          <w:szCs w:val="22"/>
        </w:rPr>
        <w:t xml:space="preserve">Grindleton Parish Council strongly objects to the above planning application on several grounds as detailed below. </w:t>
      </w:r>
    </w:p>
    <w:p w:rsidR="007B08E6" w:rsidRPr="007B08E6" w:rsidRDefault="007B08E6" w:rsidP="007B08E6">
      <w:pPr>
        <w:spacing w:line="240" w:lineRule="auto"/>
        <w:rPr>
          <w:rFonts w:cs="Arial"/>
          <w:color w:val="000000"/>
          <w:szCs w:val="22"/>
        </w:rPr>
      </w:pPr>
    </w:p>
    <w:p w:rsidR="007B08E6" w:rsidRPr="007607E1" w:rsidRDefault="007B08E6" w:rsidP="007B08E6">
      <w:pPr>
        <w:pStyle w:val="ListParagraph"/>
        <w:numPr>
          <w:ilvl w:val="0"/>
          <w:numId w:val="8"/>
        </w:numPr>
        <w:spacing w:line="240" w:lineRule="auto"/>
        <w:rPr>
          <w:sz w:val="22"/>
          <w:szCs w:val="22"/>
        </w:rPr>
      </w:pPr>
      <w:r w:rsidRPr="008A777E">
        <w:rPr>
          <w:sz w:val="22"/>
          <w:szCs w:val="22"/>
        </w:rPr>
        <w:t xml:space="preserve">RVBC core strategy EC2 states: Proposals that have an adverse impact on existing community facilities would only be permitted as an exception where the proposed development would bring defined and demonstrable benefits (what benefit would the loss of a pub bring). </w:t>
      </w:r>
    </w:p>
    <w:p w:rsidR="007B08E6" w:rsidRPr="007607E1" w:rsidRDefault="007B08E6" w:rsidP="007B08E6">
      <w:pPr>
        <w:pStyle w:val="ListParagraph"/>
        <w:numPr>
          <w:ilvl w:val="0"/>
          <w:numId w:val="8"/>
        </w:numPr>
        <w:spacing w:line="240" w:lineRule="auto"/>
        <w:rPr>
          <w:sz w:val="22"/>
          <w:szCs w:val="22"/>
        </w:rPr>
      </w:pPr>
      <w:r w:rsidRPr="008A777E">
        <w:rPr>
          <w:sz w:val="22"/>
          <w:szCs w:val="22"/>
        </w:rPr>
        <w:t xml:space="preserve">National Planning Policy Framework – local planning policies and decisions in rural areas should enable the retention and development of community facilities such as pubs. </w:t>
      </w:r>
    </w:p>
    <w:p w:rsidR="007607E1" w:rsidRDefault="007B08E6" w:rsidP="008A777E">
      <w:pPr>
        <w:pStyle w:val="ListParagraph"/>
        <w:numPr>
          <w:ilvl w:val="0"/>
          <w:numId w:val="8"/>
        </w:numPr>
        <w:spacing w:line="240" w:lineRule="auto"/>
        <w:rPr>
          <w:sz w:val="22"/>
          <w:szCs w:val="22"/>
        </w:rPr>
      </w:pPr>
      <w:r w:rsidRPr="008A777E">
        <w:rPr>
          <w:sz w:val="22"/>
          <w:szCs w:val="22"/>
        </w:rPr>
        <w:t>The public house is a vital part of rural life</w:t>
      </w:r>
    </w:p>
    <w:p w:rsidR="007607E1" w:rsidRDefault="007607E1" w:rsidP="008A777E">
      <w:pPr>
        <w:pStyle w:val="ListParagraph"/>
        <w:numPr>
          <w:ilvl w:val="0"/>
          <w:numId w:val="8"/>
        </w:numPr>
        <w:spacing w:line="240" w:lineRule="auto"/>
        <w:rPr>
          <w:sz w:val="22"/>
          <w:szCs w:val="22"/>
        </w:rPr>
      </w:pPr>
      <w:r>
        <w:rPr>
          <w:sz w:val="22"/>
          <w:szCs w:val="22"/>
        </w:rPr>
        <w:t>W</w:t>
      </w:r>
      <w:r w:rsidR="007B08E6" w:rsidRPr="008A777E">
        <w:rPr>
          <w:sz w:val="22"/>
          <w:szCs w:val="22"/>
        </w:rPr>
        <w:t xml:space="preserve">hen facilities like this disappear we then have more social problems in terms of loneliness and depression. </w:t>
      </w:r>
    </w:p>
    <w:p w:rsidR="007B08E6" w:rsidRPr="007607E1" w:rsidRDefault="007607E1" w:rsidP="007B08E6">
      <w:pPr>
        <w:pStyle w:val="ListParagraph"/>
        <w:numPr>
          <w:ilvl w:val="0"/>
          <w:numId w:val="8"/>
        </w:numPr>
        <w:spacing w:line="240" w:lineRule="auto"/>
        <w:rPr>
          <w:sz w:val="22"/>
          <w:szCs w:val="22"/>
        </w:rPr>
      </w:pPr>
      <w:r>
        <w:rPr>
          <w:sz w:val="22"/>
          <w:szCs w:val="22"/>
        </w:rPr>
        <w:t>A</w:t>
      </w:r>
      <w:r w:rsidR="007B08E6" w:rsidRPr="008A777E">
        <w:rPr>
          <w:sz w:val="22"/>
          <w:szCs w:val="22"/>
        </w:rPr>
        <w:t xml:space="preserve"> public house is vital to keeping the village alive. </w:t>
      </w:r>
    </w:p>
    <w:p w:rsidR="007B08E6" w:rsidRPr="007607E1" w:rsidRDefault="007B08E6" w:rsidP="007B08E6">
      <w:pPr>
        <w:pStyle w:val="ListParagraph"/>
        <w:numPr>
          <w:ilvl w:val="0"/>
          <w:numId w:val="8"/>
        </w:numPr>
        <w:spacing w:line="240" w:lineRule="auto"/>
        <w:rPr>
          <w:sz w:val="22"/>
          <w:szCs w:val="22"/>
        </w:rPr>
      </w:pPr>
      <w:r w:rsidRPr="008A777E">
        <w:rPr>
          <w:sz w:val="22"/>
          <w:szCs w:val="22"/>
        </w:rPr>
        <w:t>The current owner has allowed the building to deteriorate since the building has been in his posses</w:t>
      </w:r>
      <w:r w:rsidR="007607E1">
        <w:rPr>
          <w:sz w:val="22"/>
          <w:szCs w:val="22"/>
        </w:rPr>
        <w:t>sion</w:t>
      </w:r>
    </w:p>
    <w:p w:rsidR="007B08E6" w:rsidRPr="007607E1" w:rsidRDefault="007B08E6" w:rsidP="007B08E6">
      <w:pPr>
        <w:pStyle w:val="ListParagraph"/>
        <w:numPr>
          <w:ilvl w:val="0"/>
          <w:numId w:val="8"/>
        </w:numPr>
        <w:spacing w:line="240" w:lineRule="auto"/>
        <w:rPr>
          <w:sz w:val="22"/>
          <w:szCs w:val="22"/>
        </w:rPr>
      </w:pPr>
      <w:r w:rsidRPr="008A777E">
        <w:rPr>
          <w:sz w:val="22"/>
          <w:szCs w:val="22"/>
        </w:rPr>
        <w:t xml:space="preserve">The Grindleton Community Pub Ltd. (GCPL) has funds available to repair the building and bring it back into beneficial use. </w:t>
      </w:r>
    </w:p>
    <w:p w:rsidR="007B08E6" w:rsidRPr="007607E1" w:rsidRDefault="007B08E6" w:rsidP="007B08E6">
      <w:pPr>
        <w:pStyle w:val="ListParagraph"/>
        <w:numPr>
          <w:ilvl w:val="0"/>
          <w:numId w:val="8"/>
        </w:numPr>
        <w:spacing w:line="240" w:lineRule="auto"/>
        <w:rPr>
          <w:sz w:val="22"/>
          <w:szCs w:val="22"/>
        </w:rPr>
      </w:pPr>
      <w:r w:rsidRPr="008A777E">
        <w:rPr>
          <w:sz w:val="22"/>
          <w:szCs w:val="22"/>
        </w:rPr>
        <w:t xml:space="preserve">EC1 states: </w:t>
      </w:r>
      <w:r w:rsidRPr="008A777E">
        <w:rPr>
          <w:i/>
          <w:sz w:val="22"/>
          <w:szCs w:val="22"/>
        </w:rPr>
        <w:t xml:space="preserve">‘Proposals that result in the loss of existing employment sites to other forms of development will need to demonstrate that there will be no adverse impact upon the local economy’. </w:t>
      </w:r>
      <w:r w:rsidRPr="008A777E">
        <w:rPr>
          <w:sz w:val="22"/>
          <w:szCs w:val="22"/>
        </w:rPr>
        <w:t xml:space="preserve">The pub used to employ numerous local people to run the pub </w:t>
      </w:r>
    </w:p>
    <w:p w:rsidR="007B08E6" w:rsidRPr="007607E1" w:rsidRDefault="007B08E6" w:rsidP="007B08E6">
      <w:pPr>
        <w:pStyle w:val="ListParagraph"/>
        <w:numPr>
          <w:ilvl w:val="0"/>
          <w:numId w:val="8"/>
        </w:numPr>
        <w:spacing w:line="240" w:lineRule="auto"/>
        <w:rPr>
          <w:sz w:val="22"/>
          <w:szCs w:val="22"/>
        </w:rPr>
      </w:pPr>
      <w:r w:rsidRPr="008A777E">
        <w:rPr>
          <w:sz w:val="22"/>
          <w:szCs w:val="22"/>
        </w:rPr>
        <w:t>EC2 states: ‘</w:t>
      </w:r>
      <w:r w:rsidRPr="008A777E">
        <w:rPr>
          <w:i/>
          <w:sz w:val="22"/>
          <w:szCs w:val="22"/>
        </w:rPr>
        <w:t>Proposals that have an adverse impact on existing community facilities would only be permitted as an exception where the proposed development would bring defined and demonstrable benefits.</w:t>
      </w:r>
      <w:r w:rsidRPr="008A777E">
        <w:rPr>
          <w:sz w:val="22"/>
          <w:szCs w:val="22"/>
        </w:rPr>
        <w:t xml:space="preserve">’ The pub is a place where people can meet, talk, interact socially in games i.e. darts, pool etc.; all essential activities in a small community. </w:t>
      </w:r>
    </w:p>
    <w:p w:rsidR="007B08E6" w:rsidRPr="007607E1" w:rsidRDefault="007B08E6" w:rsidP="007B08E6">
      <w:pPr>
        <w:pStyle w:val="ListParagraph"/>
        <w:numPr>
          <w:ilvl w:val="0"/>
          <w:numId w:val="8"/>
        </w:numPr>
        <w:spacing w:line="240" w:lineRule="auto"/>
        <w:rPr>
          <w:sz w:val="22"/>
          <w:szCs w:val="22"/>
        </w:rPr>
      </w:pPr>
      <w:r w:rsidRPr="008A777E">
        <w:rPr>
          <w:sz w:val="22"/>
          <w:szCs w:val="22"/>
        </w:rPr>
        <w:t xml:space="preserve">DMB1: 5. </w:t>
      </w:r>
      <w:r w:rsidRPr="008A777E">
        <w:rPr>
          <w:i/>
          <w:sz w:val="22"/>
          <w:szCs w:val="22"/>
        </w:rPr>
        <w:t xml:space="preserve">‘Any attempts that have been made to secure an alternative employment generating use for the site, must be supported by evidence such as property agents’ details, including periods of marketing and response that the Property/Business has been marketed for Business use for a minimum period of six months, or information that demonstrates to the Council’s satisfaction, that the current use is not viable for employment </w:t>
      </w:r>
      <w:proofErr w:type="gramStart"/>
      <w:r w:rsidRPr="008A777E">
        <w:rPr>
          <w:i/>
          <w:sz w:val="22"/>
          <w:szCs w:val="22"/>
        </w:rPr>
        <w:t>purposes’</w:t>
      </w:r>
      <w:proofErr w:type="gramEnd"/>
      <w:r w:rsidRPr="008A777E">
        <w:rPr>
          <w:i/>
          <w:sz w:val="22"/>
          <w:szCs w:val="22"/>
        </w:rPr>
        <w:t>.</w:t>
      </w:r>
      <w:r w:rsidRPr="008A777E">
        <w:rPr>
          <w:sz w:val="22"/>
          <w:szCs w:val="22"/>
        </w:rPr>
        <w:t xml:space="preserve"> GCPL has obtained a professional assessment that shows the building is a viable business as a pub. </w:t>
      </w:r>
    </w:p>
    <w:p w:rsidR="007607E1" w:rsidRDefault="007B08E6" w:rsidP="008A777E">
      <w:pPr>
        <w:pStyle w:val="ListParagraph"/>
        <w:numPr>
          <w:ilvl w:val="0"/>
          <w:numId w:val="8"/>
        </w:numPr>
        <w:spacing w:line="240" w:lineRule="auto"/>
        <w:rPr>
          <w:sz w:val="22"/>
          <w:szCs w:val="22"/>
        </w:rPr>
      </w:pPr>
      <w:r w:rsidRPr="008A777E">
        <w:rPr>
          <w:sz w:val="22"/>
          <w:szCs w:val="22"/>
        </w:rPr>
        <w:t>The loss of the Duke of York HAS been a considerable loss to the community and could become an even greater benefit than before by being allowed to be a Community Pub/Café/hub.</w:t>
      </w:r>
    </w:p>
    <w:p w:rsidR="007B08E6" w:rsidRPr="008A777E" w:rsidRDefault="007607E1" w:rsidP="008A777E">
      <w:pPr>
        <w:pStyle w:val="ListParagraph"/>
        <w:numPr>
          <w:ilvl w:val="0"/>
          <w:numId w:val="8"/>
        </w:numPr>
        <w:spacing w:line="240" w:lineRule="auto"/>
        <w:rPr>
          <w:sz w:val="22"/>
          <w:szCs w:val="22"/>
        </w:rPr>
      </w:pPr>
      <w:r>
        <w:rPr>
          <w:sz w:val="22"/>
          <w:szCs w:val="22"/>
        </w:rPr>
        <w:t>A</w:t>
      </w:r>
      <w:r w:rsidR="007B08E6" w:rsidRPr="008A777E">
        <w:rPr>
          <w:sz w:val="22"/>
          <w:szCs w:val="22"/>
        </w:rPr>
        <w:t xml:space="preserve">s the owner is NOT selling both pubs the Buck is irrelevant to the considerations. </w:t>
      </w:r>
    </w:p>
    <w:p w:rsidR="007B08E6" w:rsidRPr="007607E1" w:rsidRDefault="007607E1" w:rsidP="007B08E6">
      <w:pPr>
        <w:pStyle w:val="ListParagraph"/>
        <w:numPr>
          <w:ilvl w:val="0"/>
          <w:numId w:val="8"/>
        </w:numPr>
        <w:spacing w:line="240" w:lineRule="auto"/>
        <w:rPr>
          <w:sz w:val="22"/>
          <w:szCs w:val="22"/>
        </w:rPr>
      </w:pPr>
      <w:r>
        <w:rPr>
          <w:sz w:val="22"/>
          <w:szCs w:val="22"/>
        </w:rPr>
        <w:t xml:space="preserve">In </w:t>
      </w:r>
      <w:r w:rsidR="007B08E6" w:rsidRPr="008A777E">
        <w:rPr>
          <w:sz w:val="22"/>
          <w:szCs w:val="22"/>
        </w:rPr>
        <w:t xml:space="preserve">the past, both The Buck and Duke of York mutually benefited each other. </w:t>
      </w:r>
    </w:p>
    <w:p w:rsidR="007B08E6" w:rsidRPr="007607E1" w:rsidRDefault="007B08E6" w:rsidP="007B08E6">
      <w:pPr>
        <w:pStyle w:val="ListParagraph"/>
        <w:numPr>
          <w:ilvl w:val="0"/>
          <w:numId w:val="8"/>
        </w:numPr>
        <w:spacing w:line="240" w:lineRule="auto"/>
        <w:rPr>
          <w:sz w:val="22"/>
          <w:szCs w:val="22"/>
        </w:rPr>
      </w:pPr>
      <w:r w:rsidRPr="008A777E">
        <w:rPr>
          <w:sz w:val="22"/>
          <w:szCs w:val="22"/>
        </w:rPr>
        <w:t>Prospective buyers have not been put off by the Grade 2 listing</w:t>
      </w:r>
      <w:r w:rsidR="007607E1">
        <w:rPr>
          <w:sz w:val="22"/>
          <w:szCs w:val="22"/>
        </w:rPr>
        <w:t>. The</w:t>
      </w:r>
      <w:r w:rsidRPr="008A777E">
        <w:rPr>
          <w:sz w:val="22"/>
          <w:szCs w:val="22"/>
        </w:rPr>
        <w:t xml:space="preserve"> reasons buyers are put off because it is marketed at £325,000 but the owner is stating that he wants £400,000 minimum. </w:t>
      </w:r>
    </w:p>
    <w:p w:rsidR="007B08E6" w:rsidRPr="007607E1" w:rsidRDefault="007B08E6" w:rsidP="00842517">
      <w:pPr>
        <w:pStyle w:val="ListParagraph"/>
        <w:numPr>
          <w:ilvl w:val="0"/>
          <w:numId w:val="8"/>
        </w:numPr>
        <w:spacing w:line="240" w:lineRule="auto"/>
        <w:rPr>
          <w:szCs w:val="22"/>
        </w:rPr>
      </w:pPr>
      <w:r w:rsidRPr="007607E1">
        <w:rPr>
          <w:sz w:val="22"/>
          <w:szCs w:val="22"/>
        </w:rPr>
        <w:t xml:space="preserve">The question around these valuations is; was it valued as a pub or residential building? </w:t>
      </w:r>
    </w:p>
    <w:p w:rsidR="007B08E6" w:rsidRPr="007607E1" w:rsidRDefault="007B08E6" w:rsidP="007B08E6">
      <w:pPr>
        <w:pStyle w:val="ListParagraph"/>
        <w:numPr>
          <w:ilvl w:val="0"/>
          <w:numId w:val="8"/>
        </w:numPr>
        <w:spacing w:line="240" w:lineRule="auto"/>
        <w:rPr>
          <w:sz w:val="22"/>
          <w:szCs w:val="22"/>
        </w:rPr>
      </w:pPr>
      <w:r w:rsidRPr="008A777E">
        <w:rPr>
          <w:sz w:val="22"/>
          <w:szCs w:val="22"/>
        </w:rPr>
        <w:t xml:space="preserve">Grindleton Community Pub Ltd. has made an offer in excess of what the current owner paid. The owner claims that the building is deteriorating so why </w:t>
      </w:r>
      <w:r w:rsidR="007607E1" w:rsidRPr="008A777E">
        <w:rPr>
          <w:sz w:val="22"/>
          <w:szCs w:val="22"/>
        </w:rPr>
        <w:t>would</w:t>
      </w:r>
      <w:r w:rsidR="007607E1">
        <w:rPr>
          <w:sz w:val="22"/>
          <w:szCs w:val="22"/>
        </w:rPr>
        <w:t xml:space="preserve"> the value</w:t>
      </w:r>
      <w:r w:rsidRPr="008A777E">
        <w:rPr>
          <w:sz w:val="22"/>
          <w:szCs w:val="22"/>
        </w:rPr>
        <w:t xml:space="preserve"> be increasing? </w:t>
      </w:r>
    </w:p>
    <w:p w:rsidR="007B08E6" w:rsidRPr="007607E1" w:rsidRDefault="007B08E6" w:rsidP="007B08E6">
      <w:pPr>
        <w:pStyle w:val="ListParagraph"/>
        <w:numPr>
          <w:ilvl w:val="0"/>
          <w:numId w:val="8"/>
        </w:numPr>
        <w:spacing w:line="240" w:lineRule="auto"/>
        <w:rPr>
          <w:sz w:val="22"/>
          <w:szCs w:val="22"/>
        </w:rPr>
      </w:pPr>
      <w:r w:rsidRPr="008A777E">
        <w:rPr>
          <w:sz w:val="22"/>
          <w:szCs w:val="22"/>
        </w:rPr>
        <w:t xml:space="preserve">When the last planning approval was refused it was based on the fact the property had not been properly marketed. In this case the Parish Council feel nothing has </w:t>
      </w:r>
      <w:r w:rsidR="00576EFF" w:rsidRPr="008A777E">
        <w:rPr>
          <w:sz w:val="22"/>
          <w:szCs w:val="22"/>
        </w:rPr>
        <w:t>changed.</w:t>
      </w:r>
      <w:r w:rsidRPr="008A777E">
        <w:rPr>
          <w:sz w:val="22"/>
          <w:szCs w:val="22"/>
        </w:rPr>
        <w:t xml:space="preserve"> </w:t>
      </w:r>
    </w:p>
    <w:p w:rsidR="007B08E6" w:rsidRPr="007607E1" w:rsidRDefault="007607E1" w:rsidP="007B08E6">
      <w:pPr>
        <w:pStyle w:val="ListParagraph"/>
        <w:numPr>
          <w:ilvl w:val="0"/>
          <w:numId w:val="8"/>
        </w:numPr>
        <w:spacing w:line="240" w:lineRule="auto"/>
        <w:rPr>
          <w:sz w:val="22"/>
          <w:szCs w:val="22"/>
        </w:rPr>
      </w:pPr>
      <w:r>
        <w:rPr>
          <w:sz w:val="22"/>
          <w:szCs w:val="22"/>
        </w:rPr>
        <w:lastRenderedPageBreak/>
        <w:t>The</w:t>
      </w:r>
      <w:r w:rsidR="007B08E6" w:rsidRPr="008A777E">
        <w:rPr>
          <w:sz w:val="22"/>
          <w:szCs w:val="22"/>
        </w:rPr>
        <w:t xml:space="preserve"> owner did not make the contact with Grindleton Parish Council and has never contacted the Parish Council. </w:t>
      </w:r>
    </w:p>
    <w:p w:rsidR="007B08E6" w:rsidRPr="007607E1" w:rsidRDefault="007B08E6" w:rsidP="007B08E6">
      <w:pPr>
        <w:pStyle w:val="ListParagraph"/>
        <w:numPr>
          <w:ilvl w:val="0"/>
          <w:numId w:val="8"/>
        </w:numPr>
        <w:spacing w:line="240" w:lineRule="auto"/>
        <w:rPr>
          <w:sz w:val="22"/>
          <w:szCs w:val="22"/>
        </w:rPr>
      </w:pPr>
      <w:r w:rsidRPr="008A777E">
        <w:rPr>
          <w:sz w:val="22"/>
          <w:szCs w:val="22"/>
        </w:rPr>
        <w:t xml:space="preserve">The loss of The Duke of York HAS seriously harmed the social facilities of the village. </w:t>
      </w:r>
    </w:p>
    <w:p w:rsidR="007B08E6" w:rsidRPr="007607E1" w:rsidRDefault="007B08E6" w:rsidP="007B08E6">
      <w:pPr>
        <w:pStyle w:val="ListParagraph"/>
        <w:numPr>
          <w:ilvl w:val="0"/>
          <w:numId w:val="8"/>
        </w:numPr>
        <w:spacing w:line="240" w:lineRule="auto"/>
        <w:rPr>
          <w:sz w:val="22"/>
          <w:szCs w:val="22"/>
        </w:rPr>
      </w:pPr>
      <w:r w:rsidRPr="008A777E">
        <w:rPr>
          <w:sz w:val="22"/>
          <w:szCs w:val="22"/>
        </w:rPr>
        <w:t xml:space="preserve">It is clear in this application that the owner is suggesting that if others in the village i.e. the Buck Inn and the Pavilion alter the way they do things, this would make up for the loss of the Duke of York. This is very presumptive and highly speculative. </w:t>
      </w:r>
    </w:p>
    <w:p w:rsidR="007B08E6" w:rsidRPr="007607E1" w:rsidRDefault="007B08E6" w:rsidP="007B08E6">
      <w:pPr>
        <w:pStyle w:val="ListParagraph"/>
        <w:numPr>
          <w:ilvl w:val="0"/>
          <w:numId w:val="8"/>
        </w:numPr>
        <w:spacing w:line="240" w:lineRule="auto"/>
        <w:rPr>
          <w:sz w:val="22"/>
          <w:szCs w:val="22"/>
        </w:rPr>
      </w:pPr>
      <w:r w:rsidRPr="008A777E">
        <w:rPr>
          <w:sz w:val="22"/>
          <w:szCs w:val="22"/>
        </w:rPr>
        <w:t>The Pavilion did NOT inevitably take some focus of village l</w:t>
      </w:r>
      <w:r w:rsidR="007607E1">
        <w:rPr>
          <w:sz w:val="22"/>
          <w:szCs w:val="22"/>
        </w:rPr>
        <w:t xml:space="preserve">ife away from the village pubs. </w:t>
      </w:r>
      <w:r w:rsidRPr="008A777E">
        <w:rPr>
          <w:sz w:val="22"/>
          <w:szCs w:val="22"/>
        </w:rPr>
        <w:t>The Pavilion has a very limited kitchen facility and is a function hall run by volunteers. It still has a policy not to compete with any village pub.</w:t>
      </w:r>
    </w:p>
    <w:p w:rsidR="008A777E" w:rsidRPr="007607E1" w:rsidRDefault="007B08E6" w:rsidP="007B08E6">
      <w:pPr>
        <w:pStyle w:val="ListParagraph"/>
        <w:numPr>
          <w:ilvl w:val="0"/>
          <w:numId w:val="8"/>
        </w:numPr>
        <w:spacing w:line="240" w:lineRule="auto"/>
        <w:rPr>
          <w:sz w:val="22"/>
          <w:szCs w:val="22"/>
        </w:rPr>
      </w:pPr>
      <w:r w:rsidRPr="008A777E">
        <w:rPr>
          <w:sz w:val="22"/>
          <w:szCs w:val="22"/>
        </w:rPr>
        <w:t xml:space="preserve">The </w:t>
      </w:r>
      <w:r w:rsidR="008A777E" w:rsidRPr="008A777E">
        <w:rPr>
          <w:sz w:val="22"/>
          <w:szCs w:val="22"/>
        </w:rPr>
        <w:t>C</w:t>
      </w:r>
      <w:r w:rsidRPr="008A777E">
        <w:rPr>
          <w:sz w:val="22"/>
          <w:szCs w:val="22"/>
        </w:rPr>
        <w:t xml:space="preserve">ouncil needs to consider the long-term plans for the site as the original plans for the site were resoundingly rejected in 2019. </w:t>
      </w:r>
    </w:p>
    <w:p w:rsidR="007B08E6" w:rsidRPr="007607E1" w:rsidRDefault="007B08E6" w:rsidP="007B08E6">
      <w:pPr>
        <w:pStyle w:val="ListParagraph"/>
        <w:numPr>
          <w:ilvl w:val="0"/>
          <w:numId w:val="8"/>
        </w:numPr>
        <w:spacing w:line="240" w:lineRule="auto"/>
        <w:rPr>
          <w:sz w:val="22"/>
          <w:szCs w:val="22"/>
        </w:rPr>
      </w:pPr>
      <w:r w:rsidRPr="008A777E">
        <w:rPr>
          <w:sz w:val="22"/>
          <w:szCs w:val="22"/>
        </w:rPr>
        <w:t xml:space="preserve">Public benefits could be achieved by </w:t>
      </w:r>
      <w:proofErr w:type="spellStart"/>
      <w:r w:rsidRPr="008A777E">
        <w:rPr>
          <w:sz w:val="22"/>
          <w:szCs w:val="22"/>
        </w:rPr>
        <w:t>it</w:t>
      </w:r>
      <w:proofErr w:type="spellEnd"/>
      <w:r w:rsidRPr="008A777E">
        <w:rPr>
          <w:sz w:val="22"/>
          <w:szCs w:val="22"/>
        </w:rPr>
        <w:t xml:space="preserve"> remaining as a pub. A domestic dwelling would not be a way of securing its optimal viable use.</w:t>
      </w:r>
    </w:p>
    <w:p w:rsidR="007B08E6" w:rsidRPr="007607E1" w:rsidRDefault="007B08E6" w:rsidP="007B08E6">
      <w:pPr>
        <w:pStyle w:val="ListParagraph"/>
        <w:numPr>
          <w:ilvl w:val="0"/>
          <w:numId w:val="8"/>
        </w:numPr>
        <w:spacing w:line="240" w:lineRule="auto"/>
        <w:rPr>
          <w:sz w:val="22"/>
          <w:szCs w:val="22"/>
        </w:rPr>
      </w:pPr>
      <w:r w:rsidRPr="008A777E">
        <w:rPr>
          <w:sz w:val="22"/>
          <w:szCs w:val="22"/>
        </w:rPr>
        <w:t xml:space="preserve">Grindleton (population 723 - census 2001) is not unique in being a small village able to support a pub. Pendleton (nr Clitheroe) has a population of 203 (2001 </w:t>
      </w:r>
      <w:r w:rsidR="008A777E" w:rsidRPr="008A777E">
        <w:rPr>
          <w:sz w:val="22"/>
          <w:szCs w:val="22"/>
        </w:rPr>
        <w:t>C</w:t>
      </w:r>
      <w:r w:rsidRPr="008A777E">
        <w:rPr>
          <w:sz w:val="22"/>
          <w:szCs w:val="22"/>
        </w:rPr>
        <w:t>ensus)</w:t>
      </w:r>
      <w:r w:rsidR="008A777E" w:rsidRPr="008A777E">
        <w:rPr>
          <w:sz w:val="22"/>
          <w:szCs w:val="22"/>
        </w:rPr>
        <w:t xml:space="preserve">, </w:t>
      </w:r>
      <w:r w:rsidRPr="008A777E">
        <w:rPr>
          <w:sz w:val="22"/>
          <w:szCs w:val="22"/>
        </w:rPr>
        <w:t xml:space="preserve">Bolton by Bowland (population 499 - </w:t>
      </w:r>
      <w:r w:rsidR="008A777E" w:rsidRPr="008A777E">
        <w:rPr>
          <w:sz w:val="22"/>
          <w:szCs w:val="22"/>
        </w:rPr>
        <w:t>C</w:t>
      </w:r>
      <w:r w:rsidRPr="008A777E">
        <w:rPr>
          <w:sz w:val="22"/>
          <w:szCs w:val="22"/>
        </w:rPr>
        <w:t>ensus 2001)</w:t>
      </w:r>
      <w:r w:rsidR="008A777E" w:rsidRPr="008A777E">
        <w:rPr>
          <w:sz w:val="22"/>
          <w:szCs w:val="22"/>
        </w:rPr>
        <w:t xml:space="preserve"> and</w:t>
      </w:r>
      <w:r w:rsidRPr="008A777E">
        <w:rPr>
          <w:sz w:val="22"/>
          <w:szCs w:val="22"/>
        </w:rPr>
        <w:t xml:space="preserve"> Slaidburn (population 351 - census 2001) all support a thriving pub. </w:t>
      </w:r>
    </w:p>
    <w:p w:rsidR="003015D8" w:rsidRPr="008A777E" w:rsidRDefault="007B08E6" w:rsidP="008A777E">
      <w:pPr>
        <w:pStyle w:val="ListParagraph"/>
        <w:numPr>
          <w:ilvl w:val="0"/>
          <w:numId w:val="8"/>
        </w:numPr>
        <w:spacing w:line="240" w:lineRule="auto"/>
        <w:rPr>
          <w:sz w:val="22"/>
          <w:szCs w:val="22"/>
        </w:rPr>
      </w:pPr>
      <w:r w:rsidRPr="008A777E">
        <w:rPr>
          <w:sz w:val="22"/>
          <w:szCs w:val="22"/>
        </w:rPr>
        <w:t xml:space="preserve">The Heritage statement assumes, incorrectly, that the proposal is favourable as the listed building is no longer viable as a public house. </w:t>
      </w:r>
    </w:p>
    <w:p w:rsidR="003015D8" w:rsidRPr="003015D8" w:rsidRDefault="003015D8" w:rsidP="003015D8">
      <w:pPr>
        <w:spacing w:line="240" w:lineRule="auto"/>
        <w:jc w:val="left"/>
        <w:rPr>
          <w:rFonts w:cs="Arial"/>
          <w:b/>
          <w:szCs w:val="22"/>
        </w:rPr>
      </w:pPr>
    </w:p>
    <w:p w:rsidR="000E04D5" w:rsidRPr="003015D8" w:rsidRDefault="00D879F8" w:rsidP="003015D8">
      <w:pPr>
        <w:spacing w:line="240" w:lineRule="auto"/>
        <w:jc w:val="left"/>
        <w:rPr>
          <w:rFonts w:cs="Arial"/>
          <w:b/>
          <w:szCs w:val="22"/>
        </w:rPr>
      </w:pPr>
      <w:r>
        <w:rPr>
          <w:rFonts w:cs="Arial"/>
          <w:b/>
          <w:szCs w:val="22"/>
        </w:rPr>
        <w:t>LCC ARCHAEOLOGY:</w:t>
      </w:r>
    </w:p>
    <w:p w:rsidR="00D879F8" w:rsidRPr="00D879F8" w:rsidRDefault="00D879F8" w:rsidP="00D879F8">
      <w:pPr>
        <w:spacing w:line="240" w:lineRule="auto"/>
        <w:rPr>
          <w:rFonts w:eastAsiaTheme="minorHAnsi" w:cs="Arial"/>
          <w:color w:val="000000"/>
          <w:szCs w:val="22"/>
        </w:rPr>
      </w:pPr>
    </w:p>
    <w:p w:rsidR="00D07BB9" w:rsidRPr="00D07BB9" w:rsidRDefault="00D879F8" w:rsidP="00D07BB9">
      <w:pPr>
        <w:pStyle w:val="ListParagraph"/>
        <w:numPr>
          <w:ilvl w:val="0"/>
          <w:numId w:val="8"/>
        </w:numPr>
        <w:spacing w:line="240" w:lineRule="auto"/>
        <w:rPr>
          <w:sz w:val="22"/>
          <w:szCs w:val="22"/>
        </w:rPr>
      </w:pPr>
      <w:r w:rsidRPr="00D07BB9">
        <w:rPr>
          <w:sz w:val="22"/>
          <w:szCs w:val="22"/>
        </w:rPr>
        <w:t xml:space="preserve">The lack of proposed changes to the building, both internally and externally, would appear to avoid any impact on the importance of the standing building itself. </w:t>
      </w:r>
    </w:p>
    <w:p w:rsidR="00D07BB9" w:rsidRPr="00D07BB9" w:rsidRDefault="00D879F8" w:rsidP="00D07BB9">
      <w:pPr>
        <w:pStyle w:val="ListParagraph"/>
        <w:numPr>
          <w:ilvl w:val="0"/>
          <w:numId w:val="8"/>
        </w:numPr>
        <w:spacing w:line="240" w:lineRule="auto"/>
        <w:rPr>
          <w:sz w:val="22"/>
          <w:szCs w:val="22"/>
        </w:rPr>
      </w:pPr>
      <w:r w:rsidRPr="00D07BB9">
        <w:rPr>
          <w:sz w:val="22"/>
          <w:szCs w:val="22"/>
        </w:rPr>
        <w:t xml:space="preserve">It would also appear to avoid impacts on its setting or its visual contribution to the village. </w:t>
      </w:r>
    </w:p>
    <w:p w:rsidR="00D07BB9" w:rsidRPr="00D07BB9" w:rsidRDefault="00D879F8" w:rsidP="00D07BB9">
      <w:pPr>
        <w:pStyle w:val="ListParagraph"/>
        <w:numPr>
          <w:ilvl w:val="0"/>
          <w:numId w:val="8"/>
        </w:numPr>
        <w:spacing w:line="240" w:lineRule="auto"/>
        <w:rPr>
          <w:sz w:val="22"/>
          <w:szCs w:val="22"/>
        </w:rPr>
      </w:pPr>
      <w:r w:rsidRPr="00D07BB9">
        <w:rPr>
          <w:sz w:val="22"/>
          <w:szCs w:val="22"/>
        </w:rPr>
        <w:t xml:space="preserve">The absence of any new building works as part of the present proposals would also avoid any potential impacts on buried archaeological remains. </w:t>
      </w:r>
    </w:p>
    <w:p w:rsidR="003015D8" w:rsidRPr="00D07BB9" w:rsidRDefault="00D879F8" w:rsidP="00D07BB9">
      <w:pPr>
        <w:pStyle w:val="ListParagraph"/>
        <w:numPr>
          <w:ilvl w:val="0"/>
          <w:numId w:val="8"/>
        </w:numPr>
        <w:spacing w:line="240" w:lineRule="auto"/>
        <w:rPr>
          <w:sz w:val="22"/>
          <w:szCs w:val="22"/>
        </w:rPr>
      </w:pPr>
      <w:r w:rsidRPr="00D07BB9">
        <w:rPr>
          <w:sz w:val="22"/>
          <w:szCs w:val="22"/>
        </w:rPr>
        <w:t xml:space="preserve">Despite the lack of physical impacts we would suggest that, if the Council do consider granting consent to the application, that they also consider requiring a Historic Building Record to be created for the building. </w:t>
      </w:r>
    </w:p>
    <w:p w:rsidR="00D879F8" w:rsidRDefault="00D879F8" w:rsidP="00D879F8">
      <w:pPr>
        <w:spacing w:line="240" w:lineRule="auto"/>
        <w:rPr>
          <w:rFonts w:eastAsiaTheme="minorHAnsi" w:cs="Arial"/>
          <w:szCs w:val="22"/>
        </w:rPr>
      </w:pPr>
    </w:p>
    <w:p w:rsidR="00D879F8" w:rsidRDefault="00D879F8" w:rsidP="00D879F8">
      <w:pPr>
        <w:spacing w:line="240" w:lineRule="auto"/>
        <w:rPr>
          <w:rFonts w:eastAsiaTheme="minorHAnsi" w:cs="Arial"/>
          <w:b/>
          <w:szCs w:val="22"/>
        </w:rPr>
      </w:pPr>
      <w:r w:rsidRPr="00D879F8">
        <w:rPr>
          <w:rFonts w:eastAsiaTheme="minorHAnsi" w:cs="Arial"/>
          <w:b/>
          <w:szCs w:val="22"/>
        </w:rPr>
        <w:t>CLITHEROE CIVIC SOCIETY:</w:t>
      </w:r>
    </w:p>
    <w:p w:rsidR="00D879F8" w:rsidRDefault="00D879F8" w:rsidP="00D879F8">
      <w:pPr>
        <w:spacing w:line="240" w:lineRule="auto"/>
        <w:rPr>
          <w:rFonts w:eastAsiaTheme="minorHAnsi" w:cs="Arial"/>
          <w:b/>
          <w:szCs w:val="22"/>
        </w:rPr>
      </w:pPr>
    </w:p>
    <w:p w:rsidR="00D07BB9" w:rsidRDefault="00D879F8" w:rsidP="00D07BB9">
      <w:pPr>
        <w:pStyle w:val="ListParagraph"/>
        <w:numPr>
          <w:ilvl w:val="0"/>
          <w:numId w:val="8"/>
        </w:numPr>
        <w:spacing w:line="240" w:lineRule="auto"/>
        <w:rPr>
          <w:sz w:val="22"/>
          <w:szCs w:val="22"/>
        </w:rPr>
      </w:pPr>
      <w:r w:rsidRPr="00D07BB9">
        <w:rPr>
          <w:sz w:val="22"/>
          <w:szCs w:val="22"/>
        </w:rPr>
        <w:t xml:space="preserve">The significant difference with this application is the omission of all previous development proposals other than the change of use from Public House with living accommodation to solely </w:t>
      </w:r>
      <w:r w:rsidR="00D07BB9" w:rsidRPr="00D07BB9">
        <w:rPr>
          <w:sz w:val="22"/>
          <w:szCs w:val="22"/>
        </w:rPr>
        <w:t>residential</w:t>
      </w:r>
      <w:r w:rsidRPr="00D07BB9">
        <w:rPr>
          <w:sz w:val="22"/>
          <w:szCs w:val="22"/>
        </w:rPr>
        <w:t xml:space="preserve"> use. </w:t>
      </w:r>
    </w:p>
    <w:p w:rsidR="00D07BB9" w:rsidRDefault="00D879F8" w:rsidP="00D879F8">
      <w:pPr>
        <w:pStyle w:val="ListParagraph"/>
        <w:numPr>
          <w:ilvl w:val="0"/>
          <w:numId w:val="8"/>
        </w:numPr>
        <w:spacing w:line="240" w:lineRule="auto"/>
        <w:rPr>
          <w:sz w:val="22"/>
          <w:szCs w:val="22"/>
        </w:rPr>
      </w:pPr>
      <w:r w:rsidRPr="00D07BB9">
        <w:rPr>
          <w:sz w:val="22"/>
          <w:szCs w:val="22"/>
        </w:rPr>
        <w:t>Having reviewed this revised application, it is considered that all of the reasons for the 2019 Refusal of Planning Permission, in relation to the Local Heritage Asset and Grade II Listed ‘</w:t>
      </w:r>
      <w:proofErr w:type="spellStart"/>
      <w:r w:rsidRPr="00D07BB9">
        <w:rPr>
          <w:sz w:val="22"/>
          <w:szCs w:val="22"/>
        </w:rPr>
        <w:t>DoY</w:t>
      </w:r>
      <w:proofErr w:type="spellEnd"/>
      <w:r w:rsidRPr="00D07BB9">
        <w:rPr>
          <w:sz w:val="22"/>
          <w:szCs w:val="22"/>
        </w:rPr>
        <w:t xml:space="preserve">’ Public House, remain unchanged in the present application. </w:t>
      </w:r>
    </w:p>
    <w:p w:rsidR="00D07BB9" w:rsidRDefault="00D879F8" w:rsidP="00D879F8">
      <w:pPr>
        <w:pStyle w:val="ListParagraph"/>
        <w:numPr>
          <w:ilvl w:val="0"/>
          <w:numId w:val="8"/>
        </w:numPr>
        <w:spacing w:line="240" w:lineRule="auto"/>
        <w:rPr>
          <w:sz w:val="22"/>
          <w:szCs w:val="22"/>
        </w:rPr>
      </w:pPr>
      <w:r w:rsidRPr="00D07BB9">
        <w:rPr>
          <w:sz w:val="22"/>
          <w:szCs w:val="22"/>
        </w:rPr>
        <w:t>None of the concerns set out in great detail by the Planning Officer in relation to the Grade II Listed building appear to have been addressed</w:t>
      </w:r>
    </w:p>
    <w:p w:rsidR="00D879F8" w:rsidRPr="00D07BB9" w:rsidRDefault="00D879F8" w:rsidP="00D879F8">
      <w:pPr>
        <w:pStyle w:val="ListParagraph"/>
        <w:numPr>
          <w:ilvl w:val="0"/>
          <w:numId w:val="8"/>
        </w:numPr>
        <w:spacing w:line="240" w:lineRule="auto"/>
        <w:rPr>
          <w:sz w:val="22"/>
          <w:szCs w:val="22"/>
        </w:rPr>
      </w:pPr>
      <w:r w:rsidRPr="00D07BB9">
        <w:rPr>
          <w:sz w:val="22"/>
          <w:szCs w:val="22"/>
        </w:rPr>
        <w:t xml:space="preserve">The Local Planning Authority (LPA) must now consider something akin to one or other of the following recommendation to the Planning Committee: </w:t>
      </w:r>
    </w:p>
    <w:p w:rsidR="00D879F8" w:rsidRPr="00D879F8" w:rsidRDefault="00D879F8" w:rsidP="00D879F8">
      <w:pPr>
        <w:spacing w:line="240" w:lineRule="auto"/>
        <w:rPr>
          <w:rFonts w:eastAsiaTheme="minorHAnsi" w:cs="Arial"/>
          <w:szCs w:val="22"/>
        </w:rPr>
      </w:pPr>
    </w:p>
    <w:p w:rsidR="00D879F8" w:rsidRPr="00D07BB9" w:rsidRDefault="00D879F8" w:rsidP="00D07BB9">
      <w:pPr>
        <w:spacing w:line="240" w:lineRule="auto"/>
        <w:ind w:left="1440" w:hanging="720"/>
        <w:rPr>
          <w:rFonts w:cs="Arial"/>
          <w:color w:val="000000"/>
          <w:kern w:val="1"/>
          <w:szCs w:val="22"/>
          <w:lang w:eastAsia="ar-SA"/>
        </w:rPr>
      </w:pPr>
      <w:r w:rsidRPr="00D879F8">
        <w:rPr>
          <w:rFonts w:eastAsiaTheme="minorHAnsi" w:cs="Arial"/>
          <w:szCs w:val="22"/>
        </w:rPr>
        <w:t>a.</w:t>
      </w:r>
      <w:r w:rsidRPr="00D879F8">
        <w:rPr>
          <w:rFonts w:eastAsiaTheme="minorHAnsi" w:cs="Arial"/>
          <w:szCs w:val="22"/>
        </w:rPr>
        <w:tab/>
      </w:r>
      <w:r w:rsidRPr="00D07BB9">
        <w:rPr>
          <w:rFonts w:cs="Arial"/>
          <w:color w:val="000000"/>
          <w:kern w:val="1"/>
          <w:szCs w:val="22"/>
          <w:lang w:eastAsia="ar-SA"/>
        </w:rPr>
        <w:t>to support and encourage the maintenance of the existing historic use of the site and Listed Building by refusal of this latest application and in accordance with the LPA’s established Core Strategy Policies and those of the National Planning Policy Framework, as set out in the relevant sections of the previous Refusal of Planning Permission or;</w:t>
      </w:r>
    </w:p>
    <w:p w:rsidR="00D879F8" w:rsidRPr="00D07BB9" w:rsidRDefault="00D879F8" w:rsidP="00D07BB9">
      <w:pPr>
        <w:spacing w:line="240" w:lineRule="auto"/>
        <w:ind w:left="1440" w:hanging="720"/>
        <w:rPr>
          <w:rFonts w:cs="Arial"/>
          <w:color w:val="000000"/>
          <w:kern w:val="1"/>
          <w:szCs w:val="22"/>
          <w:lang w:eastAsia="ar-SA"/>
        </w:rPr>
      </w:pPr>
      <w:r w:rsidRPr="00D07BB9">
        <w:rPr>
          <w:rFonts w:cs="Arial"/>
          <w:color w:val="000000"/>
          <w:kern w:val="1"/>
          <w:szCs w:val="22"/>
          <w:lang w:eastAsia="ar-SA"/>
        </w:rPr>
        <w:lastRenderedPageBreak/>
        <w:t>b.</w:t>
      </w:r>
      <w:r w:rsidRPr="00D07BB9">
        <w:rPr>
          <w:rFonts w:cs="Arial"/>
          <w:color w:val="000000"/>
          <w:kern w:val="1"/>
          <w:szCs w:val="22"/>
          <w:lang w:eastAsia="ar-SA"/>
        </w:rPr>
        <w:tab/>
        <w:t xml:space="preserve">to recommending approval of the application and, in doing so, confine the Duke of York’s history to the written word, the archaeologist’s photos and local anecdote. </w:t>
      </w:r>
    </w:p>
    <w:p w:rsidR="00D879F8" w:rsidRPr="00D879F8" w:rsidRDefault="00D879F8" w:rsidP="00D879F8">
      <w:pPr>
        <w:spacing w:line="240" w:lineRule="auto"/>
        <w:rPr>
          <w:rFonts w:eastAsiaTheme="minorHAnsi" w:cs="Arial"/>
          <w:szCs w:val="22"/>
        </w:rPr>
      </w:pPr>
    </w:p>
    <w:p w:rsidR="00D07BB9" w:rsidRDefault="00D07BB9" w:rsidP="00D07BB9">
      <w:pPr>
        <w:pStyle w:val="ListParagraph"/>
        <w:numPr>
          <w:ilvl w:val="0"/>
          <w:numId w:val="8"/>
        </w:numPr>
        <w:spacing w:line="240" w:lineRule="auto"/>
        <w:rPr>
          <w:sz w:val="22"/>
          <w:szCs w:val="22"/>
        </w:rPr>
      </w:pPr>
      <w:r w:rsidRPr="00D07BB9">
        <w:rPr>
          <w:sz w:val="22"/>
          <w:szCs w:val="22"/>
        </w:rPr>
        <w:t>On</w:t>
      </w:r>
      <w:r w:rsidR="00D879F8" w:rsidRPr="00D07BB9">
        <w:rPr>
          <w:sz w:val="22"/>
          <w:szCs w:val="22"/>
        </w:rPr>
        <w:t xml:space="preserve"> the one hand, the present owners seeking approval for a dramatic change of use to realise a profit on their investment and, on the other, the community’s desire to retain a significant community asset. As this is one which has been at the heart of the village for almost 170 years, these different perspectives will not be easily resolved.</w:t>
      </w:r>
    </w:p>
    <w:p w:rsidR="00D07BB9" w:rsidRDefault="00D879F8" w:rsidP="00D879F8">
      <w:pPr>
        <w:pStyle w:val="ListParagraph"/>
        <w:numPr>
          <w:ilvl w:val="0"/>
          <w:numId w:val="8"/>
        </w:numPr>
        <w:spacing w:line="240" w:lineRule="auto"/>
        <w:rPr>
          <w:sz w:val="22"/>
          <w:szCs w:val="22"/>
        </w:rPr>
      </w:pPr>
      <w:r w:rsidRPr="00D07BB9">
        <w:rPr>
          <w:sz w:val="22"/>
          <w:szCs w:val="22"/>
        </w:rPr>
        <w:t xml:space="preserve">However, that a single Public House could be viable post CV-19, based on the increasing development of ‘community spirit’ and the need for economic and employment regeneration in this rural area should equally not be discounted. </w:t>
      </w:r>
    </w:p>
    <w:p w:rsidR="00D07BB9" w:rsidRDefault="00D879F8" w:rsidP="00D879F8">
      <w:pPr>
        <w:pStyle w:val="ListParagraph"/>
        <w:numPr>
          <w:ilvl w:val="0"/>
          <w:numId w:val="8"/>
        </w:numPr>
        <w:spacing w:line="240" w:lineRule="auto"/>
        <w:rPr>
          <w:sz w:val="22"/>
          <w:szCs w:val="22"/>
        </w:rPr>
      </w:pPr>
      <w:r w:rsidRPr="00D07BB9">
        <w:rPr>
          <w:sz w:val="22"/>
          <w:szCs w:val="22"/>
        </w:rPr>
        <w:t xml:space="preserve">Of the two pubs, the </w:t>
      </w:r>
      <w:proofErr w:type="spellStart"/>
      <w:r w:rsidRPr="00D07BB9">
        <w:rPr>
          <w:sz w:val="22"/>
          <w:szCs w:val="22"/>
        </w:rPr>
        <w:t>DoY</w:t>
      </w:r>
      <w:proofErr w:type="spellEnd"/>
      <w:r w:rsidRPr="00D07BB9">
        <w:rPr>
          <w:sz w:val="22"/>
          <w:szCs w:val="22"/>
        </w:rPr>
        <w:t xml:space="preserve"> is Listed Grade II and thus ‘a building of special national historic and/or architectural interest, warranting every effort to preserve it’. It was also designated as an ‘Asset of Community Value’ on September 3rd 2019, along with the BI.</w:t>
      </w:r>
    </w:p>
    <w:p w:rsidR="00D879F8" w:rsidRPr="00D07BB9" w:rsidRDefault="00D879F8" w:rsidP="00D879F8">
      <w:pPr>
        <w:pStyle w:val="ListParagraph"/>
        <w:numPr>
          <w:ilvl w:val="0"/>
          <w:numId w:val="8"/>
        </w:numPr>
        <w:spacing w:line="240" w:lineRule="auto"/>
        <w:rPr>
          <w:sz w:val="22"/>
          <w:szCs w:val="22"/>
        </w:rPr>
      </w:pPr>
      <w:r w:rsidRPr="00D07BB9">
        <w:rPr>
          <w:sz w:val="22"/>
          <w:szCs w:val="22"/>
        </w:rPr>
        <w:t xml:space="preserve">From the personal view of someone ‘looking in from the outside’ one approach to resolve the present dilemma would be as follows: </w:t>
      </w:r>
    </w:p>
    <w:p w:rsidR="00D879F8" w:rsidRPr="00D879F8" w:rsidRDefault="00D879F8" w:rsidP="00D879F8">
      <w:pPr>
        <w:spacing w:line="240" w:lineRule="auto"/>
        <w:rPr>
          <w:rFonts w:eastAsiaTheme="minorHAnsi" w:cs="Arial"/>
          <w:szCs w:val="22"/>
        </w:rPr>
      </w:pPr>
    </w:p>
    <w:p w:rsidR="00D879F8" w:rsidRPr="00D07BB9" w:rsidRDefault="00D879F8" w:rsidP="00D07BB9">
      <w:pPr>
        <w:spacing w:line="240" w:lineRule="auto"/>
        <w:ind w:left="1440" w:hanging="720"/>
        <w:rPr>
          <w:rFonts w:cs="Arial"/>
          <w:color w:val="000000"/>
          <w:kern w:val="1"/>
          <w:szCs w:val="22"/>
          <w:lang w:eastAsia="ar-SA"/>
        </w:rPr>
      </w:pPr>
      <w:r w:rsidRPr="00D07BB9">
        <w:rPr>
          <w:rFonts w:cs="Arial"/>
          <w:color w:val="000000"/>
          <w:kern w:val="1"/>
          <w:szCs w:val="22"/>
          <w:lang w:eastAsia="ar-SA"/>
        </w:rPr>
        <w:t>1.</w:t>
      </w:r>
      <w:r w:rsidRPr="00D07BB9">
        <w:rPr>
          <w:rFonts w:cs="Arial"/>
          <w:color w:val="000000"/>
          <w:kern w:val="1"/>
          <w:szCs w:val="22"/>
          <w:lang w:eastAsia="ar-SA"/>
        </w:rPr>
        <w:tab/>
        <w:t xml:space="preserve">The BI - in comparison with the </w:t>
      </w:r>
      <w:proofErr w:type="spellStart"/>
      <w:r w:rsidRPr="00D07BB9">
        <w:rPr>
          <w:rFonts w:cs="Arial"/>
          <w:color w:val="000000"/>
          <w:kern w:val="1"/>
          <w:szCs w:val="22"/>
          <w:lang w:eastAsia="ar-SA"/>
        </w:rPr>
        <w:t>DoY</w:t>
      </w:r>
      <w:proofErr w:type="spellEnd"/>
      <w:r w:rsidRPr="00D07BB9">
        <w:rPr>
          <w:rFonts w:cs="Arial"/>
          <w:color w:val="000000"/>
          <w:kern w:val="1"/>
          <w:szCs w:val="22"/>
          <w:lang w:eastAsia="ar-SA"/>
        </w:rPr>
        <w:t xml:space="preserve"> being less historically, architecturally, and visually significant than the </w:t>
      </w:r>
      <w:proofErr w:type="spellStart"/>
      <w:r w:rsidRPr="00D07BB9">
        <w:rPr>
          <w:rFonts w:cs="Arial"/>
          <w:color w:val="000000"/>
          <w:kern w:val="1"/>
          <w:szCs w:val="22"/>
          <w:lang w:eastAsia="ar-SA"/>
        </w:rPr>
        <w:t>DoY</w:t>
      </w:r>
      <w:proofErr w:type="spellEnd"/>
      <w:r w:rsidRPr="00D07BB9">
        <w:rPr>
          <w:rFonts w:cs="Arial"/>
          <w:color w:val="000000"/>
          <w:kern w:val="1"/>
          <w:szCs w:val="22"/>
          <w:lang w:eastAsia="ar-SA"/>
        </w:rPr>
        <w:t xml:space="preserve"> - to be granted Planning Permission for conversion to residential use. </w:t>
      </w:r>
    </w:p>
    <w:p w:rsidR="00D879F8" w:rsidRPr="00D07BB9" w:rsidRDefault="00D879F8" w:rsidP="00D07BB9">
      <w:pPr>
        <w:spacing w:line="240" w:lineRule="auto"/>
        <w:ind w:left="720"/>
        <w:rPr>
          <w:rFonts w:cs="Arial"/>
          <w:color w:val="000000"/>
          <w:kern w:val="1"/>
          <w:szCs w:val="22"/>
          <w:lang w:eastAsia="ar-SA"/>
        </w:rPr>
      </w:pPr>
      <w:r w:rsidRPr="00D07BB9">
        <w:rPr>
          <w:rFonts w:cs="Arial"/>
          <w:color w:val="000000"/>
          <w:kern w:val="1"/>
          <w:szCs w:val="22"/>
          <w:lang w:eastAsia="ar-SA"/>
        </w:rPr>
        <w:t>2.</w:t>
      </w:r>
      <w:r w:rsidRPr="00D07BB9">
        <w:rPr>
          <w:rFonts w:cs="Arial"/>
          <w:color w:val="000000"/>
          <w:kern w:val="1"/>
          <w:szCs w:val="22"/>
          <w:lang w:eastAsia="ar-SA"/>
        </w:rPr>
        <w:tab/>
        <w:t xml:space="preserve">The </w:t>
      </w:r>
      <w:proofErr w:type="spellStart"/>
      <w:r w:rsidRPr="00D07BB9">
        <w:rPr>
          <w:rFonts w:cs="Arial"/>
          <w:color w:val="000000"/>
          <w:kern w:val="1"/>
          <w:szCs w:val="22"/>
          <w:lang w:eastAsia="ar-SA"/>
        </w:rPr>
        <w:t>DoY</w:t>
      </w:r>
      <w:proofErr w:type="spellEnd"/>
      <w:r w:rsidRPr="00D07BB9">
        <w:rPr>
          <w:rFonts w:cs="Arial"/>
          <w:color w:val="000000"/>
          <w:kern w:val="1"/>
          <w:szCs w:val="22"/>
          <w:lang w:eastAsia="ar-SA"/>
        </w:rPr>
        <w:t xml:space="preserve"> retained as a Public House. </w:t>
      </w:r>
    </w:p>
    <w:p w:rsidR="00D879F8" w:rsidRPr="00D07BB9" w:rsidRDefault="00D879F8" w:rsidP="00D07BB9">
      <w:pPr>
        <w:spacing w:line="240" w:lineRule="auto"/>
        <w:ind w:left="1440" w:hanging="720"/>
        <w:rPr>
          <w:rFonts w:cs="Arial"/>
          <w:color w:val="000000"/>
          <w:kern w:val="1"/>
          <w:szCs w:val="22"/>
          <w:lang w:eastAsia="ar-SA"/>
        </w:rPr>
      </w:pPr>
      <w:r w:rsidRPr="00D07BB9">
        <w:rPr>
          <w:rFonts w:cs="Arial"/>
          <w:color w:val="000000"/>
          <w:kern w:val="1"/>
          <w:szCs w:val="22"/>
          <w:lang w:eastAsia="ar-SA"/>
        </w:rPr>
        <w:t>3.</w:t>
      </w:r>
      <w:r w:rsidRPr="00D07BB9">
        <w:rPr>
          <w:rFonts w:cs="Arial"/>
          <w:color w:val="000000"/>
          <w:kern w:val="1"/>
          <w:szCs w:val="22"/>
          <w:lang w:eastAsia="ar-SA"/>
        </w:rPr>
        <w:tab/>
        <w:t xml:space="preserve">The </w:t>
      </w:r>
      <w:proofErr w:type="spellStart"/>
      <w:r w:rsidRPr="00D07BB9">
        <w:rPr>
          <w:rFonts w:cs="Arial"/>
          <w:color w:val="000000"/>
          <w:kern w:val="1"/>
          <w:szCs w:val="22"/>
          <w:lang w:eastAsia="ar-SA"/>
        </w:rPr>
        <w:t>DoY</w:t>
      </w:r>
      <w:proofErr w:type="spellEnd"/>
      <w:r w:rsidRPr="00D07BB9">
        <w:rPr>
          <w:rFonts w:cs="Arial"/>
          <w:color w:val="000000"/>
          <w:kern w:val="1"/>
          <w:szCs w:val="22"/>
          <w:lang w:eastAsia="ar-SA"/>
        </w:rPr>
        <w:t xml:space="preserve"> to be purchased from the present owners by the GPC. and run as a Public House, augmented by whatever appropriate alterations and additional uses, be approved and developed within the curtilage of the site and its listed building. </w:t>
      </w:r>
    </w:p>
    <w:p w:rsidR="00D879F8" w:rsidRPr="00D07BB9" w:rsidRDefault="00D879F8" w:rsidP="00D07BB9">
      <w:pPr>
        <w:spacing w:line="240" w:lineRule="auto"/>
        <w:ind w:left="1440" w:hanging="720"/>
        <w:rPr>
          <w:rFonts w:cs="Arial"/>
          <w:color w:val="000000"/>
          <w:kern w:val="1"/>
          <w:szCs w:val="22"/>
          <w:lang w:eastAsia="ar-SA"/>
        </w:rPr>
      </w:pPr>
      <w:r w:rsidRPr="00D07BB9">
        <w:rPr>
          <w:rFonts w:cs="Arial"/>
          <w:color w:val="000000"/>
          <w:kern w:val="1"/>
          <w:szCs w:val="22"/>
          <w:lang w:eastAsia="ar-SA"/>
        </w:rPr>
        <w:t>4.</w:t>
      </w:r>
      <w:r w:rsidRPr="00D07BB9">
        <w:rPr>
          <w:rFonts w:cs="Arial"/>
          <w:color w:val="000000"/>
          <w:kern w:val="1"/>
          <w:szCs w:val="22"/>
          <w:lang w:eastAsia="ar-SA"/>
        </w:rPr>
        <w:tab/>
        <w:t xml:space="preserve">The BI, with the benefit of Private Residential Use, be purchased by the present owners of the Duke of York at the same/similar time as the sale of the </w:t>
      </w:r>
      <w:proofErr w:type="spellStart"/>
      <w:r w:rsidRPr="00D07BB9">
        <w:rPr>
          <w:rFonts w:cs="Arial"/>
          <w:color w:val="000000"/>
          <w:kern w:val="1"/>
          <w:szCs w:val="22"/>
          <w:lang w:eastAsia="ar-SA"/>
        </w:rPr>
        <w:t>DoY</w:t>
      </w:r>
      <w:proofErr w:type="spellEnd"/>
      <w:r w:rsidRPr="00D07BB9">
        <w:rPr>
          <w:rFonts w:cs="Arial"/>
          <w:color w:val="000000"/>
          <w:kern w:val="1"/>
          <w:szCs w:val="22"/>
          <w:lang w:eastAsia="ar-SA"/>
        </w:rPr>
        <w:t xml:space="preserve"> to the GPC If the relevant parties could consider and implement such an approach, or similar, benefits for all concerned could ensue. </w:t>
      </w:r>
    </w:p>
    <w:p w:rsidR="00D879F8" w:rsidRPr="00D879F8" w:rsidRDefault="00D879F8" w:rsidP="00D879F8">
      <w:pPr>
        <w:spacing w:line="240" w:lineRule="auto"/>
        <w:rPr>
          <w:rFonts w:eastAsiaTheme="minorHAnsi" w:cs="Arial"/>
          <w:szCs w:val="22"/>
        </w:rPr>
      </w:pPr>
    </w:p>
    <w:p w:rsidR="00D879F8" w:rsidRPr="003015D8" w:rsidRDefault="00D879F8" w:rsidP="00D879F8">
      <w:pPr>
        <w:spacing w:line="240" w:lineRule="auto"/>
        <w:rPr>
          <w:rFonts w:eastAsiaTheme="minorHAnsi" w:cs="Arial"/>
          <w:szCs w:val="22"/>
        </w:rPr>
      </w:pPr>
    </w:p>
    <w:p w:rsidR="000E04D5" w:rsidRPr="003015D8" w:rsidRDefault="000E04D5" w:rsidP="003015D8">
      <w:pPr>
        <w:spacing w:line="240" w:lineRule="auto"/>
        <w:jc w:val="left"/>
        <w:rPr>
          <w:rFonts w:cs="Arial"/>
          <w:b/>
          <w:szCs w:val="22"/>
        </w:rPr>
      </w:pPr>
      <w:r w:rsidRPr="003015D8">
        <w:rPr>
          <w:rFonts w:cs="Arial"/>
          <w:b/>
          <w:szCs w:val="22"/>
        </w:rPr>
        <w:t>ADDITIONAL REPRESENTATIONS:</w:t>
      </w:r>
    </w:p>
    <w:p w:rsidR="004F0C06" w:rsidRPr="003015D8" w:rsidRDefault="004F0C06" w:rsidP="003015D8">
      <w:pPr>
        <w:spacing w:line="240" w:lineRule="auto"/>
        <w:jc w:val="left"/>
        <w:rPr>
          <w:rFonts w:cs="Arial"/>
          <w:b/>
          <w:szCs w:val="22"/>
        </w:rPr>
      </w:pPr>
    </w:p>
    <w:p w:rsidR="00D879F8" w:rsidRPr="00D879F8" w:rsidRDefault="00D879F8" w:rsidP="00D879F8">
      <w:pPr>
        <w:pStyle w:val="PLANNING"/>
        <w:ind w:left="0" w:firstLine="0"/>
        <w:rPr>
          <w:rFonts w:cs="Arial"/>
          <w:szCs w:val="22"/>
        </w:rPr>
      </w:pPr>
      <w:r w:rsidRPr="00D879F8">
        <w:rPr>
          <w:rFonts w:cs="Arial"/>
          <w:szCs w:val="22"/>
        </w:rPr>
        <w:t xml:space="preserve">Objections have been received from </w:t>
      </w:r>
      <w:r w:rsidR="0063489A">
        <w:rPr>
          <w:rFonts w:cs="Arial"/>
          <w:szCs w:val="22"/>
        </w:rPr>
        <w:t>68</w:t>
      </w:r>
      <w:r w:rsidRPr="00D879F8">
        <w:rPr>
          <w:rFonts w:cs="Arial"/>
          <w:szCs w:val="22"/>
        </w:rPr>
        <w:t xml:space="preserve"> residential properties and raise the following concerns:</w:t>
      </w:r>
    </w:p>
    <w:p w:rsidR="00D879F8" w:rsidRPr="00D879F8" w:rsidRDefault="00D879F8" w:rsidP="00D879F8">
      <w:pPr>
        <w:pStyle w:val="PLANNING"/>
        <w:ind w:left="0" w:firstLine="0"/>
        <w:rPr>
          <w:rFonts w:cs="Arial"/>
          <w:szCs w:val="22"/>
        </w:rPr>
      </w:pPr>
    </w:p>
    <w:p w:rsidR="00D879F8" w:rsidRPr="00D879F8" w:rsidRDefault="00D879F8" w:rsidP="00D879F8">
      <w:pPr>
        <w:pStyle w:val="PLANNING"/>
        <w:numPr>
          <w:ilvl w:val="0"/>
          <w:numId w:val="9"/>
        </w:numPr>
        <w:rPr>
          <w:rFonts w:cs="Arial"/>
          <w:szCs w:val="22"/>
        </w:rPr>
      </w:pPr>
      <w:r w:rsidRPr="00D879F8">
        <w:rPr>
          <w:rFonts w:cs="Arial"/>
          <w:szCs w:val="22"/>
        </w:rPr>
        <w:t xml:space="preserve">Wording of the </w:t>
      </w:r>
      <w:proofErr w:type="spellStart"/>
      <w:r w:rsidRPr="00D879F8">
        <w:rPr>
          <w:rFonts w:cs="Arial"/>
          <w:szCs w:val="22"/>
        </w:rPr>
        <w:t>Whiteacre’s</w:t>
      </w:r>
      <w:proofErr w:type="spellEnd"/>
      <w:r w:rsidRPr="00D879F8">
        <w:rPr>
          <w:rFonts w:cs="Arial"/>
          <w:szCs w:val="22"/>
        </w:rPr>
        <w:t xml:space="preserve"> sales brochure misleading – implies planning permission for</w:t>
      </w:r>
      <w:r>
        <w:rPr>
          <w:rFonts w:cs="Arial"/>
          <w:szCs w:val="22"/>
        </w:rPr>
        <w:t xml:space="preserve"> </w:t>
      </w:r>
      <w:r w:rsidRPr="00D879F8">
        <w:rPr>
          <w:rFonts w:cs="Arial"/>
          <w:szCs w:val="22"/>
        </w:rPr>
        <w:t>conversion to a dwelling only has already be refused.</w:t>
      </w:r>
    </w:p>
    <w:p w:rsidR="00D879F8" w:rsidRPr="00D879F8" w:rsidRDefault="00D879F8" w:rsidP="00D879F8">
      <w:pPr>
        <w:pStyle w:val="PLANNING"/>
        <w:numPr>
          <w:ilvl w:val="0"/>
          <w:numId w:val="9"/>
        </w:numPr>
        <w:rPr>
          <w:rFonts w:cs="Arial"/>
          <w:szCs w:val="22"/>
        </w:rPr>
      </w:pPr>
      <w:r w:rsidRPr="00D879F8">
        <w:rPr>
          <w:rFonts w:cs="Arial"/>
          <w:szCs w:val="22"/>
        </w:rPr>
        <w:t>Loss of the pub will cause irrevocable damage to the social fabric of the village.</w:t>
      </w:r>
    </w:p>
    <w:p w:rsidR="00D879F8" w:rsidRPr="00D879F8" w:rsidRDefault="00D879F8" w:rsidP="00D879F8">
      <w:pPr>
        <w:pStyle w:val="PLANNING"/>
        <w:numPr>
          <w:ilvl w:val="0"/>
          <w:numId w:val="9"/>
        </w:numPr>
        <w:rPr>
          <w:rFonts w:cs="Arial"/>
          <w:szCs w:val="22"/>
        </w:rPr>
      </w:pPr>
      <w:r w:rsidRPr="00D879F8">
        <w:rPr>
          <w:rFonts w:cs="Arial"/>
          <w:szCs w:val="22"/>
        </w:rPr>
        <w:t>Grindleton Community Pub Ltd (GCPL) have offered to buy the pub above the asking price to bring the building back into use. This offer was turned down and the building is being allowed to deteriorate.</w:t>
      </w:r>
    </w:p>
    <w:p w:rsidR="00D879F8" w:rsidRPr="00D879F8" w:rsidRDefault="00D879F8" w:rsidP="00D879F8">
      <w:pPr>
        <w:pStyle w:val="PLANNING"/>
        <w:numPr>
          <w:ilvl w:val="0"/>
          <w:numId w:val="9"/>
        </w:numPr>
        <w:rPr>
          <w:rFonts w:cs="Arial"/>
          <w:szCs w:val="22"/>
        </w:rPr>
      </w:pPr>
      <w:r w:rsidRPr="00D879F8">
        <w:rPr>
          <w:rFonts w:cs="Arial"/>
          <w:szCs w:val="22"/>
        </w:rPr>
        <w:t>Developer is unreasonably blocking a viable future and reinstatement of the pub.</w:t>
      </w:r>
    </w:p>
    <w:p w:rsidR="00D879F8" w:rsidRPr="00D879F8" w:rsidRDefault="00D879F8" w:rsidP="00D879F8">
      <w:pPr>
        <w:pStyle w:val="PLANNING"/>
        <w:numPr>
          <w:ilvl w:val="0"/>
          <w:numId w:val="9"/>
        </w:numPr>
        <w:rPr>
          <w:rFonts w:cs="Arial"/>
          <w:szCs w:val="22"/>
        </w:rPr>
      </w:pPr>
      <w:r w:rsidRPr="00D879F8">
        <w:rPr>
          <w:rFonts w:cs="Arial"/>
          <w:szCs w:val="22"/>
        </w:rPr>
        <w:t>There are at present no pubs in Grindleton.</w:t>
      </w:r>
    </w:p>
    <w:p w:rsidR="00D879F8" w:rsidRPr="00D879F8" w:rsidRDefault="00D879F8" w:rsidP="00D879F8">
      <w:pPr>
        <w:pStyle w:val="PLANNING"/>
        <w:numPr>
          <w:ilvl w:val="0"/>
          <w:numId w:val="9"/>
        </w:numPr>
        <w:rPr>
          <w:rFonts w:cs="Arial"/>
          <w:szCs w:val="22"/>
        </w:rPr>
      </w:pPr>
      <w:r w:rsidRPr="00D879F8">
        <w:rPr>
          <w:rFonts w:cs="Arial"/>
          <w:szCs w:val="22"/>
        </w:rPr>
        <w:t>The proposal to make no changes to the building is a plot for subsequent redevelopment.</w:t>
      </w:r>
    </w:p>
    <w:p w:rsidR="00D879F8" w:rsidRPr="00D879F8" w:rsidRDefault="00D879F8" w:rsidP="00D879F8">
      <w:pPr>
        <w:pStyle w:val="PLANNING"/>
        <w:numPr>
          <w:ilvl w:val="0"/>
          <w:numId w:val="9"/>
        </w:numPr>
        <w:rPr>
          <w:rFonts w:cs="Arial"/>
          <w:szCs w:val="22"/>
        </w:rPr>
      </w:pPr>
      <w:r w:rsidRPr="00D879F8">
        <w:rPr>
          <w:rFonts w:cs="Arial"/>
          <w:szCs w:val="22"/>
        </w:rPr>
        <w:t>Suggestion that Grindleton Pavilion is a suitable substitute is fantasy – there is no intention for it to become a bar. It is a village hall.</w:t>
      </w:r>
    </w:p>
    <w:p w:rsidR="00D879F8" w:rsidRPr="00D879F8" w:rsidRDefault="00D879F8" w:rsidP="00D879F8">
      <w:pPr>
        <w:pStyle w:val="PLANNING"/>
        <w:numPr>
          <w:ilvl w:val="0"/>
          <w:numId w:val="9"/>
        </w:numPr>
        <w:rPr>
          <w:rFonts w:cs="Arial"/>
          <w:szCs w:val="22"/>
        </w:rPr>
      </w:pPr>
      <w:r w:rsidRPr="00D879F8">
        <w:rPr>
          <w:rFonts w:cs="Arial"/>
          <w:szCs w:val="22"/>
        </w:rPr>
        <w:t>Inaccuracies in the Planning Statement.</w:t>
      </w:r>
    </w:p>
    <w:p w:rsidR="00D879F8" w:rsidRPr="00D879F8" w:rsidRDefault="00D879F8" w:rsidP="00D879F8">
      <w:pPr>
        <w:pStyle w:val="PLANNING"/>
        <w:numPr>
          <w:ilvl w:val="0"/>
          <w:numId w:val="9"/>
        </w:numPr>
        <w:rPr>
          <w:rFonts w:cs="Arial"/>
          <w:szCs w:val="22"/>
        </w:rPr>
      </w:pPr>
      <w:r w:rsidRPr="00D879F8">
        <w:rPr>
          <w:rFonts w:cs="Arial"/>
          <w:szCs w:val="22"/>
        </w:rPr>
        <w:t>If approved, it would made further re-development harder to resist.</w:t>
      </w:r>
    </w:p>
    <w:p w:rsidR="00D879F8" w:rsidRPr="00D879F8" w:rsidRDefault="00D879F8" w:rsidP="00D879F8">
      <w:pPr>
        <w:pStyle w:val="PLANNING"/>
        <w:numPr>
          <w:ilvl w:val="0"/>
          <w:numId w:val="9"/>
        </w:numPr>
        <w:rPr>
          <w:rFonts w:cs="Arial"/>
          <w:szCs w:val="22"/>
        </w:rPr>
      </w:pPr>
      <w:r w:rsidRPr="00D879F8">
        <w:rPr>
          <w:rFonts w:cs="Arial"/>
          <w:szCs w:val="22"/>
        </w:rPr>
        <w:t>The situation has not changed since the previous refusal.</w:t>
      </w:r>
    </w:p>
    <w:p w:rsidR="00D879F8" w:rsidRPr="00D879F8" w:rsidRDefault="00D879F8" w:rsidP="00D879F8">
      <w:pPr>
        <w:pStyle w:val="PLANNING"/>
        <w:numPr>
          <w:ilvl w:val="0"/>
          <w:numId w:val="9"/>
        </w:numPr>
        <w:rPr>
          <w:rFonts w:cs="Arial"/>
          <w:szCs w:val="22"/>
        </w:rPr>
      </w:pPr>
      <w:r w:rsidRPr="00D879F8">
        <w:rPr>
          <w:rFonts w:cs="Arial"/>
          <w:szCs w:val="22"/>
        </w:rPr>
        <w:t>The statement that no acceptable bid was received is incorrect given the community group made an offer higher that professional valuation and also the price the applicant originally paid for the building.</w:t>
      </w:r>
    </w:p>
    <w:p w:rsidR="00D879F8" w:rsidRPr="00D879F8" w:rsidRDefault="00D879F8" w:rsidP="00D879F8">
      <w:pPr>
        <w:pStyle w:val="PLANNING"/>
        <w:numPr>
          <w:ilvl w:val="0"/>
          <w:numId w:val="9"/>
        </w:numPr>
        <w:rPr>
          <w:rFonts w:cs="Arial"/>
          <w:szCs w:val="22"/>
        </w:rPr>
      </w:pPr>
      <w:r w:rsidRPr="00D879F8">
        <w:rPr>
          <w:rFonts w:cs="Arial"/>
          <w:szCs w:val="22"/>
        </w:rPr>
        <w:lastRenderedPageBreak/>
        <w:t>Statement that the pub/restaurant business has never been a long-term success is incorrect.</w:t>
      </w:r>
    </w:p>
    <w:p w:rsidR="00D879F8" w:rsidRPr="00D879F8" w:rsidRDefault="00D879F8" w:rsidP="00D879F8">
      <w:pPr>
        <w:pStyle w:val="PLANNING"/>
        <w:numPr>
          <w:ilvl w:val="0"/>
          <w:numId w:val="9"/>
        </w:numPr>
        <w:rPr>
          <w:rFonts w:cs="Arial"/>
          <w:szCs w:val="22"/>
        </w:rPr>
      </w:pPr>
      <w:r w:rsidRPr="00D879F8">
        <w:rPr>
          <w:rFonts w:cs="Arial"/>
          <w:szCs w:val="22"/>
        </w:rPr>
        <w:t>Community pub ventures have been extremely successful elsewhere.</w:t>
      </w:r>
    </w:p>
    <w:p w:rsidR="00D879F8" w:rsidRPr="00D879F8" w:rsidRDefault="00D879F8" w:rsidP="00D879F8">
      <w:pPr>
        <w:pStyle w:val="PLANNING"/>
        <w:numPr>
          <w:ilvl w:val="0"/>
          <w:numId w:val="9"/>
        </w:numPr>
        <w:rPr>
          <w:rFonts w:cs="Arial"/>
          <w:szCs w:val="22"/>
        </w:rPr>
      </w:pPr>
      <w:r w:rsidRPr="00D879F8">
        <w:rPr>
          <w:rFonts w:cs="Arial"/>
          <w:szCs w:val="22"/>
        </w:rPr>
        <w:t>The developer is only interested in profits and his own needs.</w:t>
      </w:r>
    </w:p>
    <w:p w:rsidR="00D879F8" w:rsidRPr="00D879F8" w:rsidRDefault="00D879F8" w:rsidP="00D879F8">
      <w:pPr>
        <w:pStyle w:val="PLANNING"/>
        <w:numPr>
          <w:ilvl w:val="0"/>
          <w:numId w:val="9"/>
        </w:numPr>
        <w:rPr>
          <w:rFonts w:cs="Arial"/>
          <w:szCs w:val="22"/>
        </w:rPr>
      </w:pPr>
      <w:r w:rsidRPr="00D879F8">
        <w:rPr>
          <w:rFonts w:cs="Arial"/>
          <w:szCs w:val="22"/>
        </w:rPr>
        <w:t>The conversion would harm the character of the village.</w:t>
      </w:r>
    </w:p>
    <w:p w:rsidR="00D879F8" w:rsidRPr="00D879F8" w:rsidRDefault="00D879F8" w:rsidP="00D879F8">
      <w:pPr>
        <w:pStyle w:val="PLANNING"/>
        <w:numPr>
          <w:ilvl w:val="0"/>
          <w:numId w:val="9"/>
        </w:numPr>
        <w:rPr>
          <w:rFonts w:cs="Arial"/>
          <w:szCs w:val="22"/>
        </w:rPr>
      </w:pPr>
      <w:r w:rsidRPr="00D879F8">
        <w:rPr>
          <w:rFonts w:cs="Arial"/>
          <w:szCs w:val="22"/>
        </w:rPr>
        <w:t>Building is only deteriorating as the owner is taking no steps to maintain it when he is clearly in a position to do so.</w:t>
      </w:r>
    </w:p>
    <w:p w:rsidR="00D879F8" w:rsidRPr="00D879F8" w:rsidRDefault="00D879F8" w:rsidP="00D879F8">
      <w:pPr>
        <w:pStyle w:val="PLANNING"/>
        <w:numPr>
          <w:ilvl w:val="0"/>
          <w:numId w:val="9"/>
        </w:numPr>
        <w:rPr>
          <w:rFonts w:cs="Arial"/>
          <w:szCs w:val="22"/>
        </w:rPr>
      </w:pPr>
      <w:r w:rsidRPr="00D879F8">
        <w:rPr>
          <w:rFonts w:cs="Arial"/>
          <w:szCs w:val="22"/>
        </w:rPr>
        <w:t>A pub is central to village life and heart of the village – its loss would contribute to social isolation, loneliness and loss of community spirit.</w:t>
      </w:r>
    </w:p>
    <w:p w:rsidR="00D879F8" w:rsidRPr="00D879F8" w:rsidRDefault="00D879F8" w:rsidP="00D879F8">
      <w:pPr>
        <w:pStyle w:val="PLANNING"/>
        <w:numPr>
          <w:ilvl w:val="0"/>
          <w:numId w:val="9"/>
        </w:numPr>
        <w:rPr>
          <w:rFonts w:cs="Arial"/>
          <w:szCs w:val="22"/>
        </w:rPr>
      </w:pPr>
      <w:r w:rsidRPr="00D879F8">
        <w:rPr>
          <w:rFonts w:cs="Arial"/>
          <w:szCs w:val="22"/>
        </w:rPr>
        <w:t>Conversion would eradicate the buildings historic significance causing substantial harm.</w:t>
      </w:r>
    </w:p>
    <w:p w:rsidR="00D879F8" w:rsidRPr="00D879F8" w:rsidRDefault="00D879F8" w:rsidP="00D879F8">
      <w:pPr>
        <w:pStyle w:val="PLANNING"/>
        <w:numPr>
          <w:ilvl w:val="0"/>
          <w:numId w:val="9"/>
        </w:numPr>
        <w:rPr>
          <w:rFonts w:cs="Arial"/>
          <w:szCs w:val="22"/>
        </w:rPr>
      </w:pPr>
      <w:r w:rsidRPr="00D879F8">
        <w:rPr>
          <w:rFonts w:cs="Arial"/>
          <w:szCs w:val="22"/>
        </w:rPr>
        <w:t>Loss to Grindleton Conservation Area.</w:t>
      </w:r>
    </w:p>
    <w:p w:rsidR="00D879F8" w:rsidRPr="00D879F8" w:rsidRDefault="00D879F8" w:rsidP="00D879F8">
      <w:pPr>
        <w:pStyle w:val="PLANNING"/>
        <w:numPr>
          <w:ilvl w:val="0"/>
          <w:numId w:val="9"/>
        </w:numPr>
        <w:rPr>
          <w:rFonts w:cs="Arial"/>
          <w:szCs w:val="22"/>
        </w:rPr>
      </w:pPr>
      <w:r w:rsidRPr="00D879F8">
        <w:rPr>
          <w:rFonts w:cs="Arial"/>
          <w:szCs w:val="22"/>
        </w:rPr>
        <w:t>GCPL are a funded, capable and ready purchaser.</w:t>
      </w:r>
    </w:p>
    <w:p w:rsidR="00D879F8" w:rsidRPr="00D879F8" w:rsidRDefault="00D879F8" w:rsidP="00D879F8">
      <w:pPr>
        <w:pStyle w:val="PLANNING"/>
        <w:numPr>
          <w:ilvl w:val="0"/>
          <w:numId w:val="9"/>
        </w:numPr>
        <w:rPr>
          <w:rFonts w:cs="Arial"/>
          <w:szCs w:val="22"/>
        </w:rPr>
      </w:pPr>
      <w:r w:rsidRPr="00D879F8">
        <w:rPr>
          <w:rFonts w:cs="Arial"/>
          <w:szCs w:val="22"/>
        </w:rPr>
        <w:t>Recent poor performance of the pub should not have significant bearing – if properly run it can be successful.</w:t>
      </w:r>
    </w:p>
    <w:p w:rsidR="00D879F8" w:rsidRPr="00D879F8" w:rsidRDefault="00D879F8" w:rsidP="00D879F8">
      <w:pPr>
        <w:pStyle w:val="PLANNING"/>
        <w:numPr>
          <w:ilvl w:val="0"/>
          <w:numId w:val="9"/>
        </w:numPr>
        <w:rPr>
          <w:rFonts w:cs="Arial"/>
          <w:szCs w:val="22"/>
        </w:rPr>
      </w:pPr>
      <w:r w:rsidRPr="00D879F8">
        <w:rPr>
          <w:rFonts w:cs="Arial"/>
          <w:szCs w:val="22"/>
        </w:rPr>
        <w:t>Offer was received by the Bowland Trust, a local charity, in July 2019 but refused.</w:t>
      </w:r>
    </w:p>
    <w:p w:rsidR="00D879F8" w:rsidRPr="00D879F8" w:rsidRDefault="00D879F8" w:rsidP="00D879F8">
      <w:pPr>
        <w:pStyle w:val="PLANNING"/>
        <w:numPr>
          <w:ilvl w:val="0"/>
          <w:numId w:val="9"/>
        </w:numPr>
        <w:rPr>
          <w:rFonts w:cs="Arial"/>
          <w:szCs w:val="22"/>
        </w:rPr>
      </w:pPr>
      <w:r w:rsidRPr="00D879F8">
        <w:rPr>
          <w:rFonts w:cs="Arial"/>
          <w:szCs w:val="22"/>
        </w:rPr>
        <w:t>A business plan has been prepared and tested by GCPL.</w:t>
      </w:r>
    </w:p>
    <w:p w:rsidR="00D879F8" w:rsidRPr="00D879F8" w:rsidRDefault="00D879F8" w:rsidP="00D879F8">
      <w:pPr>
        <w:pStyle w:val="PLANNING"/>
        <w:numPr>
          <w:ilvl w:val="0"/>
          <w:numId w:val="9"/>
        </w:numPr>
        <w:rPr>
          <w:rFonts w:cs="Arial"/>
          <w:szCs w:val="22"/>
        </w:rPr>
      </w:pPr>
      <w:r w:rsidRPr="00D879F8">
        <w:rPr>
          <w:rFonts w:cs="Arial"/>
          <w:szCs w:val="22"/>
        </w:rPr>
        <w:t>The submitted marketing report is meaningless.</w:t>
      </w:r>
    </w:p>
    <w:p w:rsidR="00D879F8" w:rsidRPr="00D879F8" w:rsidRDefault="00D879F8" w:rsidP="00D879F8">
      <w:pPr>
        <w:pStyle w:val="PLANNING"/>
        <w:numPr>
          <w:ilvl w:val="0"/>
          <w:numId w:val="9"/>
        </w:numPr>
        <w:rPr>
          <w:rFonts w:cs="Arial"/>
          <w:szCs w:val="22"/>
        </w:rPr>
      </w:pPr>
      <w:r w:rsidRPr="00D879F8">
        <w:rPr>
          <w:rFonts w:cs="Arial"/>
          <w:szCs w:val="22"/>
        </w:rPr>
        <w:t>The developer has a clear agenda.</w:t>
      </w:r>
    </w:p>
    <w:p w:rsidR="00D879F8" w:rsidRPr="00D879F8" w:rsidRDefault="00D879F8" w:rsidP="00D879F8">
      <w:pPr>
        <w:pStyle w:val="PLANNING"/>
        <w:numPr>
          <w:ilvl w:val="0"/>
          <w:numId w:val="9"/>
        </w:numPr>
        <w:rPr>
          <w:rFonts w:cs="Arial"/>
          <w:szCs w:val="22"/>
        </w:rPr>
      </w:pPr>
      <w:r w:rsidRPr="00D879F8">
        <w:rPr>
          <w:rFonts w:cs="Arial"/>
          <w:szCs w:val="22"/>
        </w:rPr>
        <w:t>Expecting a return of a least 30% in 2019/20 on the sale of a public house acquired in 2018 is fantasy.</w:t>
      </w:r>
    </w:p>
    <w:p w:rsidR="00D879F8" w:rsidRPr="00D879F8" w:rsidRDefault="00D879F8" w:rsidP="00D879F8">
      <w:pPr>
        <w:pStyle w:val="PLANNING"/>
        <w:numPr>
          <w:ilvl w:val="0"/>
          <w:numId w:val="9"/>
        </w:numPr>
        <w:rPr>
          <w:rFonts w:cs="Arial"/>
          <w:szCs w:val="22"/>
        </w:rPr>
      </w:pPr>
      <w:r w:rsidRPr="00D879F8">
        <w:rPr>
          <w:rFonts w:cs="Arial"/>
          <w:szCs w:val="22"/>
        </w:rPr>
        <w:t>Highway safety concerns.</w:t>
      </w:r>
    </w:p>
    <w:p w:rsidR="00D879F8" w:rsidRPr="00D879F8" w:rsidRDefault="00D879F8" w:rsidP="00D879F8">
      <w:pPr>
        <w:pStyle w:val="PLANNING"/>
        <w:numPr>
          <w:ilvl w:val="0"/>
          <w:numId w:val="9"/>
        </w:numPr>
        <w:rPr>
          <w:rFonts w:cs="Arial"/>
          <w:szCs w:val="22"/>
        </w:rPr>
      </w:pPr>
      <w:r w:rsidRPr="00D879F8">
        <w:rPr>
          <w:rFonts w:cs="Arial"/>
          <w:szCs w:val="22"/>
        </w:rPr>
        <w:t>The comparison to Eagle and Child is concerning as factors are quite different.</w:t>
      </w:r>
    </w:p>
    <w:p w:rsidR="00D879F8" w:rsidRPr="00D879F8" w:rsidRDefault="00D879F8" w:rsidP="00D879F8">
      <w:pPr>
        <w:pStyle w:val="PLANNING"/>
        <w:numPr>
          <w:ilvl w:val="0"/>
          <w:numId w:val="9"/>
        </w:numPr>
        <w:rPr>
          <w:rFonts w:cs="Arial"/>
          <w:szCs w:val="22"/>
        </w:rPr>
      </w:pPr>
      <w:r w:rsidRPr="00D879F8">
        <w:rPr>
          <w:rFonts w:cs="Arial"/>
          <w:szCs w:val="22"/>
        </w:rPr>
        <w:t>The property was marketed at ‘offers over £325,000 and then owner said he was looking for a minimum of £400,000.</w:t>
      </w:r>
    </w:p>
    <w:p w:rsidR="00D879F8" w:rsidRPr="00D879F8" w:rsidRDefault="00D879F8" w:rsidP="00D879F8">
      <w:pPr>
        <w:pStyle w:val="PLANNING"/>
        <w:numPr>
          <w:ilvl w:val="0"/>
          <w:numId w:val="9"/>
        </w:numPr>
        <w:rPr>
          <w:rFonts w:cs="Arial"/>
          <w:szCs w:val="22"/>
        </w:rPr>
      </w:pPr>
      <w:r w:rsidRPr="00D879F8">
        <w:rPr>
          <w:rFonts w:cs="Arial"/>
          <w:szCs w:val="22"/>
        </w:rPr>
        <w:t>No details of the works to convert the building have been provided – another application would have to be made.</w:t>
      </w:r>
    </w:p>
    <w:p w:rsidR="00D879F8" w:rsidRPr="00D879F8" w:rsidRDefault="00D879F8" w:rsidP="00D879F8">
      <w:pPr>
        <w:pStyle w:val="PLANNING"/>
        <w:numPr>
          <w:ilvl w:val="0"/>
          <w:numId w:val="9"/>
        </w:numPr>
        <w:rPr>
          <w:rFonts w:cs="Arial"/>
          <w:szCs w:val="22"/>
        </w:rPr>
      </w:pPr>
      <w:r w:rsidRPr="00D879F8">
        <w:rPr>
          <w:rFonts w:cs="Arial"/>
          <w:szCs w:val="22"/>
        </w:rPr>
        <w:t>Has the building been valued as a pub or private dwelling?</w:t>
      </w:r>
    </w:p>
    <w:p w:rsidR="00D879F8" w:rsidRPr="00D879F8" w:rsidRDefault="00D879F8" w:rsidP="00D879F8">
      <w:pPr>
        <w:pStyle w:val="PLANNING"/>
        <w:ind w:left="0" w:firstLine="0"/>
        <w:rPr>
          <w:rFonts w:cs="Arial"/>
          <w:szCs w:val="22"/>
        </w:rPr>
      </w:pPr>
    </w:p>
    <w:p w:rsidR="00D879F8" w:rsidRPr="00D879F8" w:rsidRDefault="00D879F8" w:rsidP="00D879F8">
      <w:pPr>
        <w:pStyle w:val="PLANNING"/>
        <w:ind w:left="0" w:firstLine="0"/>
        <w:rPr>
          <w:rFonts w:cs="Arial"/>
          <w:szCs w:val="22"/>
        </w:rPr>
      </w:pPr>
      <w:r w:rsidRPr="00D879F8">
        <w:rPr>
          <w:rFonts w:cs="Arial"/>
          <w:szCs w:val="22"/>
        </w:rPr>
        <w:t>One letter of support has been received. It notes that regeneration of the building would require significant investment and that sympathetic conversion would be preferable to continuing decay.</w:t>
      </w:r>
    </w:p>
    <w:p w:rsidR="00D879F8" w:rsidRPr="00D879F8" w:rsidRDefault="00D879F8" w:rsidP="00D879F8">
      <w:pPr>
        <w:pStyle w:val="PLANNING"/>
        <w:ind w:left="0" w:firstLine="0"/>
        <w:rPr>
          <w:rFonts w:cs="Arial"/>
          <w:szCs w:val="22"/>
        </w:rPr>
      </w:pPr>
    </w:p>
    <w:p w:rsidR="00D879F8" w:rsidRPr="00D879F8" w:rsidRDefault="00D879F8" w:rsidP="00D879F8">
      <w:pPr>
        <w:pStyle w:val="PLANNING"/>
        <w:ind w:left="0" w:firstLine="0"/>
        <w:rPr>
          <w:rFonts w:cs="Arial"/>
          <w:szCs w:val="22"/>
        </w:rPr>
      </w:pPr>
      <w:r w:rsidRPr="00D879F8">
        <w:rPr>
          <w:rFonts w:cs="Arial"/>
          <w:szCs w:val="22"/>
        </w:rPr>
        <w:t>An objection has also been received on behalf of Grindleton Community Pub Ltd, a Community Benefit Society established to raise funds necessary to purchase the Duke of York, undertake refurbishment work and appoint a tenant to run the business. Their representations include an independent valuation of the Duke of York and review of the case by an independent planning consultancy. Concerns raised in this submission shall be included within the body of the report below.</w:t>
      </w:r>
    </w:p>
    <w:p w:rsidR="003015D8" w:rsidRPr="003015D8" w:rsidRDefault="003015D8" w:rsidP="00D879F8">
      <w:pPr>
        <w:pStyle w:val="PLANNING"/>
        <w:ind w:left="0" w:firstLine="0"/>
        <w:rPr>
          <w:rFonts w:cs="Arial"/>
          <w:szCs w:val="22"/>
        </w:rPr>
      </w:pPr>
    </w:p>
    <w:p w:rsidR="004E3A50" w:rsidRPr="003015D8" w:rsidRDefault="00E4241A" w:rsidP="00D879F8">
      <w:pPr>
        <w:pStyle w:val="PLANNING"/>
        <w:ind w:left="0" w:firstLine="0"/>
        <w:rPr>
          <w:rFonts w:cs="Arial"/>
          <w:szCs w:val="22"/>
        </w:rPr>
      </w:pPr>
      <w:r w:rsidRPr="003015D8">
        <w:rPr>
          <w:rFonts w:cs="Arial"/>
          <w:szCs w:val="22"/>
        </w:rPr>
        <w:t>1.</w:t>
      </w:r>
      <w:r w:rsidRPr="003015D8">
        <w:rPr>
          <w:rFonts w:cs="Arial"/>
          <w:szCs w:val="22"/>
        </w:rPr>
        <w:tab/>
      </w:r>
      <w:r w:rsidR="004E3A50" w:rsidRPr="003015D8">
        <w:rPr>
          <w:rFonts w:cs="Arial"/>
          <w:b/>
          <w:szCs w:val="22"/>
          <w:u w:val="single"/>
        </w:rPr>
        <w:t>Site Description and Surrounding Area</w:t>
      </w:r>
    </w:p>
    <w:p w:rsidR="00E4241A" w:rsidRPr="003015D8" w:rsidRDefault="00E4241A" w:rsidP="00D879F8">
      <w:pPr>
        <w:pStyle w:val="PLANNING"/>
        <w:ind w:left="0"/>
        <w:rPr>
          <w:rFonts w:cs="Arial"/>
          <w:szCs w:val="22"/>
        </w:rPr>
      </w:pPr>
    </w:p>
    <w:p w:rsidR="00C80417" w:rsidRDefault="00C80417" w:rsidP="00C80417">
      <w:pPr>
        <w:pStyle w:val="Header"/>
        <w:numPr>
          <w:ilvl w:val="1"/>
          <w:numId w:val="14"/>
        </w:numPr>
        <w:jc w:val="both"/>
        <w:rPr>
          <w:rFonts w:cs="Arial"/>
          <w:szCs w:val="22"/>
        </w:rPr>
      </w:pPr>
      <w:r>
        <w:rPr>
          <w:rFonts w:cs="Arial"/>
          <w:szCs w:val="22"/>
        </w:rPr>
        <w:t>The Duke of York is a Grade II Listed building. The building was listed in 1984 and has the following listing description:</w:t>
      </w:r>
    </w:p>
    <w:p w:rsidR="00C80417" w:rsidRDefault="00C80417" w:rsidP="00C80417">
      <w:pPr>
        <w:pStyle w:val="Header"/>
        <w:ind w:left="720"/>
        <w:jc w:val="both"/>
        <w:rPr>
          <w:rFonts w:cs="Arial"/>
          <w:szCs w:val="22"/>
        </w:rPr>
      </w:pPr>
    </w:p>
    <w:p w:rsidR="00C80417" w:rsidRPr="00C80417" w:rsidRDefault="00C80417" w:rsidP="00C80417">
      <w:pPr>
        <w:pStyle w:val="Header"/>
        <w:tabs>
          <w:tab w:val="clear" w:pos="4153"/>
          <w:tab w:val="clear" w:pos="8306"/>
        </w:tabs>
        <w:ind w:left="1440"/>
        <w:jc w:val="both"/>
        <w:rPr>
          <w:rFonts w:cs="Arial"/>
          <w:i/>
          <w:szCs w:val="22"/>
        </w:rPr>
      </w:pPr>
      <w:r w:rsidRPr="00C80417">
        <w:rPr>
          <w:rFonts w:cs="Arial"/>
          <w:i/>
          <w:color w:val="000000"/>
          <w:szCs w:val="22"/>
          <w:shd w:val="clear" w:color="auto" w:fill="FFFFFF"/>
        </w:rPr>
        <w:t xml:space="preserve">Public house, early C19th. Squared sandstone with diagonal tooling. Stone slate roof. Double-pile plan with end stacks and chamfered quoins. 2 storeys with attic, 2 bays. Windows sashed with no glazing bars and with plain stone surrounds. To the left of the door is a double window with central square mullion. The door, between the bays, has a plain stone surround and moulded open pediment on console brackets. The gables have copings and footstones. To the left is a further bay having a double window on the ground floor and a single window above, and </w:t>
      </w:r>
      <w:r w:rsidRPr="00C80417">
        <w:rPr>
          <w:rFonts w:cs="Arial"/>
          <w:i/>
          <w:color w:val="000000"/>
          <w:szCs w:val="22"/>
          <w:shd w:val="clear" w:color="auto" w:fill="FFFFFF"/>
        </w:rPr>
        <w:lastRenderedPageBreak/>
        <w:t>with quoins having diagonal tooling. The right-hand return wall (facing east) has 3 windows on the ground floor and 4 on the 1st floor, similar to those of the main facade. Above is an attic window with plain stone surround and semi-circular head.</w:t>
      </w:r>
    </w:p>
    <w:p w:rsidR="00C80417" w:rsidRDefault="00C80417" w:rsidP="00C80417">
      <w:pPr>
        <w:pStyle w:val="Header"/>
        <w:ind w:left="720"/>
        <w:jc w:val="both"/>
        <w:rPr>
          <w:rFonts w:cs="Arial"/>
          <w:szCs w:val="22"/>
        </w:rPr>
      </w:pPr>
    </w:p>
    <w:p w:rsidR="00D879F8" w:rsidRPr="00D879F8" w:rsidRDefault="00D879F8" w:rsidP="00C80417">
      <w:pPr>
        <w:pStyle w:val="Header"/>
        <w:numPr>
          <w:ilvl w:val="1"/>
          <w:numId w:val="14"/>
        </w:numPr>
        <w:jc w:val="both"/>
        <w:rPr>
          <w:rFonts w:cs="Arial"/>
          <w:szCs w:val="22"/>
        </w:rPr>
      </w:pPr>
      <w:r w:rsidRPr="00D879F8">
        <w:rPr>
          <w:rFonts w:cs="Arial"/>
          <w:szCs w:val="22"/>
        </w:rPr>
        <w:t xml:space="preserve">The application site is located within the village boundary of Grindleton, identified as a tier 2 settlement in the adopted Core Strategy, and within Grindleton Conservation Area and the AONB. On entrance to the village from Grindleton Brow, the Duke of York is a prominent building, located on the corner of Grindleton Brow and Main Street at the brow of the hill. To the north, the building adjoins 1-4 Kayley Terrace and the site bounds the garden area of Townley House, a </w:t>
      </w:r>
      <w:r w:rsidR="00C80417">
        <w:rPr>
          <w:rFonts w:cs="Arial"/>
          <w:szCs w:val="22"/>
        </w:rPr>
        <w:t>G</w:t>
      </w:r>
      <w:r w:rsidRPr="00D879F8">
        <w:rPr>
          <w:rFonts w:cs="Arial"/>
          <w:szCs w:val="22"/>
        </w:rPr>
        <w:t xml:space="preserve">rade II </w:t>
      </w:r>
      <w:r w:rsidR="00C80417">
        <w:rPr>
          <w:rFonts w:cs="Arial"/>
          <w:szCs w:val="22"/>
        </w:rPr>
        <w:t>L</w:t>
      </w:r>
      <w:r w:rsidRPr="00D879F8">
        <w:rPr>
          <w:rFonts w:cs="Arial"/>
          <w:szCs w:val="22"/>
        </w:rPr>
        <w:t>isted building. To the west of the public house is the associated car park and beyond that is Greendale Woods. Townley House and Cromwell Cottage, both farmhouses, are listed buildings within vicinity of the application site.</w:t>
      </w:r>
    </w:p>
    <w:p w:rsidR="00D879F8" w:rsidRPr="00D879F8" w:rsidRDefault="00D879F8" w:rsidP="00D879F8">
      <w:pPr>
        <w:pStyle w:val="Header"/>
        <w:ind w:left="720" w:hanging="720"/>
        <w:jc w:val="both"/>
        <w:rPr>
          <w:rFonts w:cs="Arial"/>
          <w:szCs w:val="22"/>
        </w:rPr>
      </w:pPr>
    </w:p>
    <w:p w:rsidR="00D879F8" w:rsidRPr="00D879F8" w:rsidRDefault="00D879F8" w:rsidP="00D879F8">
      <w:pPr>
        <w:pStyle w:val="Header"/>
        <w:ind w:left="720" w:hanging="720"/>
        <w:jc w:val="both"/>
        <w:rPr>
          <w:rFonts w:cs="Arial"/>
          <w:szCs w:val="22"/>
        </w:rPr>
      </w:pPr>
      <w:r>
        <w:rPr>
          <w:rFonts w:cs="Arial"/>
          <w:szCs w:val="22"/>
        </w:rPr>
        <w:t>1.</w:t>
      </w:r>
      <w:r w:rsidR="00C80417">
        <w:rPr>
          <w:rFonts w:cs="Arial"/>
          <w:szCs w:val="22"/>
        </w:rPr>
        <w:t>3</w:t>
      </w:r>
      <w:r>
        <w:rPr>
          <w:rFonts w:cs="Arial"/>
          <w:szCs w:val="22"/>
        </w:rPr>
        <w:tab/>
      </w:r>
      <w:r w:rsidRPr="00D879F8">
        <w:rPr>
          <w:rFonts w:cs="Arial"/>
          <w:szCs w:val="22"/>
        </w:rPr>
        <w:t xml:space="preserve">The Duke of York is now closed and has been vacant since at least July 2017. The ground floor comprises public bar areas, dining room, toilets and catering kitchen. There are internal stairs to a cellar which has an external beer drop from the pavement in Main Street. At first floor the proprietors flat </w:t>
      </w:r>
      <w:proofErr w:type="gramStart"/>
      <w:r w:rsidRPr="00D879F8">
        <w:rPr>
          <w:rFonts w:cs="Arial"/>
          <w:szCs w:val="22"/>
        </w:rPr>
        <w:t>contains</w:t>
      </w:r>
      <w:proofErr w:type="gramEnd"/>
      <w:r w:rsidRPr="00D879F8">
        <w:rPr>
          <w:rFonts w:cs="Arial"/>
          <w:szCs w:val="22"/>
        </w:rPr>
        <w:t xml:space="preserve"> a lounge, kitchen, bathroom and three bedrooms.</w:t>
      </w:r>
    </w:p>
    <w:p w:rsidR="00D879F8" w:rsidRPr="00D879F8" w:rsidRDefault="00D879F8" w:rsidP="00D879F8">
      <w:pPr>
        <w:pStyle w:val="Header"/>
        <w:ind w:left="720" w:hanging="720"/>
        <w:jc w:val="both"/>
        <w:rPr>
          <w:rFonts w:cs="Arial"/>
          <w:szCs w:val="22"/>
        </w:rPr>
      </w:pPr>
    </w:p>
    <w:p w:rsidR="00882726" w:rsidRDefault="00D879F8" w:rsidP="00D879F8">
      <w:pPr>
        <w:pStyle w:val="Header"/>
        <w:tabs>
          <w:tab w:val="clear" w:pos="4153"/>
          <w:tab w:val="clear" w:pos="8306"/>
        </w:tabs>
        <w:ind w:left="720" w:hanging="720"/>
        <w:jc w:val="both"/>
        <w:rPr>
          <w:rFonts w:cs="Arial"/>
          <w:szCs w:val="22"/>
        </w:rPr>
      </w:pPr>
      <w:r>
        <w:rPr>
          <w:rFonts w:cs="Arial"/>
          <w:szCs w:val="22"/>
        </w:rPr>
        <w:t>1.</w:t>
      </w:r>
      <w:r w:rsidR="00C80417">
        <w:rPr>
          <w:rFonts w:cs="Arial"/>
          <w:szCs w:val="22"/>
        </w:rPr>
        <w:t>4</w:t>
      </w:r>
      <w:r>
        <w:rPr>
          <w:rFonts w:cs="Arial"/>
          <w:szCs w:val="22"/>
        </w:rPr>
        <w:tab/>
      </w:r>
      <w:r w:rsidRPr="00D879F8">
        <w:rPr>
          <w:rFonts w:cs="Arial"/>
          <w:szCs w:val="22"/>
        </w:rPr>
        <w:t>This application follows refusal of planning permission for the change of use of the public house to one dwelling with business use, demolition of the existing single-storey extensions and construction of new single-storey extension, construction of a new, two-storey, three-car garage with business storage above and construction of three new two-storey holiday lets in April 2019.</w:t>
      </w:r>
    </w:p>
    <w:p w:rsidR="00D879F8" w:rsidRPr="003015D8" w:rsidRDefault="00D879F8" w:rsidP="00D879F8">
      <w:pPr>
        <w:pStyle w:val="Header"/>
        <w:tabs>
          <w:tab w:val="clear" w:pos="4153"/>
          <w:tab w:val="clear" w:pos="8306"/>
        </w:tabs>
        <w:ind w:left="720" w:hanging="720"/>
        <w:jc w:val="both"/>
        <w:rPr>
          <w:rFonts w:cs="Arial"/>
          <w:color w:val="FF0000"/>
          <w:szCs w:val="22"/>
        </w:rPr>
      </w:pPr>
    </w:p>
    <w:p w:rsidR="00586B93" w:rsidRPr="003015D8" w:rsidRDefault="00E4241A" w:rsidP="00D879F8">
      <w:pPr>
        <w:spacing w:line="240" w:lineRule="auto"/>
        <w:ind w:left="720" w:hanging="720"/>
        <w:rPr>
          <w:rFonts w:cs="Arial"/>
          <w:szCs w:val="22"/>
        </w:rPr>
      </w:pPr>
      <w:r w:rsidRPr="003015D8">
        <w:rPr>
          <w:rFonts w:cs="Arial"/>
          <w:szCs w:val="22"/>
        </w:rPr>
        <w:t>2.</w:t>
      </w:r>
      <w:r w:rsidRPr="003015D8">
        <w:rPr>
          <w:rFonts w:cs="Arial"/>
          <w:szCs w:val="22"/>
        </w:rPr>
        <w:tab/>
      </w:r>
      <w:r w:rsidR="00586B93" w:rsidRPr="003015D8">
        <w:rPr>
          <w:rFonts w:cs="Arial"/>
          <w:b/>
          <w:szCs w:val="22"/>
          <w:u w:val="single"/>
        </w:rPr>
        <w:t>Proposed Development for which consent is sought</w:t>
      </w:r>
    </w:p>
    <w:p w:rsidR="00704978" w:rsidRPr="003015D8" w:rsidRDefault="00704978" w:rsidP="00D879F8">
      <w:pPr>
        <w:pStyle w:val="PLANNING"/>
        <w:ind w:left="0" w:firstLine="0"/>
        <w:rPr>
          <w:rFonts w:cs="Arial"/>
          <w:szCs w:val="22"/>
        </w:rPr>
      </w:pPr>
    </w:p>
    <w:p w:rsidR="00D879F8" w:rsidRPr="00D879F8" w:rsidRDefault="005F7D04" w:rsidP="00D879F8">
      <w:pPr>
        <w:pStyle w:val="Header"/>
        <w:ind w:left="720" w:hanging="720"/>
        <w:jc w:val="both"/>
        <w:rPr>
          <w:rFonts w:cs="Arial"/>
          <w:szCs w:val="22"/>
        </w:rPr>
      </w:pPr>
      <w:r w:rsidRPr="003015D8">
        <w:rPr>
          <w:rFonts w:cs="Arial"/>
          <w:bCs/>
          <w:szCs w:val="22"/>
        </w:rPr>
        <w:t>2.1</w:t>
      </w:r>
      <w:r w:rsidRPr="003015D8">
        <w:rPr>
          <w:rFonts w:cs="Arial"/>
          <w:bCs/>
          <w:szCs w:val="22"/>
        </w:rPr>
        <w:tab/>
      </w:r>
      <w:r w:rsidR="00D879F8" w:rsidRPr="00D879F8">
        <w:rPr>
          <w:rFonts w:cs="Arial"/>
          <w:szCs w:val="22"/>
        </w:rPr>
        <w:t xml:space="preserve">This planning application seeks consent for a change of use of the Duke of York from a public house to residential use. Alterations to the building and new build elements proposed as part of the previously refused planning application (ref. 3/2019/0049) have been removed. The proposal is to convert the public house into one dwelling. There would be no alterations to the external fabric of the building or the building internally. The proposal is to convert the building to a six-bed private residence. </w:t>
      </w:r>
    </w:p>
    <w:p w:rsidR="00D879F8" w:rsidRPr="00D879F8" w:rsidRDefault="00D879F8" w:rsidP="00D879F8">
      <w:pPr>
        <w:pStyle w:val="Header"/>
        <w:ind w:left="720" w:hanging="720"/>
        <w:jc w:val="both"/>
        <w:rPr>
          <w:rFonts w:cs="Arial"/>
          <w:szCs w:val="22"/>
        </w:rPr>
      </w:pPr>
    </w:p>
    <w:p w:rsidR="00D879F8" w:rsidRPr="00D879F8" w:rsidRDefault="00D879F8" w:rsidP="00D879F8">
      <w:pPr>
        <w:pStyle w:val="Header"/>
        <w:ind w:left="720" w:hanging="720"/>
        <w:jc w:val="both"/>
        <w:rPr>
          <w:rFonts w:cs="Arial"/>
          <w:szCs w:val="22"/>
        </w:rPr>
      </w:pPr>
      <w:r>
        <w:rPr>
          <w:rFonts w:cs="Arial"/>
          <w:szCs w:val="22"/>
        </w:rPr>
        <w:t>2.2</w:t>
      </w:r>
      <w:r>
        <w:rPr>
          <w:rFonts w:cs="Arial"/>
          <w:szCs w:val="22"/>
        </w:rPr>
        <w:tab/>
      </w:r>
      <w:r w:rsidRPr="00D879F8">
        <w:rPr>
          <w:rFonts w:cs="Arial"/>
          <w:szCs w:val="22"/>
        </w:rPr>
        <w:t>Part of the existing pub car park to the west of the building would become residential garden and would be delineated from the remainder of car parking area to the front of the site which would be retained for private off-street parking</w:t>
      </w:r>
      <w:r w:rsidR="00791E4E">
        <w:rPr>
          <w:rFonts w:cs="Arial"/>
          <w:szCs w:val="22"/>
        </w:rPr>
        <w:t xml:space="preserve"> associated with the proposed </w:t>
      </w:r>
      <w:proofErr w:type="spellStart"/>
      <w:r w:rsidR="00791E4E">
        <w:rPr>
          <w:rFonts w:cs="Arial"/>
          <w:szCs w:val="22"/>
        </w:rPr>
        <w:t>dwellinghouse</w:t>
      </w:r>
      <w:proofErr w:type="spellEnd"/>
      <w:r w:rsidRPr="00D879F8">
        <w:rPr>
          <w:rFonts w:cs="Arial"/>
          <w:szCs w:val="22"/>
        </w:rPr>
        <w:t>.</w:t>
      </w:r>
    </w:p>
    <w:p w:rsidR="00D879F8" w:rsidRPr="00D879F8" w:rsidRDefault="00D879F8" w:rsidP="00D879F8">
      <w:pPr>
        <w:pStyle w:val="Header"/>
        <w:ind w:left="720" w:hanging="720"/>
        <w:jc w:val="both"/>
        <w:rPr>
          <w:rFonts w:cs="Arial"/>
          <w:szCs w:val="22"/>
        </w:rPr>
      </w:pPr>
    </w:p>
    <w:p w:rsidR="00967424" w:rsidRDefault="00D879F8" w:rsidP="00D879F8">
      <w:pPr>
        <w:pStyle w:val="Header"/>
        <w:tabs>
          <w:tab w:val="clear" w:pos="4153"/>
          <w:tab w:val="clear" w:pos="8306"/>
        </w:tabs>
        <w:ind w:left="720" w:hanging="720"/>
        <w:jc w:val="both"/>
        <w:rPr>
          <w:rFonts w:cs="Arial"/>
          <w:szCs w:val="22"/>
        </w:rPr>
      </w:pPr>
      <w:r>
        <w:rPr>
          <w:rFonts w:cs="Arial"/>
          <w:szCs w:val="22"/>
        </w:rPr>
        <w:t>2.3</w:t>
      </w:r>
      <w:r>
        <w:rPr>
          <w:rFonts w:cs="Arial"/>
          <w:szCs w:val="22"/>
        </w:rPr>
        <w:tab/>
      </w:r>
      <w:r w:rsidRPr="00D879F8">
        <w:rPr>
          <w:rFonts w:cs="Arial"/>
          <w:szCs w:val="22"/>
        </w:rPr>
        <w:t>The main considerations in the determination of this planning application are the principle of development, the impact of the development on the significance of designated heritage assets, its design and visual appearance, its impact of residential amenity and highway safety.</w:t>
      </w:r>
    </w:p>
    <w:p w:rsidR="00D879F8" w:rsidRPr="003015D8" w:rsidRDefault="00D879F8" w:rsidP="00D879F8">
      <w:pPr>
        <w:pStyle w:val="Header"/>
        <w:tabs>
          <w:tab w:val="clear" w:pos="4153"/>
          <w:tab w:val="clear" w:pos="8306"/>
        </w:tabs>
        <w:ind w:left="720" w:hanging="720"/>
        <w:jc w:val="both"/>
        <w:rPr>
          <w:rFonts w:cs="Arial"/>
          <w:szCs w:val="22"/>
        </w:rPr>
      </w:pPr>
    </w:p>
    <w:p w:rsidR="00586B93" w:rsidRPr="003015D8" w:rsidRDefault="00E4241A" w:rsidP="003015D8">
      <w:pPr>
        <w:pStyle w:val="PLANNING"/>
        <w:rPr>
          <w:rFonts w:cs="Arial"/>
          <w:szCs w:val="22"/>
        </w:rPr>
      </w:pPr>
      <w:r w:rsidRPr="003015D8">
        <w:rPr>
          <w:rFonts w:cs="Arial"/>
          <w:szCs w:val="22"/>
        </w:rPr>
        <w:t>3.</w:t>
      </w:r>
      <w:r w:rsidRPr="003015D8">
        <w:rPr>
          <w:rFonts w:cs="Arial"/>
          <w:szCs w:val="22"/>
        </w:rPr>
        <w:tab/>
      </w:r>
      <w:r w:rsidR="00586B93" w:rsidRPr="003015D8">
        <w:rPr>
          <w:rFonts w:cs="Arial"/>
          <w:b/>
          <w:szCs w:val="22"/>
          <w:u w:val="single"/>
        </w:rPr>
        <w:t>Relevant Planning History</w:t>
      </w:r>
    </w:p>
    <w:p w:rsidR="00586B93" w:rsidRPr="003015D8" w:rsidRDefault="00586B93" w:rsidP="003015D8">
      <w:pPr>
        <w:pStyle w:val="PLANNING"/>
        <w:rPr>
          <w:rFonts w:cs="Arial"/>
          <w:szCs w:val="22"/>
        </w:rPr>
      </w:pPr>
    </w:p>
    <w:p w:rsidR="00D879F8" w:rsidRPr="00D879F8" w:rsidRDefault="00D879F8" w:rsidP="00D879F8">
      <w:pPr>
        <w:pStyle w:val="PLANNING"/>
        <w:ind w:firstLine="0"/>
        <w:rPr>
          <w:rFonts w:cs="Arial"/>
          <w:szCs w:val="22"/>
        </w:rPr>
      </w:pPr>
      <w:r w:rsidRPr="00D879F8">
        <w:rPr>
          <w:rFonts w:cs="Arial"/>
          <w:szCs w:val="22"/>
        </w:rPr>
        <w:t>3/2019/0050 - Change of use from public house with living accommodation to one dwelling with business use. Demolition of existing single-storey extensions and construction of new single-storey extension (Listed Building Consent). Refused.</w:t>
      </w:r>
    </w:p>
    <w:p w:rsidR="00D879F8" w:rsidRPr="00D879F8" w:rsidRDefault="00D879F8" w:rsidP="00D879F8">
      <w:pPr>
        <w:pStyle w:val="PLANNING"/>
        <w:rPr>
          <w:rFonts w:cs="Arial"/>
          <w:szCs w:val="22"/>
        </w:rPr>
      </w:pPr>
    </w:p>
    <w:p w:rsidR="00D879F8" w:rsidRPr="00D879F8" w:rsidRDefault="00D879F8" w:rsidP="00D879F8">
      <w:pPr>
        <w:pStyle w:val="PLANNING"/>
        <w:ind w:firstLine="0"/>
        <w:rPr>
          <w:rFonts w:cs="Arial"/>
          <w:szCs w:val="22"/>
        </w:rPr>
      </w:pPr>
      <w:r w:rsidRPr="00D879F8">
        <w:rPr>
          <w:rFonts w:cs="Arial"/>
          <w:szCs w:val="22"/>
        </w:rPr>
        <w:lastRenderedPageBreak/>
        <w:t>3/2019/0049 - Change of use from public house with living accommodation to one dwelling with business use. Demolition of existing single-storey extensions and construction of new single-storey extension. Construction of new, two-storey, three-car garage with business storage above. Construction of three new two-storey holiday lets. Refused.</w:t>
      </w:r>
    </w:p>
    <w:p w:rsidR="00D879F8" w:rsidRPr="00D879F8" w:rsidRDefault="00D879F8" w:rsidP="00D879F8">
      <w:pPr>
        <w:pStyle w:val="PLANNING"/>
        <w:rPr>
          <w:rFonts w:cs="Arial"/>
          <w:szCs w:val="22"/>
        </w:rPr>
      </w:pPr>
    </w:p>
    <w:p w:rsidR="00D879F8" w:rsidRPr="00D879F8" w:rsidRDefault="00D879F8" w:rsidP="00D879F8">
      <w:pPr>
        <w:pStyle w:val="PLANNING"/>
        <w:ind w:firstLine="0"/>
        <w:rPr>
          <w:rFonts w:cs="Arial"/>
          <w:szCs w:val="22"/>
        </w:rPr>
      </w:pPr>
      <w:r w:rsidRPr="00D879F8">
        <w:rPr>
          <w:rFonts w:cs="Arial"/>
          <w:szCs w:val="22"/>
        </w:rPr>
        <w:t>3/2009/0289 - Proposed level standing/seating area (Listed Building Consent) (Resubmission). Approved with Conditions.</w:t>
      </w:r>
    </w:p>
    <w:p w:rsidR="00D879F8" w:rsidRPr="00D879F8" w:rsidRDefault="00D879F8" w:rsidP="00D879F8">
      <w:pPr>
        <w:pStyle w:val="PLANNING"/>
        <w:rPr>
          <w:rFonts w:cs="Arial"/>
          <w:szCs w:val="22"/>
        </w:rPr>
      </w:pPr>
    </w:p>
    <w:p w:rsidR="00D879F8" w:rsidRPr="00D879F8" w:rsidRDefault="00D879F8" w:rsidP="00D879F8">
      <w:pPr>
        <w:pStyle w:val="PLANNING"/>
        <w:ind w:firstLine="0"/>
        <w:rPr>
          <w:rFonts w:cs="Arial"/>
          <w:szCs w:val="22"/>
        </w:rPr>
      </w:pPr>
      <w:r w:rsidRPr="00D879F8">
        <w:rPr>
          <w:rFonts w:cs="Arial"/>
          <w:szCs w:val="22"/>
        </w:rPr>
        <w:t>3/2009/0288 - Proposed level standing/seating area (Resubmission). Approved with Conditions.</w:t>
      </w:r>
    </w:p>
    <w:p w:rsidR="00D879F8" w:rsidRPr="00D879F8" w:rsidRDefault="00D879F8" w:rsidP="00D879F8">
      <w:pPr>
        <w:pStyle w:val="PLANNING"/>
        <w:rPr>
          <w:rFonts w:cs="Arial"/>
          <w:szCs w:val="22"/>
        </w:rPr>
      </w:pPr>
    </w:p>
    <w:p w:rsidR="00D879F8" w:rsidRPr="00D879F8" w:rsidRDefault="00D879F8" w:rsidP="00D879F8">
      <w:pPr>
        <w:pStyle w:val="PLANNING"/>
        <w:ind w:firstLine="0"/>
        <w:rPr>
          <w:rFonts w:cs="Arial"/>
          <w:szCs w:val="22"/>
        </w:rPr>
      </w:pPr>
      <w:r w:rsidRPr="00D879F8">
        <w:rPr>
          <w:rFonts w:cs="Arial"/>
          <w:szCs w:val="22"/>
        </w:rPr>
        <w:t>3/2008/0447 - Retrospective application for decking to front of building (Listed Building Consent). Refused.</w:t>
      </w:r>
    </w:p>
    <w:p w:rsidR="00D879F8" w:rsidRPr="00D879F8" w:rsidRDefault="00D879F8" w:rsidP="00D879F8">
      <w:pPr>
        <w:pStyle w:val="PLANNING"/>
        <w:rPr>
          <w:rFonts w:cs="Arial"/>
          <w:szCs w:val="22"/>
        </w:rPr>
      </w:pPr>
    </w:p>
    <w:p w:rsidR="00D879F8" w:rsidRPr="00D879F8" w:rsidRDefault="00D879F8" w:rsidP="00D879F8">
      <w:pPr>
        <w:pStyle w:val="PLANNING"/>
        <w:ind w:firstLine="0"/>
        <w:rPr>
          <w:rFonts w:cs="Arial"/>
          <w:szCs w:val="22"/>
        </w:rPr>
      </w:pPr>
      <w:r w:rsidRPr="00D879F8">
        <w:rPr>
          <w:rFonts w:cs="Arial"/>
          <w:szCs w:val="22"/>
        </w:rPr>
        <w:t>3/2008/0448 - Retrospective application for decking to front of building. Refused.</w:t>
      </w:r>
    </w:p>
    <w:p w:rsidR="00D879F8" w:rsidRPr="00D879F8" w:rsidRDefault="00D879F8" w:rsidP="00D879F8">
      <w:pPr>
        <w:pStyle w:val="PLANNING"/>
        <w:rPr>
          <w:rFonts w:cs="Arial"/>
          <w:szCs w:val="22"/>
        </w:rPr>
      </w:pPr>
    </w:p>
    <w:p w:rsidR="00D879F8" w:rsidRPr="00D879F8" w:rsidRDefault="00D879F8" w:rsidP="00D879F8">
      <w:pPr>
        <w:pStyle w:val="PLANNING"/>
        <w:ind w:firstLine="0"/>
        <w:rPr>
          <w:rFonts w:cs="Arial"/>
          <w:szCs w:val="22"/>
        </w:rPr>
      </w:pPr>
      <w:r w:rsidRPr="00D879F8">
        <w:rPr>
          <w:rFonts w:cs="Arial"/>
          <w:szCs w:val="22"/>
        </w:rPr>
        <w:t>3/1997/0842 - Extension to rear of premises to form link to toilets and store (Listed Building Consent). Approved with Conditions.</w:t>
      </w:r>
    </w:p>
    <w:p w:rsidR="00D879F8" w:rsidRPr="00D879F8" w:rsidRDefault="00D879F8" w:rsidP="00D879F8">
      <w:pPr>
        <w:pStyle w:val="PLANNING"/>
        <w:rPr>
          <w:rFonts w:cs="Arial"/>
          <w:szCs w:val="22"/>
        </w:rPr>
      </w:pPr>
    </w:p>
    <w:p w:rsidR="009B506E" w:rsidRDefault="00D879F8" w:rsidP="00D879F8">
      <w:pPr>
        <w:pStyle w:val="PLANNING"/>
        <w:ind w:firstLine="0"/>
        <w:rPr>
          <w:rFonts w:cs="Arial"/>
          <w:szCs w:val="22"/>
        </w:rPr>
      </w:pPr>
      <w:r w:rsidRPr="00D879F8">
        <w:rPr>
          <w:rFonts w:cs="Arial"/>
          <w:szCs w:val="22"/>
        </w:rPr>
        <w:t>3/1997/0841 - Extension to rear of premises to form link to toilets and store. Approved with Conditions.</w:t>
      </w:r>
    </w:p>
    <w:p w:rsidR="00D879F8" w:rsidRPr="003015D8" w:rsidRDefault="00D879F8" w:rsidP="00D879F8">
      <w:pPr>
        <w:pStyle w:val="PLANNING"/>
        <w:ind w:firstLine="0"/>
        <w:rPr>
          <w:rFonts w:cs="Arial"/>
          <w:szCs w:val="22"/>
        </w:rPr>
      </w:pPr>
    </w:p>
    <w:p w:rsidR="00591BEC" w:rsidRPr="003015D8" w:rsidRDefault="00E4241A" w:rsidP="003015D8">
      <w:pPr>
        <w:pStyle w:val="PLANNING"/>
        <w:rPr>
          <w:rFonts w:cs="Arial"/>
          <w:b/>
          <w:szCs w:val="22"/>
          <w:u w:val="single"/>
        </w:rPr>
      </w:pPr>
      <w:r w:rsidRPr="003015D8">
        <w:rPr>
          <w:rFonts w:cs="Arial"/>
          <w:szCs w:val="22"/>
        </w:rPr>
        <w:t>4.</w:t>
      </w:r>
      <w:r w:rsidRPr="003015D8">
        <w:rPr>
          <w:rFonts w:cs="Arial"/>
          <w:szCs w:val="22"/>
        </w:rPr>
        <w:tab/>
      </w:r>
      <w:r w:rsidR="0023527A" w:rsidRPr="003015D8">
        <w:rPr>
          <w:rFonts w:cs="Arial"/>
          <w:b/>
          <w:szCs w:val="22"/>
          <w:u w:val="single"/>
        </w:rPr>
        <w:t>Relevant Policies</w:t>
      </w:r>
    </w:p>
    <w:p w:rsidR="00323246" w:rsidRPr="003015D8" w:rsidRDefault="00323246" w:rsidP="003015D8">
      <w:pPr>
        <w:pStyle w:val="PLANNING"/>
        <w:rPr>
          <w:rFonts w:cs="Arial"/>
          <w:szCs w:val="22"/>
        </w:rPr>
      </w:pPr>
    </w:p>
    <w:p w:rsidR="00D879F8" w:rsidRPr="00D879F8" w:rsidRDefault="00D879F8" w:rsidP="00D879F8">
      <w:pPr>
        <w:pStyle w:val="PLANNING"/>
        <w:ind w:firstLine="0"/>
        <w:rPr>
          <w:rFonts w:cs="Arial"/>
          <w:b/>
          <w:bCs/>
          <w:szCs w:val="22"/>
        </w:rPr>
      </w:pPr>
      <w:r w:rsidRPr="00D879F8">
        <w:rPr>
          <w:rFonts w:cs="Arial"/>
          <w:b/>
          <w:bCs/>
          <w:szCs w:val="22"/>
        </w:rPr>
        <w:t>Ribble Valley Core Strategy</w:t>
      </w:r>
    </w:p>
    <w:p w:rsidR="00D879F8" w:rsidRPr="00D879F8" w:rsidRDefault="00D879F8" w:rsidP="00D879F8">
      <w:pPr>
        <w:pStyle w:val="PLANNING"/>
        <w:ind w:firstLine="0"/>
        <w:rPr>
          <w:rFonts w:cs="Arial"/>
          <w:bCs/>
          <w:szCs w:val="22"/>
        </w:rPr>
      </w:pPr>
      <w:r w:rsidRPr="00D879F8">
        <w:rPr>
          <w:rFonts w:cs="Arial"/>
          <w:bCs/>
          <w:szCs w:val="22"/>
        </w:rPr>
        <w:t>Key Statement DS1 – Development Strategy</w:t>
      </w:r>
    </w:p>
    <w:p w:rsidR="00D879F8" w:rsidRPr="00D879F8" w:rsidRDefault="00D879F8" w:rsidP="00D879F8">
      <w:pPr>
        <w:pStyle w:val="PLANNING"/>
        <w:ind w:firstLine="0"/>
        <w:rPr>
          <w:rFonts w:cs="Arial"/>
          <w:bCs/>
          <w:szCs w:val="22"/>
        </w:rPr>
      </w:pPr>
      <w:r w:rsidRPr="00D879F8">
        <w:rPr>
          <w:rFonts w:cs="Arial"/>
          <w:bCs/>
          <w:szCs w:val="22"/>
        </w:rPr>
        <w:t>Key Statement DS2 – Sustainable Development</w:t>
      </w:r>
    </w:p>
    <w:p w:rsidR="00D879F8" w:rsidRPr="00D879F8" w:rsidRDefault="00D879F8" w:rsidP="00D879F8">
      <w:pPr>
        <w:pStyle w:val="PLANNING"/>
        <w:ind w:firstLine="0"/>
        <w:rPr>
          <w:rFonts w:cs="Arial"/>
          <w:bCs/>
          <w:szCs w:val="22"/>
        </w:rPr>
      </w:pPr>
      <w:r w:rsidRPr="00D879F8">
        <w:rPr>
          <w:rFonts w:cs="Arial"/>
          <w:bCs/>
          <w:szCs w:val="22"/>
        </w:rPr>
        <w:t>Key Statement EN2 – Landscape</w:t>
      </w:r>
    </w:p>
    <w:p w:rsidR="00D879F8" w:rsidRPr="00D879F8" w:rsidRDefault="00D879F8" w:rsidP="00D879F8">
      <w:pPr>
        <w:pStyle w:val="PLANNING"/>
        <w:ind w:firstLine="0"/>
        <w:rPr>
          <w:rFonts w:cs="Arial"/>
          <w:bCs/>
          <w:szCs w:val="22"/>
        </w:rPr>
      </w:pPr>
      <w:r w:rsidRPr="00D879F8">
        <w:rPr>
          <w:rFonts w:cs="Arial"/>
          <w:bCs/>
          <w:szCs w:val="22"/>
        </w:rPr>
        <w:t>Key Statement EN5 – Heritage Assets</w:t>
      </w:r>
    </w:p>
    <w:p w:rsidR="00D879F8" w:rsidRPr="00D879F8" w:rsidRDefault="00D879F8" w:rsidP="00D879F8">
      <w:pPr>
        <w:pStyle w:val="PLANNING"/>
        <w:ind w:firstLine="0"/>
        <w:rPr>
          <w:rFonts w:cs="Arial"/>
          <w:bCs/>
          <w:szCs w:val="22"/>
        </w:rPr>
      </w:pPr>
      <w:r w:rsidRPr="00D879F8">
        <w:rPr>
          <w:rFonts w:cs="Arial"/>
          <w:bCs/>
          <w:szCs w:val="22"/>
        </w:rPr>
        <w:t>Key Statement H1 – Housing Provision</w:t>
      </w:r>
    </w:p>
    <w:p w:rsidR="00D879F8" w:rsidRPr="00D879F8" w:rsidRDefault="00D879F8" w:rsidP="00D879F8">
      <w:pPr>
        <w:pStyle w:val="PLANNING"/>
        <w:ind w:firstLine="0"/>
        <w:rPr>
          <w:rFonts w:cs="Arial"/>
          <w:bCs/>
          <w:szCs w:val="22"/>
        </w:rPr>
      </w:pPr>
      <w:r w:rsidRPr="00D879F8">
        <w:rPr>
          <w:rFonts w:cs="Arial"/>
          <w:bCs/>
          <w:szCs w:val="22"/>
        </w:rPr>
        <w:t>Key Statement EC1 – Business and Employment Development</w:t>
      </w:r>
    </w:p>
    <w:p w:rsidR="00D879F8" w:rsidRPr="00D879F8" w:rsidRDefault="00D879F8" w:rsidP="00D879F8">
      <w:pPr>
        <w:pStyle w:val="PLANNING"/>
        <w:ind w:firstLine="0"/>
        <w:rPr>
          <w:rFonts w:cs="Arial"/>
          <w:bCs/>
          <w:szCs w:val="22"/>
        </w:rPr>
      </w:pPr>
      <w:r w:rsidRPr="00D879F8">
        <w:rPr>
          <w:rFonts w:cs="Arial"/>
          <w:bCs/>
          <w:szCs w:val="22"/>
        </w:rPr>
        <w:t>Key Statement EC2 – Development of retail, shops and community facilities and services</w:t>
      </w:r>
    </w:p>
    <w:p w:rsidR="00D879F8" w:rsidRPr="00D879F8" w:rsidRDefault="00D879F8" w:rsidP="00D879F8">
      <w:pPr>
        <w:pStyle w:val="PLANNING"/>
        <w:ind w:firstLine="720"/>
        <w:rPr>
          <w:rFonts w:cs="Arial"/>
          <w:bCs/>
          <w:szCs w:val="22"/>
        </w:rPr>
      </w:pPr>
    </w:p>
    <w:p w:rsidR="00D879F8" w:rsidRPr="00D879F8" w:rsidRDefault="00D879F8" w:rsidP="00D879F8">
      <w:pPr>
        <w:pStyle w:val="PLANNING"/>
        <w:ind w:firstLine="0"/>
        <w:rPr>
          <w:rFonts w:cs="Arial"/>
          <w:bCs/>
          <w:szCs w:val="22"/>
        </w:rPr>
      </w:pPr>
      <w:r w:rsidRPr="00D879F8">
        <w:rPr>
          <w:rFonts w:cs="Arial"/>
          <w:bCs/>
          <w:szCs w:val="22"/>
        </w:rPr>
        <w:t>Policy DMG1 – General Considerations</w:t>
      </w:r>
    </w:p>
    <w:p w:rsidR="00D879F8" w:rsidRPr="00D879F8" w:rsidRDefault="00D879F8" w:rsidP="00D879F8">
      <w:pPr>
        <w:pStyle w:val="PLANNING"/>
        <w:ind w:firstLine="0"/>
        <w:rPr>
          <w:rFonts w:cs="Arial"/>
          <w:bCs/>
          <w:szCs w:val="22"/>
        </w:rPr>
      </w:pPr>
      <w:r w:rsidRPr="00D879F8">
        <w:rPr>
          <w:rFonts w:cs="Arial"/>
          <w:bCs/>
          <w:szCs w:val="22"/>
        </w:rPr>
        <w:t>Policy DMG2 – Strategic Considerations</w:t>
      </w:r>
    </w:p>
    <w:p w:rsidR="00D879F8" w:rsidRPr="00D879F8" w:rsidRDefault="00D879F8" w:rsidP="00D879F8">
      <w:pPr>
        <w:pStyle w:val="PLANNING"/>
        <w:ind w:firstLine="0"/>
        <w:rPr>
          <w:rFonts w:cs="Arial"/>
          <w:bCs/>
          <w:szCs w:val="22"/>
        </w:rPr>
      </w:pPr>
      <w:r w:rsidRPr="00D879F8">
        <w:rPr>
          <w:rFonts w:cs="Arial"/>
          <w:bCs/>
          <w:szCs w:val="22"/>
        </w:rPr>
        <w:t>Policy DMG3 – Transport and Mobility</w:t>
      </w:r>
    </w:p>
    <w:p w:rsidR="00D879F8" w:rsidRPr="00D879F8" w:rsidRDefault="00D879F8" w:rsidP="00D879F8">
      <w:pPr>
        <w:pStyle w:val="PLANNING"/>
        <w:ind w:firstLine="0"/>
        <w:rPr>
          <w:rFonts w:cs="Arial"/>
          <w:bCs/>
          <w:szCs w:val="22"/>
        </w:rPr>
      </w:pPr>
      <w:r w:rsidRPr="00D879F8">
        <w:rPr>
          <w:rFonts w:cs="Arial"/>
          <w:bCs/>
          <w:szCs w:val="22"/>
        </w:rPr>
        <w:t>Policy DME3 – Site and Species Protection &amp; Conservation</w:t>
      </w:r>
    </w:p>
    <w:p w:rsidR="00D879F8" w:rsidRPr="00D879F8" w:rsidRDefault="00D879F8" w:rsidP="00D879F8">
      <w:pPr>
        <w:pStyle w:val="PLANNING"/>
        <w:ind w:firstLine="0"/>
        <w:rPr>
          <w:rFonts w:cs="Arial"/>
          <w:bCs/>
          <w:szCs w:val="22"/>
        </w:rPr>
      </w:pPr>
      <w:r w:rsidRPr="00D879F8">
        <w:rPr>
          <w:rFonts w:cs="Arial"/>
          <w:bCs/>
          <w:szCs w:val="22"/>
        </w:rPr>
        <w:t>Policy DME4 – Protecting Heritage Assets</w:t>
      </w:r>
    </w:p>
    <w:p w:rsidR="00D879F8" w:rsidRPr="00D879F8" w:rsidRDefault="00D879F8" w:rsidP="00D879F8">
      <w:pPr>
        <w:pStyle w:val="PLANNING"/>
        <w:ind w:firstLine="0"/>
        <w:rPr>
          <w:rFonts w:cs="Arial"/>
          <w:bCs/>
          <w:szCs w:val="22"/>
        </w:rPr>
      </w:pPr>
      <w:r w:rsidRPr="00D879F8">
        <w:rPr>
          <w:rFonts w:cs="Arial"/>
          <w:bCs/>
          <w:szCs w:val="22"/>
        </w:rPr>
        <w:t>Policy DMH3 – Dwellings in the Open Countryside and AONB</w:t>
      </w:r>
    </w:p>
    <w:p w:rsidR="00D879F8" w:rsidRPr="00D879F8" w:rsidRDefault="00D879F8" w:rsidP="00D879F8">
      <w:pPr>
        <w:pStyle w:val="PLANNING"/>
        <w:ind w:firstLine="0"/>
        <w:rPr>
          <w:rFonts w:cs="Arial"/>
          <w:bCs/>
          <w:szCs w:val="22"/>
        </w:rPr>
      </w:pPr>
      <w:r w:rsidRPr="00D879F8">
        <w:rPr>
          <w:rFonts w:cs="Arial"/>
          <w:bCs/>
          <w:szCs w:val="22"/>
        </w:rPr>
        <w:t>Policy DMH4 – The Conversion of Barns and Other Buildings to Dwellings</w:t>
      </w:r>
    </w:p>
    <w:p w:rsidR="00D879F8" w:rsidRPr="00D879F8" w:rsidRDefault="00D879F8" w:rsidP="00D879F8">
      <w:pPr>
        <w:pStyle w:val="PLANNING"/>
        <w:ind w:firstLine="0"/>
        <w:rPr>
          <w:rFonts w:cs="Arial"/>
          <w:bCs/>
          <w:szCs w:val="22"/>
        </w:rPr>
      </w:pPr>
      <w:r w:rsidRPr="00D879F8">
        <w:rPr>
          <w:rFonts w:cs="Arial"/>
          <w:bCs/>
          <w:szCs w:val="22"/>
        </w:rPr>
        <w:t>Policy DMB1 – Supporting Business Growth and the Local Economy</w:t>
      </w:r>
    </w:p>
    <w:p w:rsidR="00D879F8" w:rsidRPr="00D879F8" w:rsidRDefault="00D879F8" w:rsidP="00D879F8">
      <w:pPr>
        <w:pStyle w:val="PLANNING"/>
        <w:ind w:firstLine="0"/>
        <w:rPr>
          <w:rFonts w:cs="Arial"/>
          <w:bCs/>
          <w:szCs w:val="22"/>
        </w:rPr>
      </w:pPr>
      <w:r w:rsidRPr="00D879F8">
        <w:rPr>
          <w:rFonts w:cs="Arial"/>
          <w:bCs/>
          <w:szCs w:val="22"/>
        </w:rPr>
        <w:t>Policy DMR3 – Retail Outside the Main Settlements</w:t>
      </w:r>
    </w:p>
    <w:p w:rsidR="00D879F8" w:rsidRPr="00D879F8" w:rsidRDefault="00D879F8" w:rsidP="00D879F8">
      <w:pPr>
        <w:pStyle w:val="PLANNING"/>
        <w:ind w:firstLine="720"/>
        <w:rPr>
          <w:rFonts w:cs="Arial"/>
          <w:b/>
          <w:bCs/>
          <w:szCs w:val="22"/>
        </w:rPr>
      </w:pPr>
    </w:p>
    <w:p w:rsidR="00D879F8" w:rsidRPr="00D879F8" w:rsidRDefault="00D879F8" w:rsidP="00D879F8">
      <w:pPr>
        <w:pStyle w:val="PLANNING"/>
        <w:ind w:firstLine="0"/>
        <w:rPr>
          <w:rFonts w:cs="Arial"/>
          <w:b/>
          <w:bCs/>
          <w:szCs w:val="22"/>
        </w:rPr>
      </w:pPr>
      <w:r w:rsidRPr="00D879F8">
        <w:rPr>
          <w:rFonts w:cs="Arial"/>
          <w:b/>
          <w:bCs/>
          <w:szCs w:val="22"/>
        </w:rPr>
        <w:t>National Planning Policy Framework</w:t>
      </w:r>
    </w:p>
    <w:p w:rsidR="002F369F" w:rsidRDefault="00D879F8" w:rsidP="00D879F8">
      <w:pPr>
        <w:pStyle w:val="PLANNING"/>
        <w:ind w:left="0" w:firstLine="720"/>
        <w:rPr>
          <w:rFonts w:cs="Arial"/>
          <w:b/>
          <w:bCs/>
          <w:szCs w:val="22"/>
        </w:rPr>
      </w:pPr>
      <w:r w:rsidRPr="00D879F8">
        <w:rPr>
          <w:rFonts w:cs="Arial"/>
          <w:b/>
          <w:bCs/>
          <w:szCs w:val="22"/>
        </w:rPr>
        <w:t>Planning (Listed Buildings and Conservation Areas) Act 1990</w:t>
      </w:r>
    </w:p>
    <w:p w:rsidR="00D879F8" w:rsidRPr="000B4178" w:rsidRDefault="00D879F8" w:rsidP="00D879F8">
      <w:pPr>
        <w:pStyle w:val="PLANNING"/>
        <w:ind w:left="0" w:firstLine="720"/>
        <w:rPr>
          <w:rFonts w:cs="Arial"/>
          <w:szCs w:val="22"/>
        </w:rPr>
      </w:pPr>
    </w:p>
    <w:p w:rsidR="0023527A" w:rsidRPr="000B4178" w:rsidRDefault="00E4241A" w:rsidP="000B4178">
      <w:pPr>
        <w:pStyle w:val="PLANNING"/>
        <w:rPr>
          <w:rFonts w:cs="Arial"/>
          <w:szCs w:val="22"/>
        </w:rPr>
      </w:pPr>
      <w:r w:rsidRPr="000B4178">
        <w:rPr>
          <w:rFonts w:cs="Arial"/>
          <w:szCs w:val="22"/>
        </w:rPr>
        <w:t>5.</w:t>
      </w:r>
      <w:r w:rsidRPr="000B4178">
        <w:rPr>
          <w:rFonts w:cs="Arial"/>
          <w:szCs w:val="22"/>
        </w:rPr>
        <w:tab/>
      </w:r>
      <w:r w:rsidR="004572A0" w:rsidRPr="000B4178">
        <w:rPr>
          <w:rFonts w:cs="Arial"/>
          <w:b/>
          <w:szCs w:val="22"/>
          <w:u w:val="single"/>
        </w:rPr>
        <w:t>Assessment of Proposed Development</w:t>
      </w:r>
    </w:p>
    <w:p w:rsidR="004572A0" w:rsidRPr="000B4178" w:rsidRDefault="004572A0" w:rsidP="000B4178">
      <w:pPr>
        <w:pStyle w:val="PLANNING"/>
        <w:ind w:left="0" w:firstLine="0"/>
        <w:rPr>
          <w:rFonts w:cs="Arial"/>
          <w:color w:val="FF0000"/>
          <w:szCs w:val="22"/>
        </w:rPr>
      </w:pPr>
    </w:p>
    <w:p w:rsidR="00D879F8" w:rsidRPr="00D879F8" w:rsidRDefault="00E4241A" w:rsidP="00D879F8">
      <w:pPr>
        <w:spacing w:line="240" w:lineRule="auto"/>
        <w:ind w:left="720" w:hanging="720"/>
        <w:contextualSpacing/>
        <w:rPr>
          <w:rFonts w:cs="Arial"/>
          <w:szCs w:val="22"/>
        </w:rPr>
      </w:pPr>
      <w:r w:rsidRPr="000B4178">
        <w:rPr>
          <w:rFonts w:cs="Arial"/>
          <w:szCs w:val="22"/>
        </w:rPr>
        <w:t>5.1</w:t>
      </w:r>
      <w:r w:rsidRPr="000B4178">
        <w:rPr>
          <w:rFonts w:cs="Arial"/>
          <w:szCs w:val="22"/>
        </w:rPr>
        <w:tab/>
      </w:r>
      <w:r w:rsidR="00D879F8" w:rsidRPr="008E750C">
        <w:rPr>
          <w:rFonts w:cs="Arial"/>
          <w:szCs w:val="22"/>
          <w:u w:val="single"/>
        </w:rPr>
        <w:t>Principle of Development</w:t>
      </w:r>
    </w:p>
    <w:p w:rsidR="008E750C" w:rsidRDefault="008E750C" w:rsidP="00D879F8">
      <w:pPr>
        <w:spacing w:line="240" w:lineRule="auto"/>
        <w:ind w:left="720" w:hanging="720"/>
        <w:contextualSpacing/>
        <w:rPr>
          <w:rFonts w:cs="Arial"/>
          <w:szCs w:val="22"/>
        </w:rPr>
      </w:pPr>
    </w:p>
    <w:p w:rsidR="00D879F8" w:rsidRPr="00D879F8" w:rsidRDefault="008E750C" w:rsidP="008E750C">
      <w:pPr>
        <w:spacing w:line="240" w:lineRule="auto"/>
        <w:ind w:left="1440" w:hanging="720"/>
        <w:contextualSpacing/>
        <w:rPr>
          <w:rFonts w:cs="Arial"/>
          <w:szCs w:val="22"/>
        </w:rPr>
      </w:pPr>
      <w:r>
        <w:rPr>
          <w:rFonts w:cs="Arial"/>
          <w:szCs w:val="22"/>
        </w:rPr>
        <w:lastRenderedPageBreak/>
        <w:t>5.1.1</w:t>
      </w:r>
      <w:r>
        <w:rPr>
          <w:rFonts w:cs="Arial"/>
          <w:szCs w:val="22"/>
        </w:rPr>
        <w:tab/>
      </w:r>
      <w:r w:rsidR="00D879F8" w:rsidRPr="00D879F8">
        <w:rPr>
          <w:rFonts w:cs="Arial"/>
          <w:szCs w:val="22"/>
        </w:rPr>
        <w:t>The village of Grindleton is identified as a tier 2 settlement in the adopted Core Strategy; as such, it is considered as one of the less sustainable settlements in the borough. Policy DMG2 sets out that within tier 2 villages and outside the defined settlement areas development must meet at least one of the following considerations:</w:t>
      </w:r>
    </w:p>
    <w:p w:rsidR="00D879F8" w:rsidRPr="00D879F8" w:rsidRDefault="00D879F8" w:rsidP="00D879F8">
      <w:pPr>
        <w:spacing w:line="240" w:lineRule="auto"/>
        <w:ind w:left="720" w:hanging="720"/>
        <w:contextualSpacing/>
        <w:rPr>
          <w:rFonts w:cs="Arial"/>
          <w:szCs w:val="22"/>
        </w:rPr>
      </w:pPr>
    </w:p>
    <w:p w:rsidR="00D879F8" w:rsidRPr="00D879F8" w:rsidRDefault="00D879F8" w:rsidP="008E750C">
      <w:pPr>
        <w:spacing w:line="240" w:lineRule="auto"/>
        <w:ind w:left="2160" w:hanging="720"/>
        <w:contextualSpacing/>
        <w:rPr>
          <w:rFonts w:cs="Arial"/>
          <w:szCs w:val="22"/>
        </w:rPr>
      </w:pPr>
      <w:r w:rsidRPr="00D879F8">
        <w:rPr>
          <w:rFonts w:cs="Arial"/>
          <w:szCs w:val="22"/>
        </w:rPr>
        <w:t>1.</w:t>
      </w:r>
      <w:r w:rsidRPr="00D879F8">
        <w:rPr>
          <w:rFonts w:cs="Arial"/>
          <w:szCs w:val="22"/>
        </w:rPr>
        <w:tab/>
        <w:t>The development should be essential to the local economy or social wellbeing of the area.</w:t>
      </w:r>
    </w:p>
    <w:p w:rsidR="00D879F8" w:rsidRPr="00D879F8" w:rsidRDefault="00D879F8" w:rsidP="008E750C">
      <w:pPr>
        <w:spacing w:line="240" w:lineRule="auto"/>
        <w:ind w:left="720" w:firstLine="720"/>
        <w:contextualSpacing/>
        <w:rPr>
          <w:rFonts w:cs="Arial"/>
          <w:szCs w:val="22"/>
        </w:rPr>
      </w:pPr>
      <w:r w:rsidRPr="00D879F8">
        <w:rPr>
          <w:rFonts w:cs="Arial"/>
          <w:szCs w:val="22"/>
        </w:rPr>
        <w:t>2.</w:t>
      </w:r>
      <w:r w:rsidRPr="00D879F8">
        <w:rPr>
          <w:rFonts w:cs="Arial"/>
          <w:szCs w:val="22"/>
        </w:rPr>
        <w:tab/>
        <w:t>The development is needed for the purposes of forestry or agriculture.</w:t>
      </w:r>
    </w:p>
    <w:p w:rsidR="00D879F8" w:rsidRPr="00D879F8" w:rsidRDefault="00D879F8" w:rsidP="008E750C">
      <w:pPr>
        <w:spacing w:line="240" w:lineRule="auto"/>
        <w:ind w:left="2160" w:hanging="720"/>
        <w:contextualSpacing/>
        <w:rPr>
          <w:rFonts w:cs="Arial"/>
          <w:szCs w:val="22"/>
        </w:rPr>
      </w:pPr>
      <w:r w:rsidRPr="00D879F8">
        <w:rPr>
          <w:rFonts w:cs="Arial"/>
          <w:szCs w:val="22"/>
        </w:rPr>
        <w:t>3.</w:t>
      </w:r>
      <w:r w:rsidRPr="00D879F8">
        <w:rPr>
          <w:rFonts w:cs="Arial"/>
          <w:szCs w:val="22"/>
        </w:rPr>
        <w:tab/>
        <w:t>The development is for local needs housing which meets an identified need and is secured as such.</w:t>
      </w:r>
    </w:p>
    <w:p w:rsidR="00D879F8" w:rsidRPr="00D879F8" w:rsidRDefault="00D879F8" w:rsidP="008E750C">
      <w:pPr>
        <w:spacing w:line="240" w:lineRule="auto"/>
        <w:ind w:left="2160" w:hanging="720"/>
        <w:contextualSpacing/>
        <w:rPr>
          <w:rFonts w:cs="Arial"/>
          <w:szCs w:val="22"/>
        </w:rPr>
      </w:pPr>
      <w:r w:rsidRPr="00D879F8">
        <w:rPr>
          <w:rFonts w:cs="Arial"/>
          <w:szCs w:val="22"/>
        </w:rPr>
        <w:t>4.</w:t>
      </w:r>
      <w:r w:rsidRPr="00D879F8">
        <w:rPr>
          <w:rFonts w:cs="Arial"/>
          <w:szCs w:val="22"/>
        </w:rPr>
        <w:tab/>
        <w:t>The development is for small scale tourism or recreational developments appropriate to a rural area.</w:t>
      </w:r>
    </w:p>
    <w:p w:rsidR="00D879F8" w:rsidRPr="00D879F8" w:rsidRDefault="00D879F8" w:rsidP="008E750C">
      <w:pPr>
        <w:spacing w:line="240" w:lineRule="auto"/>
        <w:ind w:left="2160" w:hanging="720"/>
        <w:contextualSpacing/>
        <w:rPr>
          <w:rFonts w:cs="Arial"/>
          <w:szCs w:val="22"/>
        </w:rPr>
      </w:pPr>
      <w:r w:rsidRPr="00D879F8">
        <w:rPr>
          <w:rFonts w:cs="Arial"/>
          <w:szCs w:val="22"/>
        </w:rPr>
        <w:t>5.</w:t>
      </w:r>
      <w:r w:rsidRPr="00D879F8">
        <w:rPr>
          <w:rFonts w:cs="Arial"/>
          <w:szCs w:val="22"/>
        </w:rPr>
        <w:tab/>
        <w:t>The development is for small-scale uses appropriate to a rural area where a local need or benefit can be demonstrated.</w:t>
      </w:r>
    </w:p>
    <w:p w:rsidR="00D879F8" w:rsidRPr="00D879F8" w:rsidRDefault="00D879F8" w:rsidP="008E750C">
      <w:pPr>
        <w:spacing w:line="240" w:lineRule="auto"/>
        <w:ind w:left="720" w:firstLine="720"/>
        <w:contextualSpacing/>
        <w:rPr>
          <w:rFonts w:cs="Arial"/>
          <w:szCs w:val="22"/>
        </w:rPr>
      </w:pPr>
      <w:r w:rsidRPr="00D879F8">
        <w:rPr>
          <w:rFonts w:cs="Arial"/>
          <w:szCs w:val="22"/>
        </w:rPr>
        <w:t>6.</w:t>
      </w:r>
      <w:r w:rsidRPr="00D879F8">
        <w:rPr>
          <w:rFonts w:cs="Arial"/>
          <w:szCs w:val="22"/>
        </w:rPr>
        <w:tab/>
        <w:t>The development is compatible with the enterprise zone designation.</w:t>
      </w:r>
    </w:p>
    <w:p w:rsidR="00D879F8" w:rsidRPr="00D879F8" w:rsidRDefault="00D879F8" w:rsidP="00D879F8">
      <w:pPr>
        <w:spacing w:line="240" w:lineRule="auto"/>
        <w:ind w:left="720" w:hanging="720"/>
        <w:contextualSpacing/>
        <w:rPr>
          <w:rFonts w:cs="Arial"/>
          <w:szCs w:val="22"/>
        </w:rPr>
      </w:pPr>
    </w:p>
    <w:p w:rsidR="00D879F8" w:rsidRPr="00D879F8" w:rsidRDefault="008E750C" w:rsidP="008E750C">
      <w:pPr>
        <w:spacing w:line="240" w:lineRule="auto"/>
        <w:ind w:left="1440" w:hanging="720"/>
        <w:contextualSpacing/>
        <w:rPr>
          <w:rFonts w:cs="Arial"/>
          <w:szCs w:val="22"/>
        </w:rPr>
      </w:pPr>
      <w:r>
        <w:rPr>
          <w:rFonts w:cs="Arial"/>
          <w:szCs w:val="22"/>
        </w:rPr>
        <w:t>5.1.2</w:t>
      </w:r>
      <w:r>
        <w:rPr>
          <w:rFonts w:cs="Arial"/>
          <w:szCs w:val="22"/>
        </w:rPr>
        <w:tab/>
      </w:r>
      <w:r w:rsidR="00D879F8" w:rsidRPr="00D879F8">
        <w:rPr>
          <w:rFonts w:cs="Arial"/>
          <w:szCs w:val="22"/>
        </w:rPr>
        <w:t xml:space="preserve">Key Statement DS1 says that development that has recognised regeneration benefits will be considered in all of the borough’s settlements. </w:t>
      </w:r>
    </w:p>
    <w:p w:rsidR="00D879F8" w:rsidRPr="00D879F8" w:rsidRDefault="00D879F8" w:rsidP="00D879F8">
      <w:pPr>
        <w:spacing w:line="240" w:lineRule="auto"/>
        <w:ind w:left="720" w:hanging="720"/>
        <w:contextualSpacing/>
        <w:rPr>
          <w:rFonts w:cs="Arial"/>
          <w:szCs w:val="22"/>
        </w:rPr>
      </w:pPr>
    </w:p>
    <w:p w:rsidR="00D879F8" w:rsidRPr="00D879F8" w:rsidRDefault="008E750C" w:rsidP="008E750C">
      <w:pPr>
        <w:spacing w:line="240" w:lineRule="auto"/>
        <w:ind w:left="1440" w:hanging="720"/>
        <w:contextualSpacing/>
        <w:rPr>
          <w:rFonts w:cs="Arial"/>
          <w:szCs w:val="22"/>
        </w:rPr>
      </w:pPr>
      <w:r>
        <w:rPr>
          <w:rFonts w:cs="Arial"/>
          <w:szCs w:val="22"/>
        </w:rPr>
        <w:t>5.1.3</w:t>
      </w:r>
      <w:r>
        <w:rPr>
          <w:rFonts w:cs="Arial"/>
          <w:szCs w:val="22"/>
        </w:rPr>
        <w:tab/>
      </w:r>
      <w:r w:rsidR="00D879F8" w:rsidRPr="00D879F8">
        <w:rPr>
          <w:rFonts w:cs="Arial"/>
          <w:szCs w:val="22"/>
        </w:rPr>
        <w:t xml:space="preserve">In considering the proposal to change the use of the Duke of York to a single </w:t>
      </w:r>
      <w:proofErr w:type="spellStart"/>
      <w:r w:rsidR="00D879F8" w:rsidRPr="00D879F8">
        <w:rPr>
          <w:rFonts w:cs="Arial"/>
          <w:szCs w:val="22"/>
        </w:rPr>
        <w:t>dwellinghouse</w:t>
      </w:r>
      <w:proofErr w:type="spellEnd"/>
      <w:r w:rsidR="00D879F8" w:rsidRPr="00D879F8">
        <w:rPr>
          <w:rFonts w:cs="Arial"/>
          <w:szCs w:val="22"/>
        </w:rPr>
        <w:t>, Core Strategy Policy DMH3 restricts residential development in the open countryside or AONB to, amongst other scenarios, the appropriate conversion of buildings to dwellings provided they are suitably located and their form and general design are in keeping with their surroundings. Regarding the term “suitably located”, the site falls within the settlement boundary for Grindleton, would not be isolated from the village and thus is considered to be “suitably located” for the purposes of this policy.</w:t>
      </w:r>
    </w:p>
    <w:p w:rsidR="00D879F8" w:rsidRPr="00D879F8" w:rsidRDefault="00D879F8" w:rsidP="00D879F8">
      <w:pPr>
        <w:spacing w:line="240" w:lineRule="auto"/>
        <w:ind w:left="720" w:hanging="720"/>
        <w:contextualSpacing/>
        <w:rPr>
          <w:rFonts w:cs="Arial"/>
          <w:szCs w:val="22"/>
        </w:rPr>
      </w:pPr>
    </w:p>
    <w:p w:rsidR="00670519" w:rsidRDefault="008E750C" w:rsidP="008E750C">
      <w:pPr>
        <w:spacing w:line="240" w:lineRule="auto"/>
        <w:ind w:left="1440" w:hanging="720"/>
        <w:contextualSpacing/>
        <w:rPr>
          <w:szCs w:val="22"/>
        </w:rPr>
      </w:pPr>
      <w:r>
        <w:rPr>
          <w:rFonts w:cs="Arial"/>
          <w:szCs w:val="22"/>
        </w:rPr>
        <w:t>5.1.4</w:t>
      </w:r>
      <w:r>
        <w:rPr>
          <w:rFonts w:cs="Arial"/>
          <w:szCs w:val="22"/>
        </w:rPr>
        <w:tab/>
      </w:r>
      <w:r w:rsidR="00D879F8" w:rsidRPr="00D879F8">
        <w:rPr>
          <w:rFonts w:cs="Arial"/>
          <w:szCs w:val="22"/>
        </w:rPr>
        <w:t xml:space="preserve">Community facilities, such as public houses, are afforded protection through Key Statement EC2, Policies DMB1 and DMR3, and paragraphs 83 and 92 of the Framework. </w:t>
      </w:r>
      <w:r w:rsidR="00670519">
        <w:rPr>
          <w:szCs w:val="22"/>
        </w:rPr>
        <w:t xml:space="preserve">Paragraph 83 of the Framework makes clear that, in order to support a prosperous rural economy, local planning authorities should, amongst other things, promote the retention and development of local services and community facilities in villages, including public houses. In addition, Paragraph 92 (c) states that, amongst other things, planning policies and decisions should guard against the unnecessary loss of valued facilities and services. </w:t>
      </w:r>
    </w:p>
    <w:p w:rsidR="00670519" w:rsidRDefault="00670519" w:rsidP="008E750C">
      <w:pPr>
        <w:spacing w:line="240" w:lineRule="auto"/>
        <w:ind w:left="1440" w:hanging="720"/>
        <w:contextualSpacing/>
        <w:rPr>
          <w:rFonts w:cs="Arial"/>
          <w:szCs w:val="22"/>
        </w:rPr>
      </w:pPr>
    </w:p>
    <w:p w:rsidR="00D879F8" w:rsidRPr="00D879F8" w:rsidRDefault="00670519" w:rsidP="008E750C">
      <w:pPr>
        <w:spacing w:line="240" w:lineRule="auto"/>
        <w:ind w:left="1440" w:hanging="720"/>
        <w:contextualSpacing/>
        <w:rPr>
          <w:rFonts w:cs="Arial"/>
          <w:szCs w:val="22"/>
        </w:rPr>
      </w:pPr>
      <w:r>
        <w:rPr>
          <w:rFonts w:cs="Arial"/>
          <w:szCs w:val="22"/>
        </w:rPr>
        <w:t>5.1.5</w:t>
      </w:r>
      <w:r>
        <w:rPr>
          <w:rFonts w:cs="Arial"/>
          <w:szCs w:val="22"/>
        </w:rPr>
        <w:tab/>
      </w:r>
      <w:r w:rsidR="00D879F8" w:rsidRPr="00D879F8">
        <w:rPr>
          <w:rFonts w:cs="Arial"/>
          <w:szCs w:val="22"/>
        </w:rPr>
        <w:t xml:space="preserve">Key Statement EC2 </w:t>
      </w:r>
      <w:r>
        <w:rPr>
          <w:rFonts w:cs="Arial"/>
          <w:szCs w:val="22"/>
        </w:rPr>
        <w:t xml:space="preserve">of the Ribble Valley Core Strategy </w:t>
      </w:r>
      <w:r w:rsidR="00D879F8" w:rsidRPr="00D879F8">
        <w:rPr>
          <w:rFonts w:cs="Arial"/>
          <w:szCs w:val="22"/>
        </w:rPr>
        <w:t>states that proposals that have an adverse impact on existing community facilities will only be permitted as an exception where the proposed development would bring defined and demonstrable benefits and states that the Council will require robust evidence that much needed smaller retail and other facilities in the more rural parts of the area are no longer viable before considering other forms of use. Policy DMR3 requires ground floor commercial premises (including community related commercial premises) within village boundaries to have been offered for sale on the open market for a period of at least 12 months before change of use to residential accommodation and demonstration that change of use will not lead to adverse effects of the local economy. Policy DMB1 requires an assessment to be made of the potential economic and social impact caused by the loss of employment opportunities</w:t>
      </w:r>
    </w:p>
    <w:p w:rsidR="00D879F8" w:rsidRPr="00D879F8" w:rsidRDefault="00D879F8" w:rsidP="00D879F8">
      <w:pPr>
        <w:spacing w:line="240" w:lineRule="auto"/>
        <w:ind w:left="720" w:hanging="720"/>
        <w:contextualSpacing/>
        <w:rPr>
          <w:rFonts w:cs="Arial"/>
          <w:szCs w:val="22"/>
        </w:rPr>
      </w:pPr>
    </w:p>
    <w:p w:rsidR="00D879F8" w:rsidRPr="00D879F8" w:rsidRDefault="008E750C" w:rsidP="008E750C">
      <w:pPr>
        <w:spacing w:line="240" w:lineRule="auto"/>
        <w:ind w:left="1440" w:hanging="720"/>
        <w:contextualSpacing/>
        <w:rPr>
          <w:rFonts w:cs="Arial"/>
          <w:szCs w:val="22"/>
        </w:rPr>
      </w:pPr>
      <w:r>
        <w:rPr>
          <w:rFonts w:cs="Arial"/>
          <w:szCs w:val="22"/>
        </w:rPr>
        <w:t>5.1.</w:t>
      </w:r>
      <w:r w:rsidR="004118A0">
        <w:rPr>
          <w:rFonts w:cs="Arial"/>
          <w:szCs w:val="22"/>
        </w:rPr>
        <w:t>6</w:t>
      </w:r>
      <w:r>
        <w:rPr>
          <w:rFonts w:cs="Arial"/>
          <w:szCs w:val="22"/>
        </w:rPr>
        <w:tab/>
      </w:r>
      <w:r w:rsidR="00D879F8" w:rsidRPr="00D879F8">
        <w:rPr>
          <w:rFonts w:cs="Arial"/>
          <w:szCs w:val="22"/>
        </w:rPr>
        <w:t xml:space="preserve">The village of Grindleton has a limited number of facilities but this is not unexpected for a settlement of its size; nearby villages of West Bradford and Chatburn each have only one public house. There are two public houses located within Grindleton; the Duke of York and the Buck Inn on the opposite site of Sawley Road around 30-40 metres from the application site; both are currently closed. In addition, Grindleton Pavilion is an important community facility providing meeting rooms, a kitchen and bar and there are numerous community groups that operate classes/meetings from this building. Resident’s objections note that the Buck Inn closed in November 2018 and therefore there is no public house open in the village at this time. In terms of the wording of Key Statement EC2, it is not possible to conclude that there would be no adverse impact on community facilities as any loss in the range and choice would cause some harm. </w:t>
      </w:r>
    </w:p>
    <w:p w:rsidR="00D879F8" w:rsidRPr="00D879F8" w:rsidRDefault="00D879F8" w:rsidP="00D879F8">
      <w:pPr>
        <w:spacing w:line="240" w:lineRule="auto"/>
        <w:ind w:left="720" w:hanging="720"/>
        <w:contextualSpacing/>
        <w:rPr>
          <w:rFonts w:cs="Arial"/>
          <w:szCs w:val="22"/>
        </w:rPr>
      </w:pPr>
    </w:p>
    <w:p w:rsidR="00D879F8" w:rsidRPr="00D879F8" w:rsidRDefault="008E750C" w:rsidP="008E750C">
      <w:pPr>
        <w:spacing w:line="240" w:lineRule="auto"/>
        <w:ind w:left="1440" w:hanging="720"/>
        <w:contextualSpacing/>
        <w:rPr>
          <w:rFonts w:cs="Arial"/>
          <w:szCs w:val="22"/>
        </w:rPr>
      </w:pPr>
      <w:r>
        <w:rPr>
          <w:rFonts w:cs="Arial"/>
          <w:szCs w:val="22"/>
        </w:rPr>
        <w:t>5.1.</w:t>
      </w:r>
      <w:r w:rsidR="004118A0">
        <w:rPr>
          <w:rFonts w:cs="Arial"/>
          <w:szCs w:val="22"/>
        </w:rPr>
        <w:t>7</w:t>
      </w:r>
      <w:r>
        <w:rPr>
          <w:rFonts w:cs="Arial"/>
          <w:szCs w:val="22"/>
        </w:rPr>
        <w:tab/>
      </w:r>
      <w:r w:rsidR="00D879F8" w:rsidRPr="00D879F8">
        <w:rPr>
          <w:rFonts w:cs="Arial"/>
          <w:szCs w:val="22"/>
        </w:rPr>
        <w:t xml:space="preserve">It is noted that the Buck Inn was successfully nominated as an Asset of Community Value (ACV) in January 2019 which provides opportunity for a community interest group a right to bid for the asset in the event that the existing owner seeks to dispose of it. An ACV is defined as, “A building or other land is an asset of community value if its main use has recently been or is presently used to further the social wellbeing or social interests of the local community and could do so in the future.” </w:t>
      </w:r>
    </w:p>
    <w:p w:rsidR="008E750C" w:rsidRDefault="008E750C" w:rsidP="00D879F8">
      <w:pPr>
        <w:spacing w:line="240" w:lineRule="auto"/>
        <w:ind w:left="720" w:hanging="720"/>
        <w:contextualSpacing/>
        <w:rPr>
          <w:rFonts w:cs="Arial"/>
          <w:szCs w:val="22"/>
        </w:rPr>
      </w:pPr>
      <w:r>
        <w:rPr>
          <w:rFonts w:cs="Arial"/>
          <w:szCs w:val="22"/>
        </w:rPr>
        <w:tab/>
      </w:r>
    </w:p>
    <w:p w:rsidR="00281200" w:rsidRDefault="008E750C" w:rsidP="008E750C">
      <w:pPr>
        <w:spacing w:line="240" w:lineRule="auto"/>
        <w:ind w:left="1440" w:hanging="720"/>
        <w:contextualSpacing/>
        <w:rPr>
          <w:rFonts w:cs="Arial"/>
          <w:szCs w:val="22"/>
        </w:rPr>
      </w:pPr>
      <w:r>
        <w:rPr>
          <w:rFonts w:cs="Arial"/>
          <w:szCs w:val="22"/>
        </w:rPr>
        <w:t>5.1.</w:t>
      </w:r>
      <w:r w:rsidR="004118A0">
        <w:rPr>
          <w:rFonts w:cs="Arial"/>
          <w:szCs w:val="22"/>
        </w:rPr>
        <w:t>8</w:t>
      </w:r>
      <w:r>
        <w:rPr>
          <w:rFonts w:cs="Arial"/>
          <w:szCs w:val="22"/>
        </w:rPr>
        <w:tab/>
      </w:r>
      <w:r w:rsidR="00D879F8" w:rsidRPr="00D879F8">
        <w:rPr>
          <w:rFonts w:cs="Arial"/>
          <w:szCs w:val="22"/>
        </w:rPr>
        <w:t>On 3rd September 2019, the Duke of York was also included on the list of Assets of Community Value. The community benefits of a public house in a rural community such as Grindleton are noted; they can contribute to social cohesion and community spirit and are a facility where local people can meet and convene. It is apparent from the level of public objection to the proposed change of use</w:t>
      </w:r>
      <w:r w:rsidR="00EC7BF0">
        <w:rPr>
          <w:rFonts w:cs="Arial"/>
          <w:szCs w:val="22"/>
        </w:rPr>
        <w:t xml:space="preserve"> </w:t>
      </w:r>
      <w:r w:rsidR="00D879F8" w:rsidRPr="00D879F8">
        <w:rPr>
          <w:rFonts w:cs="Arial"/>
          <w:szCs w:val="22"/>
        </w:rPr>
        <w:t xml:space="preserve">that the Duke of York is an asset that is valued by the community. </w:t>
      </w:r>
    </w:p>
    <w:p w:rsidR="00281200" w:rsidRDefault="00281200" w:rsidP="008E750C">
      <w:pPr>
        <w:spacing w:line="240" w:lineRule="auto"/>
        <w:ind w:left="1440" w:hanging="720"/>
        <w:contextualSpacing/>
        <w:rPr>
          <w:rFonts w:cs="Arial"/>
          <w:szCs w:val="22"/>
        </w:rPr>
      </w:pPr>
    </w:p>
    <w:p w:rsidR="00D879F8" w:rsidRPr="00D879F8" w:rsidRDefault="00281200" w:rsidP="008E750C">
      <w:pPr>
        <w:spacing w:line="240" w:lineRule="auto"/>
        <w:ind w:left="1440" w:hanging="720"/>
        <w:contextualSpacing/>
        <w:rPr>
          <w:rFonts w:cs="Arial"/>
          <w:szCs w:val="22"/>
        </w:rPr>
      </w:pPr>
      <w:r>
        <w:rPr>
          <w:rFonts w:cs="Arial"/>
          <w:szCs w:val="22"/>
        </w:rPr>
        <w:t>5.1.</w:t>
      </w:r>
      <w:r w:rsidR="004118A0">
        <w:rPr>
          <w:rFonts w:cs="Arial"/>
          <w:szCs w:val="22"/>
        </w:rPr>
        <w:t>9</w:t>
      </w:r>
      <w:r>
        <w:rPr>
          <w:rFonts w:cs="Arial"/>
          <w:szCs w:val="22"/>
        </w:rPr>
        <w:tab/>
        <w:t>It is noted h</w:t>
      </w:r>
      <w:r w:rsidR="00D879F8" w:rsidRPr="00D879F8">
        <w:rPr>
          <w:rFonts w:cs="Arial"/>
          <w:szCs w:val="22"/>
        </w:rPr>
        <w:t>owever</w:t>
      </w:r>
      <w:r>
        <w:rPr>
          <w:rFonts w:cs="Arial"/>
          <w:szCs w:val="22"/>
        </w:rPr>
        <w:t xml:space="preserve"> that, should consent be granted,</w:t>
      </w:r>
      <w:r w:rsidR="00D879F8" w:rsidRPr="00D879F8">
        <w:rPr>
          <w:rFonts w:cs="Arial"/>
          <w:szCs w:val="22"/>
        </w:rPr>
        <w:t xml:space="preserve"> there would remain a public house within the settlement a short distance from the application site</w:t>
      </w:r>
      <w:r>
        <w:rPr>
          <w:rFonts w:cs="Arial"/>
          <w:szCs w:val="22"/>
        </w:rPr>
        <w:t>. The Buck Inn has been closed since late 2018 and is currently being marketed for sale.</w:t>
      </w:r>
      <w:r w:rsidR="00D879F8" w:rsidRPr="00D879F8">
        <w:rPr>
          <w:rFonts w:cs="Arial"/>
          <w:szCs w:val="22"/>
        </w:rPr>
        <w:t xml:space="preserve"> </w:t>
      </w:r>
      <w:r w:rsidR="001D5A13">
        <w:rPr>
          <w:rFonts w:cs="Arial"/>
          <w:szCs w:val="22"/>
        </w:rPr>
        <w:t xml:space="preserve"> Whilst at present there is no public house open in the village of Grindleton, the conversion of the Duke of York to a private dwelling would place greater importance of The Buck Inn as a valued community facility.</w:t>
      </w:r>
    </w:p>
    <w:p w:rsidR="00D879F8" w:rsidRPr="00D879F8" w:rsidRDefault="00D879F8" w:rsidP="00730780">
      <w:pPr>
        <w:spacing w:line="240" w:lineRule="auto"/>
        <w:contextualSpacing/>
        <w:rPr>
          <w:rFonts w:cs="Arial"/>
          <w:szCs w:val="22"/>
        </w:rPr>
      </w:pPr>
    </w:p>
    <w:p w:rsidR="004D2BDD" w:rsidRDefault="008E750C" w:rsidP="008E750C">
      <w:pPr>
        <w:spacing w:line="240" w:lineRule="auto"/>
        <w:ind w:left="1440" w:hanging="720"/>
        <w:contextualSpacing/>
        <w:rPr>
          <w:rFonts w:cs="Arial"/>
          <w:szCs w:val="22"/>
        </w:rPr>
      </w:pPr>
      <w:r>
        <w:rPr>
          <w:rFonts w:cs="Arial"/>
          <w:szCs w:val="22"/>
        </w:rPr>
        <w:t>5.1.</w:t>
      </w:r>
      <w:r w:rsidR="004118A0">
        <w:rPr>
          <w:rFonts w:cs="Arial"/>
          <w:szCs w:val="22"/>
        </w:rPr>
        <w:t>10</w:t>
      </w:r>
      <w:r>
        <w:rPr>
          <w:rFonts w:cs="Arial"/>
          <w:szCs w:val="22"/>
        </w:rPr>
        <w:tab/>
      </w:r>
      <w:proofErr w:type="gramStart"/>
      <w:r w:rsidR="00730780" w:rsidRPr="00730780">
        <w:rPr>
          <w:rFonts w:cs="Arial"/>
          <w:szCs w:val="22"/>
        </w:rPr>
        <w:t>Taking into account</w:t>
      </w:r>
      <w:proofErr w:type="gramEnd"/>
      <w:r w:rsidR="00730780" w:rsidRPr="00730780">
        <w:rPr>
          <w:rFonts w:cs="Arial"/>
          <w:szCs w:val="22"/>
        </w:rPr>
        <w:t xml:space="preserve"> that </w:t>
      </w:r>
      <w:r w:rsidR="00680051">
        <w:rPr>
          <w:rFonts w:cs="Arial"/>
          <w:szCs w:val="22"/>
        </w:rPr>
        <w:t>the planning application</w:t>
      </w:r>
      <w:r w:rsidR="00730780" w:rsidRPr="00730780">
        <w:rPr>
          <w:rFonts w:cs="Arial"/>
          <w:szCs w:val="22"/>
        </w:rPr>
        <w:t xml:space="preserve"> has generated considerable </w:t>
      </w:r>
      <w:r w:rsidR="00680051">
        <w:rPr>
          <w:rFonts w:cs="Arial"/>
          <w:szCs w:val="22"/>
        </w:rPr>
        <w:t xml:space="preserve">local public </w:t>
      </w:r>
      <w:r w:rsidR="00730780">
        <w:rPr>
          <w:rFonts w:cs="Arial"/>
          <w:szCs w:val="22"/>
        </w:rPr>
        <w:t>objection</w:t>
      </w:r>
      <w:r w:rsidR="00730780" w:rsidRPr="00730780">
        <w:rPr>
          <w:rFonts w:cs="Arial"/>
          <w:szCs w:val="22"/>
        </w:rPr>
        <w:t xml:space="preserve"> and has been listed as an ACV, </w:t>
      </w:r>
      <w:r w:rsidR="001D5A13">
        <w:rPr>
          <w:rFonts w:cs="Arial"/>
          <w:szCs w:val="22"/>
        </w:rPr>
        <w:t>the Duke of York must be</w:t>
      </w:r>
      <w:r w:rsidR="00730780" w:rsidRPr="00730780">
        <w:rPr>
          <w:rFonts w:cs="Arial"/>
          <w:szCs w:val="22"/>
        </w:rPr>
        <w:t xml:space="preserve"> deemed to be a valued local facility.</w:t>
      </w:r>
      <w:r w:rsidR="00730780">
        <w:rPr>
          <w:rFonts w:cs="Arial"/>
          <w:szCs w:val="22"/>
        </w:rPr>
        <w:t xml:space="preserve"> However, </w:t>
      </w:r>
      <w:r w:rsidR="001D5A13">
        <w:rPr>
          <w:rFonts w:cs="Arial"/>
          <w:szCs w:val="22"/>
        </w:rPr>
        <w:t>whilst</w:t>
      </w:r>
      <w:r w:rsidR="001D5A13" w:rsidRPr="00D879F8">
        <w:rPr>
          <w:rFonts w:cs="Arial"/>
          <w:szCs w:val="22"/>
        </w:rPr>
        <w:t xml:space="preserve"> </w:t>
      </w:r>
      <w:r w:rsidR="00D879F8" w:rsidRPr="00D879F8">
        <w:rPr>
          <w:rFonts w:cs="Arial"/>
          <w:szCs w:val="22"/>
        </w:rPr>
        <w:t xml:space="preserve">the benefits of a public house in a small village such as Grindleton are noted, it is deemed that any harm to the local economy and social well-being of the residents of Grindleton </w:t>
      </w:r>
      <w:r w:rsidR="001D5A13">
        <w:rPr>
          <w:rFonts w:cs="Arial"/>
          <w:szCs w:val="22"/>
        </w:rPr>
        <w:t>that would arise from the loss of the Duke of York public house</w:t>
      </w:r>
      <w:r w:rsidR="001D5A13" w:rsidRPr="00D879F8">
        <w:rPr>
          <w:rFonts w:cs="Arial"/>
          <w:szCs w:val="22"/>
        </w:rPr>
        <w:t xml:space="preserve"> </w:t>
      </w:r>
      <w:r w:rsidR="00D879F8" w:rsidRPr="00D879F8">
        <w:rPr>
          <w:rFonts w:cs="Arial"/>
          <w:szCs w:val="22"/>
        </w:rPr>
        <w:t xml:space="preserve">is not so severe as to warrant refusal of this application given </w:t>
      </w:r>
      <w:r w:rsidR="001D5A13">
        <w:rPr>
          <w:rFonts w:cs="Arial"/>
          <w:szCs w:val="22"/>
        </w:rPr>
        <w:t>that there is</w:t>
      </w:r>
      <w:r w:rsidR="00D879F8" w:rsidRPr="00D879F8">
        <w:rPr>
          <w:rFonts w:cs="Arial"/>
          <w:szCs w:val="22"/>
        </w:rPr>
        <w:t xml:space="preserve"> another public house in the village</w:t>
      </w:r>
      <w:r w:rsidR="001D5A13">
        <w:rPr>
          <w:rFonts w:cs="Arial"/>
          <w:szCs w:val="22"/>
        </w:rPr>
        <w:t>, albeit closed at this time.</w:t>
      </w:r>
    </w:p>
    <w:p w:rsidR="004D2BDD" w:rsidRDefault="004D2BDD" w:rsidP="008E750C">
      <w:pPr>
        <w:spacing w:line="240" w:lineRule="auto"/>
        <w:ind w:left="1440" w:hanging="720"/>
        <w:contextualSpacing/>
        <w:rPr>
          <w:rFonts w:cs="Arial"/>
          <w:szCs w:val="22"/>
        </w:rPr>
      </w:pPr>
    </w:p>
    <w:p w:rsidR="00D879F8" w:rsidRDefault="004D2BDD" w:rsidP="004D2BDD">
      <w:pPr>
        <w:spacing w:line="240" w:lineRule="auto"/>
        <w:ind w:left="1440" w:hanging="720"/>
        <w:contextualSpacing/>
        <w:rPr>
          <w:rFonts w:cs="Arial"/>
          <w:szCs w:val="22"/>
        </w:rPr>
      </w:pPr>
      <w:r>
        <w:rPr>
          <w:rFonts w:cs="Arial"/>
          <w:szCs w:val="22"/>
        </w:rPr>
        <w:t>5.1.1</w:t>
      </w:r>
      <w:r w:rsidR="004118A0">
        <w:rPr>
          <w:rFonts w:cs="Arial"/>
          <w:szCs w:val="22"/>
        </w:rPr>
        <w:t>1</w:t>
      </w:r>
      <w:r>
        <w:rPr>
          <w:rFonts w:cs="Arial"/>
          <w:szCs w:val="22"/>
        </w:rPr>
        <w:tab/>
      </w:r>
      <w:r w:rsidR="00730780">
        <w:rPr>
          <w:rFonts w:cs="Arial"/>
          <w:szCs w:val="22"/>
        </w:rPr>
        <w:t>Nonetheless</w:t>
      </w:r>
      <w:r w:rsidR="00556A94">
        <w:rPr>
          <w:rFonts w:cs="Arial"/>
          <w:szCs w:val="22"/>
        </w:rPr>
        <w:t xml:space="preserve">, the proposals would lead to the loss of a </w:t>
      </w:r>
      <w:r w:rsidR="001D5A13">
        <w:rPr>
          <w:rFonts w:cs="Arial"/>
          <w:szCs w:val="22"/>
        </w:rPr>
        <w:t xml:space="preserve">valued </w:t>
      </w:r>
      <w:r w:rsidR="00556A94">
        <w:rPr>
          <w:rFonts w:cs="Arial"/>
          <w:szCs w:val="22"/>
        </w:rPr>
        <w:t>community facility that would be harmful to the local community and would weigh against the proposals in the overall planning balance.</w:t>
      </w:r>
      <w:r>
        <w:rPr>
          <w:rFonts w:cs="Arial"/>
          <w:szCs w:val="22"/>
        </w:rPr>
        <w:t xml:space="preserve"> Undoubtedly </w:t>
      </w:r>
      <w:r w:rsidRPr="00D879F8">
        <w:rPr>
          <w:rFonts w:cs="Arial"/>
          <w:szCs w:val="22"/>
        </w:rPr>
        <w:t>the building’s retention as a public house (or other community facility/employment generating us</w:t>
      </w:r>
      <w:r>
        <w:rPr>
          <w:rFonts w:cs="Arial"/>
          <w:szCs w:val="22"/>
        </w:rPr>
        <w:t>e)</w:t>
      </w:r>
      <w:r w:rsidRPr="00D879F8">
        <w:rPr>
          <w:rFonts w:cs="Arial"/>
          <w:szCs w:val="22"/>
        </w:rPr>
        <w:t xml:space="preserve"> would be more socially and economically beneficial to the community than its conversion to a </w:t>
      </w:r>
      <w:r>
        <w:rPr>
          <w:rFonts w:cs="Arial"/>
          <w:szCs w:val="22"/>
        </w:rPr>
        <w:t xml:space="preserve">private </w:t>
      </w:r>
      <w:proofErr w:type="spellStart"/>
      <w:r w:rsidRPr="00D879F8">
        <w:rPr>
          <w:rFonts w:cs="Arial"/>
          <w:szCs w:val="22"/>
        </w:rPr>
        <w:t>dwellinghouse</w:t>
      </w:r>
      <w:proofErr w:type="spellEnd"/>
      <w:r w:rsidRPr="00D879F8">
        <w:rPr>
          <w:rFonts w:cs="Arial"/>
          <w:szCs w:val="22"/>
        </w:rPr>
        <w:t>.</w:t>
      </w:r>
      <w:r>
        <w:rPr>
          <w:rFonts w:cs="Arial"/>
          <w:szCs w:val="22"/>
        </w:rPr>
        <w:t xml:space="preserve"> </w:t>
      </w:r>
      <w:r w:rsidR="00D879F8" w:rsidRPr="00D879F8">
        <w:rPr>
          <w:rFonts w:cs="Arial"/>
          <w:szCs w:val="22"/>
        </w:rPr>
        <w:t xml:space="preserve">Further, the building’s status as a Listed Building in </w:t>
      </w:r>
      <w:r w:rsidR="00730780">
        <w:rPr>
          <w:rFonts w:cs="Arial"/>
          <w:szCs w:val="22"/>
        </w:rPr>
        <w:t xml:space="preserve">the </w:t>
      </w:r>
      <w:r w:rsidR="00D879F8" w:rsidRPr="00D879F8">
        <w:rPr>
          <w:rFonts w:cs="Arial"/>
          <w:szCs w:val="22"/>
        </w:rPr>
        <w:lastRenderedPageBreak/>
        <w:t>Conservation Area is a fundamental consideration</w:t>
      </w:r>
      <w:r w:rsidR="00680051">
        <w:rPr>
          <w:rFonts w:cs="Arial"/>
          <w:szCs w:val="22"/>
        </w:rPr>
        <w:t xml:space="preserve"> that will be discussed in detail below.</w:t>
      </w:r>
    </w:p>
    <w:p w:rsidR="00556A94" w:rsidRDefault="00556A94" w:rsidP="00156A3C">
      <w:pPr>
        <w:spacing w:line="240" w:lineRule="auto"/>
        <w:contextualSpacing/>
        <w:rPr>
          <w:rFonts w:cs="Arial"/>
          <w:szCs w:val="22"/>
        </w:rPr>
      </w:pPr>
    </w:p>
    <w:p w:rsidR="00556A94" w:rsidRPr="00D879F8" w:rsidRDefault="00556A94" w:rsidP="00556A94">
      <w:pPr>
        <w:spacing w:line="240" w:lineRule="auto"/>
        <w:ind w:left="720" w:hanging="720"/>
        <w:contextualSpacing/>
        <w:rPr>
          <w:rFonts w:cs="Arial"/>
          <w:szCs w:val="22"/>
        </w:rPr>
      </w:pPr>
      <w:r>
        <w:rPr>
          <w:rFonts w:cs="Arial"/>
          <w:szCs w:val="22"/>
        </w:rPr>
        <w:t>5.</w:t>
      </w:r>
      <w:r w:rsidR="00631B88">
        <w:rPr>
          <w:rFonts w:cs="Arial"/>
          <w:szCs w:val="22"/>
        </w:rPr>
        <w:t>2</w:t>
      </w:r>
      <w:r>
        <w:rPr>
          <w:rFonts w:cs="Arial"/>
          <w:szCs w:val="22"/>
        </w:rPr>
        <w:tab/>
      </w:r>
      <w:r w:rsidRPr="008E750C">
        <w:rPr>
          <w:rFonts w:cs="Arial"/>
          <w:szCs w:val="22"/>
          <w:u w:val="single"/>
        </w:rPr>
        <w:t>Marketing</w:t>
      </w:r>
    </w:p>
    <w:p w:rsidR="00556A94" w:rsidRDefault="00556A94" w:rsidP="00556A94">
      <w:pPr>
        <w:spacing w:line="240" w:lineRule="auto"/>
        <w:ind w:left="720" w:hanging="720"/>
        <w:contextualSpacing/>
        <w:rPr>
          <w:rFonts w:cs="Arial"/>
          <w:szCs w:val="22"/>
        </w:rPr>
      </w:pPr>
    </w:p>
    <w:p w:rsidR="00370775" w:rsidRDefault="00556A94" w:rsidP="0063489A">
      <w:pPr>
        <w:spacing w:line="240" w:lineRule="auto"/>
        <w:ind w:left="1440" w:hanging="720"/>
        <w:contextualSpacing/>
      </w:pPr>
      <w:r>
        <w:rPr>
          <w:rFonts w:cs="Arial"/>
          <w:szCs w:val="22"/>
        </w:rPr>
        <w:t>5.</w:t>
      </w:r>
      <w:r w:rsidR="00631B88">
        <w:rPr>
          <w:rFonts w:cs="Arial"/>
          <w:szCs w:val="22"/>
        </w:rPr>
        <w:t>2</w:t>
      </w:r>
      <w:r>
        <w:rPr>
          <w:rFonts w:cs="Arial"/>
          <w:szCs w:val="22"/>
        </w:rPr>
        <w:t>.1</w:t>
      </w:r>
      <w:r>
        <w:rPr>
          <w:rFonts w:cs="Arial"/>
          <w:szCs w:val="22"/>
        </w:rPr>
        <w:tab/>
      </w:r>
      <w:r w:rsidR="00370775" w:rsidRPr="0067187C">
        <w:t xml:space="preserve">Policy DMB1 of the Core Strategy relates to supporting the local economy </w:t>
      </w:r>
      <w:r w:rsidR="00370775" w:rsidRPr="0063489A">
        <w:t>and requires proposals for non-employment generating uses, such as the current proposals, to</w:t>
      </w:r>
      <w:r w:rsidR="0067187C" w:rsidRPr="0063489A">
        <w:t xml:space="preserve"> seek to secure an employment generating use in the first instance. Such attempts need to be</w:t>
      </w:r>
      <w:r w:rsidR="00370775" w:rsidRPr="0063489A">
        <w:t>:</w:t>
      </w:r>
    </w:p>
    <w:p w:rsidR="0063489A" w:rsidRPr="0063489A" w:rsidRDefault="0063489A" w:rsidP="0063489A">
      <w:pPr>
        <w:spacing w:line="240" w:lineRule="auto"/>
        <w:ind w:left="1440" w:hanging="720"/>
        <w:contextualSpacing/>
        <w:rPr>
          <w:rFonts w:cs="Arial"/>
          <w:szCs w:val="22"/>
        </w:rPr>
      </w:pPr>
    </w:p>
    <w:p w:rsidR="0067187C" w:rsidRPr="0067187C" w:rsidRDefault="0067187C" w:rsidP="0063489A">
      <w:pPr>
        <w:pStyle w:val="ListParagraph"/>
        <w:numPr>
          <w:ilvl w:val="0"/>
          <w:numId w:val="13"/>
        </w:numPr>
        <w:spacing w:line="240" w:lineRule="auto"/>
        <w:contextualSpacing/>
      </w:pPr>
      <w:r w:rsidRPr="0063489A">
        <w:rPr>
          <w:rFonts w:cs="Times New Roman"/>
          <w:color w:val="auto"/>
          <w:kern w:val="0"/>
          <w:sz w:val="22"/>
          <w:lang w:eastAsia="en-US"/>
        </w:rPr>
        <w:t xml:space="preserve">supported by evidence </w:t>
      </w:r>
      <w:r w:rsidRPr="0067187C">
        <w:rPr>
          <w:rFonts w:cs="Times New Roman"/>
          <w:color w:val="auto"/>
          <w:kern w:val="0"/>
          <w:sz w:val="22"/>
          <w:lang w:eastAsia="en-US"/>
        </w:rPr>
        <w:t xml:space="preserve">that the property/ business has been marketed for business use for a minimum period of six months; </w:t>
      </w:r>
      <w:r>
        <w:rPr>
          <w:rFonts w:cs="Times New Roman"/>
          <w:color w:val="auto"/>
          <w:kern w:val="0"/>
          <w:sz w:val="22"/>
          <w:lang w:eastAsia="en-US"/>
        </w:rPr>
        <w:t>or</w:t>
      </w:r>
    </w:p>
    <w:p w:rsidR="00370775" w:rsidRPr="0067187C" w:rsidRDefault="0067187C" w:rsidP="0063489A">
      <w:pPr>
        <w:pStyle w:val="ListParagraph"/>
        <w:numPr>
          <w:ilvl w:val="0"/>
          <w:numId w:val="13"/>
        </w:numPr>
        <w:spacing w:line="240" w:lineRule="auto"/>
        <w:contextualSpacing/>
      </w:pPr>
      <w:r w:rsidRPr="0067187C">
        <w:rPr>
          <w:rFonts w:cs="Times New Roman"/>
          <w:color w:val="auto"/>
          <w:kern w:val="0"/>
          <w:sz w:val="22"/>
          <w:lang w:eastAsia="en-US"/>
        </w:rPr>
        <w:t>information that demonstrates to the council’s satisfaction that the current use is not viable for employment purpos</w:t>
      </w:r>
      <w:r>
        <w:rPr>
          <w:rFonts w:cs="Times New Roman"/>
          <w:color w:val="auto"/>
          <w:kern w:val="0"/>
          <w:sz w:val="22"/>
          <w:lang w:eastAsia="en-US"/>
        </w:rPr>
        <w:t>es.</w:t>
      </w:r>
    </w:p>
    <w:p w:rsidR="00556A94" w:rsidRPr="00D879F8" w:rsidRDefault="00556A94" w:rsidP="0063489A">
      <w:pPr>
        <w:spacing w:line="240" w:lineRule="auto"/>
        <w:contextualSpacing/>
        <w:rPr>
          <w:rFonts w:cs="Arial"/>
          <w:szCs w:val="22"/>
        </w:rPr>
      </w:pPr>
    </w:p>
    <w:p w:rsidR="00FB59B5" w:rsidRDefault="00556A94" w:rsidP="00556A94">
      <w:pPr>
        <w:spacing w:line="240" w:lineRule="auto"/>
        <w:ind w:left="1440" w:hanging="720"/>
        <w:contextualSpacing/>
        <w:rPr>
          <w:rFonts w:cs="Arial"/>
          <w:szCs w:val="22"/>
        </w:rPr>
      </w:pPr>
      <w:r>
        <w:rPr>
          <w:rFonts w:cs="Arial"/>
          <w:szCs w:val="22"/>
        </w:rPr>
        <w:t>5.</w:t>
      </w:r>
      <w:r w:rsidR="00631B88">
        <w:rPr>
          <w:rFonts w:cs="Arial"/>
          <w:szCs w:val="22"/>
        </w:rPr>
        <w:t>2</w:t>
      </w:r>
      <w:r>
        <w:rPr>
          <w:rFonts w:cs="Arial"/>
          <w:szCs w:val="22"/>
        </w:rPr>
        <w:t>.</w:t>
      </w:r>
      <w:r w:rsidR="0063489A">
        <w:rPr>
          <w:rFonts w:cs="Arial"/>
          <w:szCs w:val="22"/>
        </w:rPr>
        <w:t>2</w:t>
      </w:r>
      <w:r>
        <w:rPr>
          <w:rFonts w:cs="Arial"/>
          <w:szCs w:val="22"/>
        </w:rPr>
        <w:tab/>
      </w:r>
      <w:r w:rsidRPr="00D879F8">
        <w:rPr>
          <w:rFonts w:cs="Arial"/>
          <w:szCs w:val="22"/>
        </w:rPr>
        <w:t xml:space="preserve">Following the refusal of planning application 3/2019/0049 in April 2019, the applicant immediately commenced marketing of the premises with commercial estate agents, </w:t>
      </w:r>
      <w:proofErr w:type="spellStart"/>
      <w:r w:rsidRPr="00D879F8">
        <w:rPr>
          <w:rFonts w:cs="Arial"/>
          <w:szCs w:val="22"/>
        </w:rPr>
        <w:t>Whiteacres</w:t>
      </w:r>
      <w:proofErr w:type="spellEnd"/>
      <w:r w:rsidR="00FB59B5">
        <w:rPr>
          <w:rFonts w:cs="Arial"/>
          <w:szCs w:val="22"/>
        </w:rPr>
        <w:t xml:space="preserve">. Following the inclusion of </w:t>
      </w:r>
      <w:r w:rsidR="00FB59B5" w:rsidRPr="00D879F8">
        <w:rPr>
          <w:rFonts w:cs="Arial"/>
          <w:szCs w:val="22"/>
        </w:rPr>
        <w:t xml:space="preserve">the Duke of York </w:t>
      </w:r>
      <w:r w:rsidR="00FB59B5">
        <w:rPr>
          <w:rFonts w:cs="Arial"/>
          <w:szCs w:val="22"/>
        </w:rPr>
        <w:t xml:space="preserve">on </w:t>
      </w:r>
      <w:r w:rsidR="00FB59B5" w:rsidRPr="00D879F8">
        <w:rPr>
          <w:rFonts w:cs="Arial"/>
          <w:szCs w:val="22"/>
        </w:rPr>
        <w:t>the list of Assets of Community Value</w:t>
      </w:r>
      <w:r w:rsidR="00FB59B5">
        <w:rPr>
          <w:rFonts w:cs="Arial"/>
          <w:szCs w:val="22"/>
        </w:rPr>
        <w:t xml:space="preserve"> in September 2019, </w:t>
      </w:r>
      <w:r w:rsidR="00FB59B5" w:rsidRPr="00D879F8">
        <w:rPr>
          <w:rFonts w:cs="Arial"/>
          <w:szCs w:val="22"/>
        </w:rPr>
        <w:t>Grindleton Community Pub Ltd</w:t>
      </w:r>
      <w:r w:rsidR="00FB59B5">
        <w:rPr>
          <w:rFonts w:cs="Arial"/>
          <w:szCs w:val="22"/>
        </w:rPr>
        <w:t xml:space="preserve"> (GCPL)</w:t>
      </w:r>
      <w:r w:rsidR="00FB59B5" w:rsidRPr="00D879F8">
        <w:rPr>
          <w:rFonts w:cs="Arial"/>
          <w:szCs w:val="22"/>
        </w:rPr>
        <w:t>, a Community Benefit Society established to raise funds necessary to purchase the Duke of York, undertake refurbishment work and appoint a tenant to run the business</w:t>
      </w:r>
      <w:r w:rsidR="00FB59B5">
        <w:rPr>
          <w:rFonts w:cs="Arial"/>
          <w:szCs w:val="22"/>
        </w:rPr>
        <w:t xml:space="preserve">, </w:t>
      </w:r>
      <w:r w:rsidR="00FB59B5">
        <w:rPr>
          <w:szCs w:val="22"/>
        </w:rPr>
        <w:t xml:space="preserve">asked RVBC to be treated as potential bidders for the property. As required by </w:t>
      </w:r>
      <w:r w:rsidR="000F0412">
        <w:rPr>
          <w:szCs w:val="22"/>
        </w:rPr>
        <w:t xml:space="preserve">the Localism Act 2011, this triggered a six-month exclusivity period during which </w:t>
      </w:r>
      <w:r w:rsidR="000F0412" w:rsidRPr="000F0412">
        <w:rPr>
          <w:szCs w:val="22"/>
        </w:rPr>
        <w:t>the owner may continue to market and negotiate sales, but may not exchange contracts (or enter into a binding contract to do so later)</w:t>
      </w:r>
      <w:r w:rsidR="000F0412">
        <w:rPr>
          <w:szCs w:val="22"/>
        </w:rPr>
        <w:t xml:space="preserve"> with potential buyers with the exception of </w:t>
      </w:r>
      <w:r w:rsidR="000F0412" w:rsidRPr="000F0412">
        <w:rPr>
          <w:szCs w:val="22"/>
        </w:rPr>
        <w:t xml:space="preserve">a community interest group during the moratorium period.   </w:t>
      </w:r>
    </w:p>
    <w:p w:rsidR="00FB59B5" w:rsidRDefault="00FB59B5" w:rsidP="007E0AAA">
      <w:pPr>
        <w:spacing w:line="240" w:lineRule="auto"/>
        <w:contextualSpacing/>
        <w:rPr>
          <w:rFonts w:cs="Arial"/>
          <w:szCs w:val="22"/>
        </w:rPr>
      </w:pPr>
    </w:p>
    <w:p w:rsidR="00556A94" w:rsidRDefault="000F0412" w:rsidP="00797ABE">
      <w:pPr>
        <w:spacing w:line="240" w:lineRule="auto"/>
        <w:ind w:left="1440" w:hanging="720"/>
        <w:contextualSpacing/>
        <w:rPr>
          <w:rFonts w:cs="Arial"/>
          <w:szCs w:val="22"/>
        </w:rPr>
      </w:pPr>
      <w:r>
        <w:rPr>
          <w:rFonts w:cs="Arial"/>
          <w:szCs w:val="22"/>
        </w:rPr>
        <w:t>5.2.6</w:t>
      </w:r>
      <w:r>
        <w:rPr>
          <w:rFonts w:cs="Arial"/>
          <w:szCs w:val="22"/>
        </w:rPr>
        <w:tab/>
      </w:r>
      <w:proofErr w:type="spellStart"/>
      <w:r w:rsidRPr="00D879F8">
        <w:rPr>
          <w:rFonts w:cs="Arial"/>
          <w:szCs w:val="22"/>
        </w:rPr>
        <w:t>Whiteacre</w:t>
      </w:r>
      <w:proofErr w:type="spellEnd"/>
      <w:r>
        <w:rPr>
          <w:rFonts w:cs="Arial"/>
          <w:szCs w:val="22"/>
        </w:rPr>
        <w:t xml:space="preserve"> estate agents </w:t>
      </w:r>
      <w:r w:rsidR="00556A94" w:rsidRPr="00D879F8">
        <w:rPr>
          <w:rFonts w:cs="Arial"/>
          <w:szCs w:val="22"/>
        </w:rPr>
        <w:t xml:space="preserve">have provided a brief summary report of the marketing period April 2019 to February 2020. The sales brochure advertised the Duke of York as a stone-built restaurant/public house requiring full refurbishment with a purchase price at offers of over £325,000 on 250-year lease. </w:t>
      </w:r>
      <w:proofErr w:type="spellStart"/>
      <w:r w:rsidR="00556A94" w:rsidRPr="00D879F8">
        <w:rPr>
          <w:rFonts w:cs="Arial"/>
          <w:szCs w:val="22"/>
        </w:rPr>
        <w:t>Whiteacres</w:t>
      </w:r>
      <w:proofErr w:type="spellEnd"/>
      <w:r w:rsidR="00556A94" w:rsidRPr="00D879F8">
        <w:rPr>
          <w:rFonts w:cs="Arial"/>
          <w:szCs w:val="22"/>
        </w:rPr>
        <w:t xml:space="preserve"> </w:t>
      </w:r>
      <w:r w:rsidR="00797ABE">
        <w:rPr>
          <w:rFonts w:cs="Arial"/>
          <w:szCs w:val="22"/>
        </w:rPr>
        <w:t xml:space="preserve">report that they </w:t>
      </w:r>
      <w:r w:rsidR="00556A94" w:rsidRPr="00D879F8">
        <w:rPr>
          <w:rFonts w:cs="Arial"/>
          <w:szCs w:val="22"/>
        </w:rPr>
        <w:t>received a number of enquires but state that prospective buyers seemed deterred due to the fact the building was Grade II listed, there was another empty pub in the village and the building had been run as a pub/restaurant in the past but had ‘never made a long-term success’.</w:t>
      </w:r>
    </w:p>
    <w:p w:rsidR="00D04C93" w:rsidRDefault="00D04C93" w:rsidP="00797ABE">
      <w:pPr>
        <w:spacing w:line="240" w:lineRule="auto"/>
        <w:ind w:left="1440" w:hanging="720"/>
        <w:contextualSpacing/>
        <w:rPr>
          <w:rFonts w:cs="Arial"/>
          <w:szCs w:val="22"/>
        </w:rPr>
      </w:pPr>
    </w:p>
    <w:p w:rsidR="00D04C93" w:rsidRDefault="005E3DF6" w:rsidP="005E3DF6">
      <w:pPr>
        <w:spacing w:line="240" w:lineRule="auto"/>
        <w:ind w:left="1440" w:hanging="720"/>
        <w:contextualSpacing/>
        <w:rPr>
          <w:rFonts w:cs="Arial"/>
          <w:szCs w:val="22"/>
        </w:rPr>
      </w:pPr>
      <w:r>
        <w:rPr>
          <w:rFonts w:cs="Arial"/>
          <w:szCs w:val="22"/>
        </w:rPr>
        <w:t>5.2.7</w:t>
      </w:r>
      <w:r>
        <w:rPr>
          <w:rFonts w:cs="Arial"/>
          <w:szCs w:val="22"/>
        </w:rPr>
        <w:tab/>
      </w:r>
      <w:r w:rsidR="00D04C93">
        <w:rPr>
          <w:rFonts w:cs="Arial"/>
          <w:szCs w:val="22"/>
        </w:rPr>
        <w:t xml:space="preserve">In accordance with the requirements of Policy DMB1 the property has been marketed for at least 6 months. </w:t>
      </w:r>
    </w:p>
    <w:p w:rsidR="00D04C93" w:rsidRDefault="00D04C93" w:rsidP="00617CA5">
      <w:pPr>
        <w:spacing w:line="240" w:lineRule="auto"/>
        <w:ind w:left="1440"/>
        <w:contextualSpacing/>
        <w:rPr>
          <w:rFonts w:cs="Arial"/>
          <w:szCs w:val="22"/>
        </w:rPr>
      </w:pPr>
    </w:p>
    <w:p w:rsidR="00D04C93" w:rsidRDefault="005E3DF6" w:rsidP="00617CA5">
      <w:pPr>
        <w:spacing w:line="240" w:lineRule="auto"/>
        <w:contextualSpacing/>
        <w:rPr>
          <w:rFonts w:cs="Arial"/>
          <w:szCs w:val="22"/>
          <w:u w:val="single"/>
        </w:rPr>
      </w:pPr>
      <w:r w:rsidRPr="005E3DF6">
        <w:rPr>
          <w:rFonts w:cs="Arial"/>
          <w:szCs w:val="22"/>
        </w:rPr>
        <w:t>5.3</w:t>
      </w:r>
      <w:r w:rsidRPr="005E3DF6">
        <w:rPr>
          <w:rFonts w:cs="Arial"/>
          <w:szCs w:val="22"/>
        </w:rPr>
        <w:tab/>
      </w:r>
      <w:r w:rsidR="00D04C93" w:rsidRPr="0063489A">
        <w:rPr>
          <w:rFonts w:cs="Arial"/>
          <w:szCs w:val="22"/>
          <w:u w:val="single"/>
        </w:rPr>
        <w:t>Retention of commercial premises in villages</w:t>
      </w:r>
    </w:p>
    <w:p w:rsidR="00C80417" w:rsidRPr="0063489A" w:rsidRDefault="00C80417" w:rsidP="00617CA5">
      <w:pPr>
        <w:spacing w:line="240" w:lineRule="auto"/>
        <w:contextualSpacing/>
        <w:rPr>
          <w:rFonts w:cs="Arial"/>
          <w:szCs w:val="22"/>
          <w:u w:val="single"/>
        </w:rPr>
      </w:pPr>
    </w:p>
    <w:p w:rsidR="00D04C93" w:rsidRDefault="005E3DF6" w:rsidP="005E3DF6">
      <w:pPr>
        <w:spacing w:line="240" w:lineRule="auto"/>
        <w:ind w:left="1440" w:hanging="720"/>
        <w:contextualSpacing/>
        <w:rPr>
          <w:rFonts w:cs="Arial"/>
          <w:szCs w:val="22"/>
        </w:rPr>
      </w:pPr>
      <w:r>
        <w:rPr>
          <w:rFonts w:cs="Arial"/>
          <w:szCs w:val="22"/>
        </w:rPr>
        <w:t>5.3.1</w:t>
      </w:r>
      <w:r>
        <w:rPr>
          <w:rFonts w:cs="Arial"/>
          <w:szCs w:val="22"/>
        </w:rPr>
        <w:tab/>
      </w:r>
      <w:r w:rsidR="00D04C93">
        <w:rPr>
          <w:rFonts w:cs="Arial"/>
          <w:szCs w:val="22"/>
        </w:rPr>
        <w:t>The Core Strategy acknowledges the</w:t>
      </w:r>
      <w:r w:rsidR="00D04C93" w:rsidRPr="00D04C93">
        <w:rPr>
          <w:rFonts w:cs="Arial"/>
          <w:szCs w:val="22"/>
        </w:rPr>
        <w:t xml:space="preserve"> loss of retail uses or other commun</w:t>
      </w:r>
      <w:r w:rsidR="00D04C93">
        <w:rPr>
          <w:rFonts w:cs="Arial"/>
          <w:szCs w:val="22"/>
        </w:rPr>
        <w:t xml:space="preserve">ity related commercial premises in villages can have a serious </w:t>
      </w:r>
      <w:r w:rsidR="00D04C93" w:rsidRPr="00D04C93">
        <w:rPr>
          <w:rFonts w:cs="Arial"/>
          <w:szCs w:val="22"/>
        </w:rPr>
        <w:t>detrimental effect on the economic and social well-being of the locality</w:t>
      </w:r>
    </w:p>
    <w:p w:rsidR="00D04C93" w:rsidRDefault="00D04C93" w:rsidP="00617CA5">
      <w:pPr>
        <w:spacing w:line="240" w:lineRule="auto"/>
        <w:ind w:left="1440"/>
        <w:contextualSpacing/>
        <w:rPr>
          <w:rFonts w:cs="Arial"/>
          <w:szCs w:val="22"/>
        </w:rPr>
      </w:pPr>
    </w:p>
    <w:p w:rsidR="00D04C93" w:rsidRPr="00D879F8" w:rsidRDefault="005E3DF6" w:rsidP="005E3DF6">
      <w:pPr>
        <w:spacing w:line="240" w:lineRule="auto"/>
        <w:ind w:left="1440" w:hanging="720"/>
        <w:contextualSpacing/>
        <w:rPr>
          <w:rFonts w:cs="Arial"/>
          <w:szCs w:val="22"/>
        </w:rPr>
      </w:pPr>
      <w:r>
        <w:rPr>
          <w:rFonts w:cs="Arial"/>
          <w:szCs w:val="22"/>
        </w:rPr>
        <w:t>5.3.2</w:t>
      </w:r>
      <w:r>
        <w:rPr>
          <w:rFonts w:cs="Arial"/>
          <w:szCs w:val="22"/>
        </w:rPr>
        <w:tab/>
      </w:r>
      <w:r w:rsidR="00D04C93" w:rsidRPr="00D04C93">
        <w:rPr>
          <w:rFonts w:cs="Arial"/>
          <w:szCs w:val="22"/>
        </w:rPr>
        <w:t xml:space="preserve">In accordance with Policy DMR3 any proposal that involves the change of use of ground floor commercial premises to residential accommodation within the village boundaries requires the applicant to provide information to demonstrate there is no demand to retain the premises in commercial use. The property will be expected </w:t>
      </w:r>
      <w:r w:rsidR="00D04C93" w:rsidRPr="00D04C93">
        <w:rPr>
          <w:rFonts w:cs="Arial"/>
          <w:szCs w:val="22"/>
        </w:rPr>
        <w:lastRenderedPageBreak/>
        <w:t>to have been offered for sale on the open market for a period of at least 12 months at a realistic price (confirmed by independent verification).</w:t>
      </w:r>
    </w:p>
    <w:p w:rsidR="00556A94" w:rsidRPr="00D879F8" w:rsidRDefault="00556A94" w:rsidP="00556A94">
      <w:pPr>
        <w:spacing w:line="240" w:lineRule="auto"/>
        <w:ind w:left="720" w:hanging="720"/>
        <w:contextualSpacing/>
        <w:rPr>
          <w:rFonts w:cs="Arial"/>
          <w:szCs w:val="22"/>
        </w:rPr>
      </w:pPr>
    </w:p>
    <w:p w:rsidR="00556A94" w:rsidRDefault="00556A94" w:rsidP="00556A94">
      <w:pPr>
        <w:spacing w:line="240" w:lineRule="auto"/>
        <w:ind w:left="1440" w:hanging="720"/>
        <w:contextualSpacing/>
        <w:rPr>
          <w:rFonts w:cs="Arial"/>
          <w:szCs w:val="22"/>
        </w:rPr>
      </w:pPr>
      <w:r>
        <w:rPr>
          <w:rFonts w:cs="Arial"/>
          <w:szCs w:val="22"/>
        </w:rPr>
        <w:t>5.</w:t>
      </w:r>
      <w:r w:rsidR="005E3DF6">
        <w:rPr>
          <w:rFonts w:cs="Arial"/>
          <w:szCs w:val="22"/>
        </w:rPr>
        <w:t>3.3</w:t>
      </w:r>
      <w:r>
        <w:rPr>
          <w:rFonts w:cs="Arial"/>
          <w:szCs w:val="22"/>
        </w:rPr>
        <w:tab/>
      </w:r>
      <w:r w:rsidR="00D04C93">
        <w:rPr>
          <w:rFonts w:cs="Arial"/>
          <w:szCs w:val="22"/>
        </w:rPr>
        <w:t>The</w:t>
      </w:r>
      <w:r w:rsidR="00797ABE">
        <w:rPr>
          <w:rFonts w:cs="Arial"/>
          <w:szCs w:val="22"/>
        </w:rPr>
        <w:t xml:space="preserve"> applicant has provided </w:t>
      </w:r>
      <w:r w:rsidRPr="00D879F8">
        <w:rPr>
          <w:rFonts w:cs="Arial"/>
          <w:szCs w:val="22"/>
        </w:rPr>
        <w:t>two valuation reports for the</w:t>
      </w:r>
      <w:r w:rsidR="00D333E3">
        <w:rPr>
          <w:rFonts w:cs="Arial"/>
          <w:szCs w:val="22"/>
        </w:rPr>
        <w:t xml:space="preserve"> premises</w:t>
      </w:r>
      <w:r w:rsidRPr="00D879F8">
        <w:rPr>
          <w:rFonts w:cs="Arial"/>
          <w:szCs w:val="22"/>
        </w:rPr>
        <w:t xml:space="preserve">. The first, by JPA Surveyors (dated February 2020), </w:t>
      </w:r>
      <w:r w:rsidR="00D333E3">
        <w:rPr>
          <w:rFonts w:cs="Arial"/>
          <w:szCs w:val="22"/>
        </w:rPr>
        <w:t>w</w:t>
      </w:r>
      <w:r w:rsidRPr="00D879F8">
        <w:rPr>
          <w:rFonts w:cs="Arial"/>
          <w:szCs w:val="22"/>
        </w:rPr>
        <w:t xml:space="preserve">hen deducting the cost of purchase and refurbishment, </w:t>
      </w:r>
      <w:r w:rsidR="00D333E3">
        <w:rPr>
          <w:rFonts w:cs="Arial"/>
          <w:szCs w:val="22"/>
        </w:rPr>
        <w:t xml:space="preserve">provides </w:t>
      </w:r>
      <w:r w:rsidRPr="00D879F8">
        <w:rPr>
          <w:rFonts w:cs="Arial"/>
          <w:szCs w:val="22"/>
        </w:rPr>
        <w:t>a market value of £325,000 for the Duke of York. The second report</w:t>
      </w:r>
      <w:r w:rsidR="00797ABE">
        <w:rPr>
          <w:rFonts w:cs="Arial"/>
          <w:szCs w:val="22"/>
        </w:rPr>
        <w:t>,</w:t>
      </w:r>
      <w:r w:rsidRPr="00D879F8">
        <w:rPr>
          <w:rFonts w:cs="Arial"/>
          <w:szCs w:val="22"/>
        </w:rPr>
        <w:t xml:space="preserve"> by MSW </w:t>
      </w:r>
      <w:proofErr w:type="spellStart"/>
      <w:r w:rsidRPr="00D879F8">
        <w:rPr>
          <w:rFonts w:cs="Arial"/>
          <w:szCs w:val="22"/>
        </w:rPr>
        <w:t>Hewetsons</w:t>
      </w:r>
      <w:proofErr w:type="spellEnd"/>
      <w:r w:rsidRPr="00D879F8">
        <w:rPr>
          <w:rFonts w:cs="Arial"/>
          <w:szCs w:val="22"/>
        </w:rPr>
        <w:t xml:space="preserve"> Chartered Surveyors (February 2020)</w:t>
      </w:r>
      <w:r w:rsidR="00797ABE">
        <w:rPr>
          <w:rFonts w:cs="Arial"/>
          <w:szCs w:val="22"/>
        </w:rPr>
        <w:t>,</w:t>
      </w:r>
      <w:r w:rsidRPr="00D879F8">
        <w:rPr>
          <w:rFonts w:cs="Arial"/>
          <w:szCs w:val="22"/>
        </w:rPr>
        <w:t xml:space="preserve"> provides </w:t>
      </w:r>
      <w:r w:rsidR="00D333E3">
        <w:rPr>
          <w:rFonts w:cs="Arial"/>
          <w:szCs w:val="22"/>
        </w:rPr>
        <w:t>an</w:t>
      </w:r>
      <w:r w:rsidRPr="00D879F8">
        <w:rPr>
          <w:rFonts w:cs="Arial"/>
          <w:szCs w:val="22"/>
        </w:rPr>
        <w:t xml:space="preserve"> </w:t>
      </w:r>
      <w:r w:rsidR="00797ABE">
        <w:rPr>
          <w:rFonts w:cs="Arial"/>
          <w:szCs w:val="22"/>
        </w:rPr>
        <w:t xml:space="preserve">identical </w:t>
      </w:r>
      <w:r w:rsidRPr="00D879F8">
        <w:rPr>
          <w:rFonts w:cs="Arial"/>
          <w:szCs w:val="22"/>
        </w:rPr>
        <w:t>valuation.</w:t>
      </w:r>
    </w:p>
    <w:p w:rsidR="00556A94" w:rsidRPr="00D879F8" w:rsidRDefault="00556A94" w:rsidP="007E0AAA">
      <w:pPr>
        <w:spacing w:line="240" w:lineRule="auto"/>
        <w:contextualSpacing/>
        <w:rPr>
          <w:rFonts w:cs="Arial"/>
          <w:szCs w:val="22"/>
        </w:rPr>
      </w:pPr>
    </w:p>
    <w:p w:rsidR="006F576D" w:rsidRDefault="00556A94" w:rsidP="00556A94">
      <w:pPr>
        <w:spacing w:line="240" w:lineRule="auto"/>
        <w:ind w:left="1440" w:hanging="720"/>
        <w:contextualSpacing/>
        <w:rPr>
          <w:rFonts w:cs="Arial"/>
          <w:szCs w:val="22"/>
        </w:rPr>
      </w:pPr>
      <w:r>
        <w:rPr>
          <w:rFonts w:cs="Arial"/>
          <w:szCs w:val="22"/>
        </w:rPr>
        <w:t>5.</w:t>
      </w:r>
      <w:r w:rsidR="005E3DF6">
        <w:rPr>
          <w:rFonts w:cs="Arial"/>
          <w:szCs w:val="22"/>
        </w:rPr>
        <w:t>3.4</w:t>
      </w:r>
      <w:r>
        <w:rPr>
          <w:rFonts w:cs="Arial"/>
          <w:szCs w:val="22"/>
        </w:rPr>
        <w:tab/>
      </w:r>
      <w:r w:rsidR="00D04C93">
        <w:rPr>
          <w:rFonts w:cs="Arial"/>
          <w:szCs w:val="22"/>
        </w:rPr>
        <w:t>These are independent valuations undertaken by</w:t>
      </w:r>
      <w:r w:rsidR="00D04C93" w:rsidRPr="00D04C93">
        <w:t xml:space="preserve"> </w:t>
      </w:r>
      <w:r w:rsidR="00D04C93">
        <w:rPr>
          <w:rFonts w:cs="Arial"/>
          <w:szCs w:val="22"/>
        </w:rPr>
        <w:t>External Valuers who are</w:t>
      </w:r>
      <w:r w:rsidR="00D04C93" w:rsidRPr="00D04C93">
        <w:rPr>
          <w:rFonts w:cs="Arial"/>
          <w:szCs w:val="22"/>
        </w:rPr>
        <w:t xml:space="preserve"> members of the Valuer’s Registration Scheme</w:t>
      </w:r>
      <w:r w:rsidR="006F576D">
        <w:rPr>
          <w:rFonts w:cs="Arial"/>
          <w:szCs w:val="22"/>
        </w:rPr>
        <w:t xml:space="preserve">. As such the two valuations meet the requirements of the second part of Policy DMR3. </w:t>
      </w:r>
    </w:p>
    <w:p w:rsidR="006F576D" w:rsidRDefault="006F576D" w:rsidP="00556A94">
      <w:pPr>
        <w:spacing w:line="240" w:lineRule="auto"/>
        <w:ind w:left="1440" w:hanging="720"/>
        <w:contextualSpacing/>
        <w:rPr>
          <w:rFonts w:cs="Arial"/>
          <w:szCs w:val="22"/>
        </w:rPr>
      </w:pPr>
    </w:p>
    <w:p w:rsidR="006F576D" w:rsidRDefault="005E3DF6" w:rsidP="005E3DF6">
      <w:pPr>
        <w:spacing w:line="240" w:lineRule="auto"/>
        <w:ind w:left="1440" w:hanging="720"/>
        <w:contextualSpacing/>
        <w:rPr>
          <w:rFonts w:cs="Arial"/>
          <w:szCs w:val="22"/>
        </w:rPr>
      </w:pPr>
      <w:r>
        <w:rPr>
          <w:rFonts w:cs="Arial"/>
          <w:szCs w:val="22"/>
        </w:rPr>
        <w:t>5.3.5</w:t>
      </w:r>
      <w:r>
        <w:rPr>
          <w:rFonts w:cs="Arial"/>
          <w:szCs w:val="22"/>
        </w:rPr>
        <w:tab/>
      </w:r>
      <w:r w:rsidR="006F576D">
        <w:rPr>
          <w:rFonts w:cs="Arial"/>
          <w:szCs w:val="22"/>
        </w:rPr>
        <w:t>It is however noted that Grindleton</w:t>
      </w:r>
      <w:r w:rsidR="00556A94" w:rsidRPr="00D879F8">
        <w:rPr>
          <w:rFonts w:cs="Arial"/>
          <w:szCs w:val="22"/>
        </w:rPr>
        <w:t xml:space="preserve"> Community Pub Ltd (GCPL) ha</w:t>
      </w:r>
      <w:r w:rsidR="00FB59B5">
        <w:rPr>
          <w:rFonts w:cs="Arial"/>
          <w:szCs w:val="22"/>
        </w:rPr>
        <w:t>ve</w:t>
      </w:r>
      <w:r w:rsidR="00556A94" w:rsidRPr="00D879F8">
        <w:rPr>
          <w:rFonts w:cs="Arial"/>
          <w:szCs w:val="22"/>
        </w:rPr>
        <w:t xml:space="preserve"> submitted representations which challenge the </w:t>
      </w:r>
      <w:r w:rsidR="006F576D">
        <w:rPr>
          <w:rFonts w:cs="Arial"/>
          <w:szCs w:val="22"/>
        </w:rPr>
        <w:t>valuations.</w:t>
      </w:r>
      <w:r w:rsidR="00556A94" w:rsidRPr="00D879F8">
        <w:rPr>
          <w:rFonts w:cs="Arial"/>
          <w:szCs w:val="22"/>
        </w:rPr>
        <w:t xml:space="preserve"> A Business Buyer &amp; Market Appraisal Valuation Report by MJD Hughes Chartered Surveyor </w:t>
      </w:r>
      <w:r w:rsidR="00FB59B5">
        <w:rPr>
          <w:rFonts w:cs="Arial"/>
          <w:szCs w:val="22"/>
        </w:rPr>
        <w:t>on behalf of GCPL</w:t>
      </w:r>
      <w:r w:rsidR="00556A94" w:rsidRPr="00D879F8">
        <w:rPr>
          <w:rFonts w:cs="Arial"/>
          <w:szCs w:val="22"/>
        </w:rPr>
        <w:t xml:space="preserve"> indicates a market value of £225,000</w:t>
      </w:r>
      <w:r w:rsidR="00FB59B5">
        <w:rPr>
          <w:rFonts w:cs="Arial"/>
          <w:szCs w:val="22"/>
        </w:rPr>
        <w:t xml:space="preserve"> (June 2019)</w:t>
      </w:r>
      <w:r w:rsidR="00556A94" w:rsidRPr="00D879F8">
        <w:rPr>
          <w:rFonts w:cs="Arial"/>
          <w:szCs w:val="22"/>
        </w:rPr>
        <w:t xml:space="preserve">, </w:t>
      </w:r>
      <w:proofErr w:type="gramStart"/>
      <w:r w:rsidR="00556A94" w:rsidRPr="00D879F8">
        <w:rPr>
          <w:rFonts w:cs="Arial"/>
          <w:szCs w:val="22"/>
        </w:rPr>
        <w:t>taking into account</w:t>
      </w:r>
      <w:proofErr w:type="gramEnd"/>
      <w:r w:rsidR="00556A94" w:rsidRPr="00D879F8">
        <w:rPr>
          <w:rFonts w:cs="Arial"/>
          <w:szCs w:val="22"/>
        </w:rPr>
        <w:t xml:space="preserve"> the cost of repair and refitting. </w:t>
      </w:r>
      <w:r w:rsidR="006F576D">
        <w:rPr>
          <w:rFonts w:cs="Arial"/>
          <w:szCs w:val="22"/>
        </w:rPr>
        <w:t xml:space="preserve">It is noted that this </w:t>
      </w:r>
      <w:r w:rsidR="006F576D" w:rsidRPr="006F576D">
        <w:rPr>
          <w:rFonts w:cs="Arial"/>
          <w:szCs w:val="22"/>
        </w:rPr>
        <w:t>report is an expansion of a valuation report. The report is prepared for the community group and includes many features that would not ordinarily be included in a valuation report</w:t>
      </w:r>
      <w:r w:rsidR="006F576D">
        <w:rPr>
          <w:rFonts w:cs="Arial"/>
          <w:szCs w:val="22"/>
        </w:rPr>
        <w:t>. It is understood that this was</w:t>
      </w:r>
      <w:r w:rsidR="006F576D" w:rsidRPr="006F576D">
        <w:rPr>
          <w:rFonts w:cs="Arial"/>
          <w:szCs w:val="22"/>
        </w:rPr>
        <w:t xml:space="preserve"> to enable the community group to make a reasoned decision as to progressing their interest in the property. </w:t>
      </w:r>
    </w:p>
    <w:p w:rsidR="006F576D" w:rsidRDefault="006F576D" w:rsidP="005E3DF6">
      <w:pPr>
        <w:spacing w:line="240" w:lineRule="auto"/>
        <w:ind w:left="1440"/>
        <w:contextualSpacing/>
        <w:rPr>
          <w:rFonts w:cs="Arial"/>
          <w:szCs w:val="22"/>
        </w:rPr>
      </w:pPr>
    </w:p>
    <w:p w:rsidR="00556A94" w:rsidRDefault="005E3DF6" w:rsidP="005E3DF6">
      <w:pPr>
        <w:spacing w:line="240" w:lineRule="auto"/>
        <w:ind w:left="1440" w:hanging="720"/>
        <w:contextualSpacing/>
        <w:rPr>
          <w:rFonts w:cs="Arial"/>
          <w:szCs w:val="22"/>
        </w:rPr>
      </w:pPr>
      <w:r>
        <w:rPr>
          <w:rFonts w:cs="Arial"/>
          <w:szCs w:val="22"/>
        </w:rPr>
        <w:t>5.3.6</w:t>
      </w:r>
      <w:r>
        <w:rPr>
          <w:rFonts w:cs="Arial"/>
          <w:szCs w:val="22"/>
        </w:rPr>
        <w:tab/>
      </w:r>
      <w:r w:rsidR="006F576D">
        <w:rPr>
          <w:rFonts w:cs="Arial"/>
          <w:szCs w:val="22"/>
        </w:rPr>
        <w:t>It is understood that s</w:t>
      </w:r>
      <w:r w:rsidR="00556A94" w:rsidRPr="00D879F8">
        <w:rPr>
          <w:rFonts w:cs="Arial"/>
          <w:szCs w:val="22"/>
        </w:rPr>
        <w:t xml:space="preserve">everal offers </w:t>
      </w:r>
      <w:r w:rsidR="006F576D">
        <w:rPr>
          <w:rFonts w:cs="Arial"/>
          <w:szCs w:val="22"/>
        </w:rPr>
        <w:t>have been made to the owner from both</w:t>
      </w:r>
      <w:r w:rsidR="00556A94" w:rsidRPr="00D879F8">
        <w:rPr>
          <w:rFonts w:cs="Arial"/>
          <w:szCs w:val="22"/>
        </w:rPr>
        <w:t xml:space="preserve"> GCPL </w:t>
      </w:r>
      <w:r w:rsidR="006F576D">
        <w:rPr>
          <w:rFonts w:cs="Arial"/>
          <w:szCs w:val="22"/>
        </w:rPr>
        <w:t>and</w:t>
      </w:r>
      <w:r w:rsidR="002127F9">
        <w:rPr>
          <w:rFonts w:cs="Arial"/>
          <w:szCs w:val="22"/>
        </w:rPr>
        <w:t xml:space="preserve"> </w:t>
      </w:r>
      <w:r w:rsidR="006F576D">
        <w:rPr>
          <w:rFonts w:cs="Arial"/>
          <w:szCs w:val="22"/>
        </w:rPr>
        <w:t>t</w:t>
      </w:r>
      <w:r w:rsidR="002127F9">
        <w:rPr>
          <w:rFonts w:cs="Arial"/>
          <w:szCs w:val="22"/>
        </w:rPr>
        <w:t>he Bowland Charitable Trust</w:t>
      </w:r>
      <w:r w:rsidR="006F576D">
        <w:rPr>
          <w:rFonts w:cs="Arial"/>
          <w:szCs w:val="22"/>
        </w:rPr>
        <w:t xml:space="preserve"> over the last 12 months none of which were considered acceptable by the owner.</w:t>
      </w:r>
    </w:p>
    <w:p w:rsidR="00797ABE" w:rsidRDefault="00797ABE" w:rsidP="005E3DF6">
      <w:pPr>
        <w:spacing w:line="240" w:lineRule="auto"/>
        <w:contextualSpacing/>
        <w:rPr>
          <w:szCs w:val="22"/>
        </w:rPr>
      </w:pPr>
    </w:p>
    <w:p w:rsidR="00AD797B" w:rsidRPr="007E0AAA" w:rsidRDefault="005E3DF6" w:rsidP="00556A94">
      <w:pPr>
        <w:spacing w:line="240" w:lineRule="auto"/>
        <w:ind w:left="1440" w:hanging="720"/>
        <w:contextualSpacing/>
        <w:rPr>
          <w:rFonts w:cs="Arial"/>
          <w:szCs w:val="22"/>
        </w:rPr>
      </w:pPr>
      <w:r>
        <w:rPr>
          <w:rFonts w:cs="Arial"/>
          <w:szCs w:val="22"/>
        </w:rPr>
        <w:t>5.3.7</w:t>
      </w:r>
      <w:r>
        <w:rPr>
          <w:rFonts w:cs="Arial"/>
          <w:szCs w:val="22"/>
        </w:rPr>
        <w:tab/>
      </w:r>
      <w:r w:rsidR="006F576D">
        <w:rPr>
          <w:rFonts w:cs="Arial"/>
          <w:szCs w:val="22"/>
        </w:rPr>
        <w:t xml:space="preserve">It is also noted that </w:t>
      </w:r>
      <w:r w:rsidR="00AD797B" w:rsidRPr="007E0AAA">
        <w:rPr>
          <w:rFonts w:cs="Arial"/>
          <w:szCs w:val="22"/>
        </w:rPr>
        <w:t xml:space="preserve">GCPL have produced and published a Business Plan setting out a financial outline for buying and refurbishing the Duke of York and profit and loss assumptions. </w:t>
      </w:r>
      <w:r w:rsidR="00AD797B" w:rsidRPr="00AD797B">
        <w:rPr>
          <w:rFonts w:cs="Arial"/>
          <w:szCs w:val="22"/>
        </w:rPr>
        <w:t xml:space="preserve">The Business Buyer &amp; Market Appraisal Valuation Report by MJD Hughes </w:t>
      </w:r>
      <w:r w:rsidR="00AD797B" w:rsidRPr="007E0AAA">
        <w:rPr>
          <w:rFonts w:cs="Arial"/>
          <w:bCs/>
          <w:szCs w:val="22"/>
        </w:rPr>
        <w:t>indicates that</w:t>
      </w:r>
      <w:r w:rsidR="00AD797B" w:rsidRPr="007E0AAA">
        <w:rPr>
          <w:rFonts w:cs="Arial"/>
          <w:szCs w:val="22"/>
        </w:rPr>
        <w:t xml:space="preserve"> the Duke of York has the potential to achieve a sustainable level of trade as a public house</w:t>
      </w:r>
      <w:r w:rsidR="006F576D">
        <w:rPr>
          <w:rFonts w:cs="Arial"/>
          <w:szCs w:val="22"/>
        </w:rPr>
        <w:t xml:space="preserve"> hence why GCPL are keen to proceed with the purchase</w:t>
      </w:r>
      <w:r w:rsidR="00AD797B" w:rsidRPr="007E0AAA">
        <w:rPr>
          <w:rFonts w:cs="Arial"/>
          <w:szCs w:val="22"/>
        </w:rPr>
        <w:t xml:space="preserve">. </w:t>
      </w:r>
    </w:p>
    <w:p w:rsidR="00AD797B" w:rsidRDefault="00AD797B" w:rsidP="00556A94">
      <w:pPr>
        <w:spacing w:line="240" w:lineRule="auto"/>
        <w:ind w:left="1440" w:hanging="720"/>
        <w:contextualSpacing/>
        <w:rPr>
          <w:rFonts w:cs="Arial"/>
          <w:szCs w:val="22"/>
        </w:rPr>
      </w:pPr>
    </w:p>
    <w:p w:rsidR="005B09C1" w:rsidRPr="007E0AAA" w:rsidRDefault="005B09C1" w:rsidP="006F576D">
      <w:pPr>
        <w:spacing w:line="240" w:lineRule="auto"/>
        <w:ind w:left="1440" w:hanging="720"/>
        <w:contextualSpacing/>
        <w:rPr>
          <w:rFonts w:cs="Arial"/>
          <w:szCs w:val="22"/>
        </w:rPr>
      </w:pPr>
      <w:r w:rsidRPr="007E0AAA">
        <w:rPr>
          <w:rFonts w:cs="Arial"/>
          <w:szCs w:val="22"/>
        </w:rPr>
        <w:t>5.</w:t>
      </w:r>
      <w:r w:rsidR="004118A0">
        <w:rPr>
          <w:rFonts w:cs="Arial"/>
          <w:szCs w:val="22"/>
        </w:rPr>
        <w:t>3.</w:t>
      </w:r>
      <w:r w:rsidR="005E3DF6">
        <w:rPr>
          <w:rFonts w:cs="Arial"/>
          <w:szCs w:val="22"/>
        </w:rPr>
        <w:t>8</w:t>
      </w:r>
      <w:r w:rsidRPr="007E0AAA">
        <w:rPr>
          <w:rFonts w:cs="Arial"/>
          <w:szCs w:val="22"/>
        </w:rPr>
        <w:tab/>
      </w:r>
      <w:r w:rsidR="006F576D">
        <w:rPr>
          <w:rFonts w:cs="Arial"/>
          <w:szCs w:val="22"/>
        </w:rPr>
        <w:t xml:space="preserve">Whilst the premises </w:t>
      </w:r>
      <w:r w:rsidR="005E3DF6">
        <w:rPr>
          <w:rFonts w:cs="Arial"/>
          <w:szCs w:val="22"/>
        </w:rPr>
        <w:t>have</w:t>
      </w:r>
      <w:r w:rsidR="006F576D">
        <w:rPr>
          <w:rFonts w:cs="Arial"/>
          <w:szCs w:val="22"/>
        </w:rPr>
        <w:t xml:space="preserve"> been marketed for sale for the period specified within Policy DMR3 in this case it is not considered that the lack of an agreed sale indicates that there is no demand</w:t>
      </w:r>
      <w:r w:rsidR="00AC17FE">
        <w:rPr>
          <w:rFonts w:cs="Arial"/>
          <w:szCs w:val="22"/>
        </w:rPr>
        <w:t xml:space="preserve"> given that there is a </w:t>
      </w:r>
      <w:r w:rsidR="00AC17FE" w:rsidRPr="00AC17FE">
        <w:rPr>
          <w:rFonts w:cs="Arial"/>
          <w:szCs w:val="22"/>
        </w:rPr>
        <w:t xml:space="preserve">Community Benefit Society established </w:t>
      </w:r>
      <w:r w:rsidR="00AC17FE">
        <w:rPr>
          <w:rFonts w:cs="Arial"/>
          <w:szCs w:val="22"/>
        </w:rPr>
        <w:t xml:space="preserve">purely </w:t>
      </w:r>
      <w:r w:rsidR="00AC17FE" w:rsidRPr="00AC17FE">
        <w:rPr>
          <w:rFonts w:cs="Arial"/>
          <w:szCs w:val="22"/>
        </w:rPr>
        <w:t>to raise funds necessary to purchase the Duke of York</w:t>
      </w:r>
      <w:r w:rsidR="00AC17FE">
        <w:rPr>
          <w:rFonts w:cs="Arial"/>
          <w:szCs w:val="22"/>
        </w:rPr>
        <w:t>. As such it has not been demonstrated that the</w:t>
      </w:r>
      <w:r w:rsidR="005E3DF6">
        <w:rPr>
          <w:rFonts w:cs="Arial"/>
          <w:szCs w:val="22"/>
        </w:rPr>
        <w:t>re</w:t>
      </w:r>
      <w:r w:rsidR="00AC17FE">
        <w:rPr>
          <w:rFonts w:cs="Arial"/>
          <w:szCs w:val="22"/>
        </w:rPr>
        <w:t xml:space="preserve"> is no demand to retain the premises in commercial use contrary to Policy DMR3.</w:t>
      </w:r>
    </w:p>
    <w:p w:rsidR="00F27661" w:rsidRPr="00D879F8" w:rsidRDefault="00F27661" w:rsidP="00D879F8">
      <w:pPr>
        <w:spacing w:line="240" w:lineRule="auto"/>
        <w:ind w:left="720" w:hanging="720"/>
        <w:contextualSpacing/>
        <w:rPr>
          <w:rFonts w:cs="Arial"/>
          <w:szCs w:val="22"/>
        </w:rPr>
      </w:pPr>
    </w:p>
    <w:p w:rsidR="00D879F8" w:rsidRPr="00D879F8" w:rsidRDefault="008E750C" w:rsidP="00D879F8">
      <w:pPr>
        <w:spacing w:line="240" w:lineRule="auto"/>
        <w:ind w:left="720" w:hanging="720"/>
        <w:contextualSpacing/>
        <w:rPr>
          <w:rFonts w:cs="Arial"/>
          <w:szCs w:val="22"/>
        </w:rPr>
      </w:pPr>
      <w:r>
        <w:rPr>
          <w:rFonts w:cs="Arial"/>
          <w:szCs w:val="22"/>
        </w:rPr>
        <w:t>5.</w:t>
      </w:r>
      <w:r w:rsidR="004118A0">
        <w:rPr>
          <w:rFonts w:cs="Arial"/>
          <w:szCs w:val="22"/>
        </w:rPr>
        <w:t>4</w:t>
      </w:r>
      <w:r>
        <w:rPr>
          <w:rFonts w:cs="Arial"/>
          <w:szCs w:val="22"/>
        </w:rPr>
        <w:tab/>
      </w:r>
      <w:r w:rsidR="00D879F8" w:rsidRPr="008E750C">
        <w:rPr>
          <w:rFonts w:cs="Arial"/>
          <w:szCs w:val="22"/>
          <w:u w:val="single"/>
        </w:rPr>
        <w:t>Impact on heritage assets (including design and visual appearance)</w:t>
      </w:r>
    </w:p>
    <w:p w:rsidR="008E750C" w:rsidRDefault="008E750C" w:rsidP="00D879F8">
      <w:pPr>
        <w:spacing w:line="240" w:lineRule="auto"/>
        <w:ind w:left="720" w:hanging="720"/>
        <w:contextualSpacing/>
        <w:rPr>
          <w:rFonts w:cs="Arial"/>
          <w:szCs w:val="22"/>
        </w:rPr>
      </w:pPr>
    </w:p>
    <w:p w:rsidR="00D879F8" w:rsidRPr="00D879F8" w:rsidRDefault="008E750C" w:rsidP="008E750C">
      <w:pPr>
        <w:spacing w:line="240" w:lineRule="auto"/>
        <w:ind w:left="1440" w:hanging="720"/>
        <w:contextualSpacing/>
        <w:rPr>
          <w:rFonts w:cs="Arial"/>
          <w:szCs w:val="22"/>
        </w:rPr>
      </w:pPr>
      <w:r>
        <w:rPr>
          <w:rFonts w:cs="Arial"/>
          <w:szCs w:val="22"/>
        </w:rPr>
        <w:t>5.</w:t>
      </w:r>
      <w:r w:rsidR="004118A0">
        <w:rPr>
          <w:rFonts w:cs="Arial"/>
          <w:szCs w:val="22"/>
        </w:rPr>
        <w:t>4</w:t>
      </w:r>
      <w:r>
        <w:rPr>
          <w:rFonts w:cs="Arial"/>
          <w:szCs w:val="22"/>
        </w:rPr>
        <w:t>.1</w:t>
      </w:r>
      <w:r>
        <w:rPr>
          <w:rFonts w:cs="Arial"/>
          <w:szCs w:val="22"/>
        </w:rPr>
        <w:tab/>
      </w:r>
      <w:r w:rsidR="00D879F8" w:rsidRPr="00D879F8">
        <w:rPr>
          <w:rFonts w:cs="Arial"/>
          <w:szCs w:val="22"/>
        </w:rPr>
        <w:t xml:space="preserve">It is acknowledged that the application site lies within the Forest of Bowland AONB and Key Statement EN2 of the Core Strategy is relevant. However, the site is well-related to existing built development and it is considered that there is no harm to landscape character that would arise from the development proposals. Moreover, it is not considered that the proposed development would result in any adverse impact on the setting of </w:t>
      </w:r>
      <w:r w:rsidR="00C80417">
        <w:rPr>
          <w:rFonts w:cs="Arial"/>
          <w:szCs w:val="22"/>
        </w:rPr>
        <w:t xml:space="preserve">nearby </w:t>
      </w:r>
      <w:r w:rsidR="00D879F8" w:rsidRPr="00D879F8">
        <w:rPr>
          <w:rFonts w:cs="Arial"/>
          <w:szCs w:val="22"/>
        </w:rPr>
        <w:t>listed buildings, Townley House and Cromwell Cottage.</w:t>
      </w:r>
    </w:p>
    <w:p w:rsidR="00D879F8" w:rsidRPr="00D879F8" w:rsidRDefault="00D879F8" w:rsidP="00D879F8">
      <w:pPr>
        <w:spacing w:line="240" w:lineRule="auto"/>
        <w:ind w:left="720" w:hanging="720"/>
        <w:contextualSpacing/>
        <w:rPr>
          <w:rFonts w:cs="Arial"/>
          <w:szCs w:val="22"/>
        </w:rPr>
      </w:pPr>
    </w:p>
    <w:p w:rsidR="00D879F8" w:rsidRPr="00D879F8" w:rsidRDefault="008E750C" w:rsidP="004D2BDD">
      <w:pPr>
        <w:spacing w:line="240" w:lineRule="auto"/>
        <w:ind w:left="1440" w:hanging="720"/>
        <w:contextualSpacing/>
        <w:rPr>
          <w:rFonts w:cs="Arial"/>
          <w:szCs w:val="22"/>
        </w:rPr>
      </w:pPr>
      <w:r>
        <w:rPr>
          <w:rFonts w:cs="Arial"/>
          <w:szCs w:val="22"/>
        </w:rPr>
        <w:lastRenderedPageBreak/>
        <w:t>5.</w:t>
      </w:r>
      <w:r w:rsidR="004118A0">
        <w:rPr>
          <w:rFonts w:cs="Arial"/>
          <w:szCs w:val="22"/>
        </w:rPr>
        <w:t>4</w:t>
      </w:r>
      <w:r>
        <w:rPr>
          <w:rFonts w:cs="Arial"/>
          <w:szCs w:val="22"/>
        </w:rPr>
        <w:t>.2</w:t>
      </w:r>
      <w:r>
        <w:rPr>
          <w:rFonts w:cs="Arial"/>
          <w:szCs w:val="22"/>
        </w:rPr>
        <w:tab/>
      </w:r>
      <w:r w:rsidR="00D879F8" w:rsidRPr="00D879F8">
        <w:rPr>
          <w:rFonts w:cs="Arial"/>
          <w:szCs w:val="22"/>
        </w:rPr>
        <w:t>Section 16(2) of the Planning (Listed Buildings and Conservation Areas) Act 1990 states that ‘when considering applications for listed building consent, special regard shall be had to the desirability of preserving the building or its setting or any features of special architectural or historic interest which it possesses’. NPPF paragraphs 193-194 state:</w:t>
      </w:r>
      <w:r w:rsidR="004D2BDD">
        <w:rPr>
          <w:rFonts w:cs="Arial"/>
          <w:szCs w:val="22"/>
        </w:rPr>
        <w:t xml:space="preserve"> </w:t>
      </w:r>
      <w:r w:rsidR="00D879F8" w:rsidRPr="004D2BDD">
        <w:rPr>
          <w:rFonts w:cs="Arial"/>
          <w:szCs w:val="22"/>
        </w:rPr>
        <w:t>“When considering the impact of a proposed development on the significance of a designated heritage asset, great weight should be given to the asset’s conservation (and the more important the asset, the greater the weight should be). This is irrespective of whether any potential harm amounts to substantial harm, total loss or less than substantial harm to its significance. Any harm to, or loss of, the significance of a designated heritage asset (from its alteration or destruction, or from development within its setting), should require clear and convincing justification”.</w:t>
      </w:r>
    </w:p>
    <w:p w:rsidR="00D879F8" w:rsidRPr="00D879F8" w:rsidRDefault="00D879F8" w:rsidP="00D879F8">
      <w:pPr>
        <w:spacing w:line="240" w:lineRule="auto"/>
        <w:ind w:left="720" w:hanging="720"/>
        <w:contextualSpacing/>
        <w:rPr>
          <w:rFonts w:cs="Arial"/>
          <w:szCs w:val="22"/>
        </w:rPr>
      </w:pPr>
    </w:p>
    <w:p w:rsidR="00D879F8" w:rsidRPr="00D879F8" w:rsidRDefault="008E750C" w:rsidP="008E750C">
      <w:pPr>
        <w:spacing w:line="240" w:lineRule="auto"/>
        <w:ind w:left="1440" w:hanging="720"/>
        <w:contextualSpacing/>
        <w:rPr>
          <w:rFonts w:cs="Arial"/>
          <w:szCs w:val="22"/>
        </w:rPr>
      </w:pPr>
      <w:r>
        <w:rPr>
          <w:rFonts w:cs="Arial"/>
          <w:szCs w:val="22"/>
        </w:rPr>
        <w:t>5.</w:t>
      </w:r>
      <w:r w:rsidR="004118A0">
        <w:rPr>
          <w:rFonts w:cs="Arial"/>
          <w:szCs w:val="22"/>
        </w:rPr>
        <w:t>4</w:t>
      </w:r>
      <w:r>
        <w:rPr>
          <w:rFonts w:cs="Arial"/>
          <w:szCs w:val="22"/>
        </w:rPr>
        <w:t>.</w:t>
      </w:r>
      <w:r w:rsidR="00631B88">
        <w:rPr>
          <w:rFonts w:cs="Arial"/>
          <w:szCs w:val="22"/>
        </w:rPr>
        <w:t>3</w:t>
      </w:r>
      <w:r>
        <w:rPr>
          <w:rFonts w:cs="Arial"/>
          <w:szCs w:val="22"/>
        </w:rPr>
        <w:tab/>
      </w:r>
      <w:r w:rsidR="00D879F8" w:rsidRPr="00D879F8">
        <w:rPr>
          <w:rFonts w:cs="Arial"/>
          <w:szCs w:val="22"/>
        </w:rPr>
        <w:t>Core Strategy Key Statement EN5 applies a presumption in favour of the conservation and enhancement of the significance of heritage assets and their settings. Policy DME4 states that ‘alterations or extensions to listed buildings or buildings of local heritage interest, or development proposals on sites within their setting which cause harm to the significance of the heritage asset will not be supported. Any proposals involving the demolition or loss of important historic fabric from listed buildings will be refused unless it can be demonstrated that exceptional circumstances exist.’ In relation to conservation areas it says that ‘proposals within, or affecting views into and out of, or affecting the setting of a conservation area will be required to conserve and where appropriate enhance its character and appearance and those elements which contribute towards its significance</w:t>
      </w:r>
      <w:r w:rsidR="004D2BDD">
        <w:rPr>
          <w:rFonts w:cs="Arial"/>
          <w:szCs w:val="22"/>
        </w:rPr>
        <w:t>’</w:t>
      </w:r>
      <w:r w:rsidR="00D879F8" w:rsidRPr="00D879F8">
        <w:rPr>
          <w:rFonts w:cs="Arial"/>
          <w:szCs w:val="22"/>
        </w:rPr>
        <w:t>.</w:t>
      </w:r>
    </w:p>
    <w:p w:rsidR="00D879F8" w:rsidRPr="00D879F8" w:rsidRDefault="00D879F8" w:rsidP="00D879F8">
      <w:pPr>
        <w:spacing w:line="240" w:lineRule="auto"/>
        <w:ind w:left="720" w:hanging="720"/>
        <w:contextualSpacing/>
        <w:rPr>
          <w:rFonts w:cs="Arial"/>
          <w:szCs w:val="22"/>
        </w:rPr>
      </w:pPr>
    </w:p>
    <w:p w:rsidR="00D879F8" w:rsidRPr="00D879F8" w:rsidRDefault="008E750C" w:rsidP="008E750C">
      <w:pPr>
        <w:spacing w:line="240" w:lineRule="auto"/>
        <w:ind w:left="1440" w:hanging="720"/>
        <w:contextualSpacing/>
        <w:rPr>
          <w:rFonts w:cs="Arial"/>
          <w:szCs w:val="22"/>
        </w:rPr>
      </w:pPr>
      <w:r>
        <w:rPr>
          <w:rFonts w:cs="Arial"/>
          <w:szCs w:val="22"/>
        </w:rPr>
        <w:t>5.</w:t>
      </w:r>
      <w:r w:rsidR="004118A0">
        <w:rPr>
          <w:rFonts w:cs="Arial"/>
          <w:szCs w:val="22"/>
        </w:rPr>
        <w:t>4</w:t>
      </w:r>
      <w:r>
        <w:rPr>
          <w:rFonts w:cs="Arial"/>
          <w:szCs w:val="22"/>
        </w:rPr>
        <w:t>.</w:t>
      </w:r>
      <w:r w:rsidR="00631B88">
        <w:rPr>
          <w:rFonts w:cs="Arial"/>
          <w:szCs w:val="22"/>
        </w:rPr>
        <w:t>4</w:t>
      </w:r>
      <w:r>
        <w:rPr>
          <w:rFonts w:cs="Arial"/>
          <w:szCs w:val="22"/>
        </w:rPr>
        <w:tab/>
      </w:r>
      <w:r w:rsidR="00D879F8" w:rsidRPr="00D879F8">
        <w:rPr>
          <w:rFonts w:cs="Arial"/>
          <w:szCs w:val="22"/>
        </w:rPr>
        <w:t>Submitted with the application is a Heritage Statement (HS) by Garry Miller. The summary of significance contained at Section 7 of the document remain</w:t>
      </w:r>
      <w:r w:rsidR="00576EFF">
        <w:rPr>
          <w:rFonts w:cs="Arial"/>
          <w:szCs w:val="22"/>
        </w:rPr>
        <w:t>s</w:t>
      </w:r>
      <w:r w:rsidR="00D879F8" w:rsidRPr="00D879F8">
        <w:rPr>
          <w:rFonts w:cs="Arial"/>
          <w:szCs w:val="22"/>
        </w:rPr>
        <w:t xml:space="preserve"> unchanged from the HS document submitted with the previous planning application. It recognises that the Duke of York is of “national importance … occupies a prominent location and is itself a distinctive building of the conservation area” (Section 7.3). It is also recognise</w:t>
      </w:r>
      <w:r w:rsidR="00576EFF">
        <w:rPr>
          <w:rFonts w:cs="Arial"/>
          <w:szCs w:val="22"/>
        </w:rPr>
        <w:t>d</w:t>
      </w:r>
      <w:r w:rsidR="00D879F8" w:rsidRPr="00D879F8">
        <w:rPr>
          <w:rFonts w:cs="Arial"/>
          <w:szCs w:val="22"/>
        </w:rPr>
        <w:t xml:space="preserve"> that prime significance resides in its “external qualities and </w:t>
      </w:r>
      <w:proofErr w:type="spellStart"/>
      <w:r w:rsidR="00D879F8" w:rsidRPr="00D879F8">
        <w:rPr>
          <w:rFonts w:cs="Arial"/>
          <w:szCs w:val="22"/>
        </w:rPr>
        <w:t>streetscene</w:t>
      </w:r>
      <w:proofErr w:type="spellEnd"/>
      <w:r w:rsidR="00D879F8" w:rsidRPr="00D879F8">
        <w:rPr>
          <w:rFonts w:cs="Arial"/>
          <w:szCs w:val="22"/>
        </w:rPr>
        <w:t xml:space="preserve"> presence” (Section 7.2). This is reflected in the Grindleton Conservation Area Appraisal identification of the building as a Focal Building (corner site; elevated building at gateway and approach to village from the west; ‘polite’ architecture) whereas “the historic buildings of Grindleton are relatively modest and conservative” (pg12).  The use of the building is also distinct; “Grindleton is primarily a residential village, with little employment within the village except for two pubs” (pg12).</w:t>
      </w:r>
    </w:p>
    <w:p w:rsidR="00D879F8" w:rsidRPr="00D879F8" w:rsidRDefault="00D879F8" w:rsidP="00D879F8">
      <w:pPr>
        <w:spacing w:line="240" w:lineRule="auto"/>
        <w:ind w:left="720" w:hanging="720"/>
        <w:contextualSpacing/>
        <w:rPr>
          <w:rFonts w:cs="Arial"/>
          <w:szCs w:val="22"/>
        </w:rPr>
      </w:pPr>
    </w:p>
    <w:p w:rsidR="00E058AE" w:rsidRDefault="008E750C" w:rsidP="008E750C">
      <w:pPr>
        <w:spacing w:line="240" w:lineRule="auto"/>
        <w:ind w:left="1440" w:hanging="720"/>
        <w:contextualSpacing/>
        <w:rPr>
          <w:rFonts w:cs="Arial"/>
          <w:szCs w:val="22"/>
        </w:rPr>
      </w:pPr>
      <w:r>
        <w:rPr>
          <w:rFonts w:cs="Arial"/>
          <w:szCs w:val="22"/>
        </w:rPr>
        <w:t>5.</w:t>
      </w:r>
      <w:r w:rsidR="004118A0">
        <w:rPr>
          <w:rFonts w:cs="Arial"/>
          <w:szCs w:val="22"/>
        </w:rPr>
        <w:t>4</w:t>
      </w:r>
      <w:r>
        <w:rPr>
          <w:rFonts w:cs="Arial"/>
          <w:szCs w:val="22"/>
        </w:rPr>
        <w:t>.</w:t>
      </w:r>
      <w:r w:rsidR="00631B88">
        <w:rPr>
          <w:rFonts w:cs="Arial"/>
          <w:szCs w:val="22"/>
        </w:rPr>
        <w:t>5</w:t>
      </w:r>
      <w:r>
        <w:rPr>
          <w:rFonts w:cs="Arial"/>
          <w:szCs w:val="22"/>
        </w:rPr>
        <w:tab/>
      </w:r>
      <w:r w:rsidR="00D879F8" w:rsidRPr="00D879F8">
        <w:rPr>
          <w:rFonts w:cs="Arial"/>
          <w:szCs w:val="22"/>
        </w:rPr>
        <w:t>The HS considers the heritage issues raised by the proposal to be its impact on the significance (i.e. heritage interest and value) of the Duke of York and the conservation area and the setting of nearby listed buildings. It is said that the proposal is favourable as the listed building is no longer viable as a public house and therefore its future will be ensured by securing its alternative use as a single dwelling</w:t>
      </w:r>
      <w:r w:rsidR="00E058AE">
        <w:rPr>
          <w:rFonts w:cs="Arial"/>
          <w:szCs w:val="22"/>
        </w:rPr>
        <w:t xml:space="preserve">. </w:t>
      </w:r>
    </w:p>
    <w:p w:rsidR="00E058AE" w:rsidRDefault="00E058AE" w:rsidP="008E750C">
      <w:pPr>
        <w:spacing w:line="240" w:lineRule="auto"/>
        <w:ind w:left="1440" w:hanging="720"/>
        <w:contextualSpacing/>
        <w:rPr>
          <w:rFonts w:cs="Arial"/>
          <w:szCs w:val="22"/>
        </w:rPr>
      </w:pPr>
    </w:p>
    <w:p w:rsidR="00D879F8" w:rsidRPr="00D879F8" w:rsidRDefault="00E058AE" w:rsidP="008E750C">
      <w:pPr>
        <w:spacing w:line="240" w:lineRule="auto"/>
        <w:ind w:left="1440" w:hanging="720"/>
        <w:contextualSpacing/>
        <w:rPr>
          <w:rFonts w:cs="Arial"/>
          <w:szCs w:val="22"/>
        </w:rPr>
      </w:pPr>
      <w:r>
        <w:rPr>
          <w:rFonts w:cs="Arial"/>
          <w:szCs w:val="22"/>
        </w:rPr>
        <w:t>5.4.6</w:t>
      </w:r>
      <w:r>
        <w:rPr>
          <w:rFonts w:cs="Arial"/>
          <w:szCs w:val="22"/>
        </w:rPr>
        <w:tab/>
        <w:t>The</w:t>
      </w:r>
      <w:r w:rsidR="00D879F8" w:rsidRPr="00D879F8">
        <w:rPr>
          <w:rFonts w:cs="Arial"/>
          <w:szCs w:val="22"/>
        </w:rPr>
        <w:t xml:space="preserve"> HS </w:t>
      </w:r>
      <w:r>
        <w:rPr>
          <w:rFonts w:cs="Arial"/>
          <w:szCs w:val="22"/>
        </w:rPr>
        <w:t xml:space="preserve">says </w:t>
      </w:r>
      <w:r w:rsidR="00D879F8" w:rsidRPr="00D879F8">
        <w:rPr>
          <w:rFonts w:cs="Arial"/>
          <w:szCs w:val="22"/>
        </w:rPr>
        <w:t xml:space="preserve">that historical evidence implies that the property may have originated as a private dwelling in circa 1800 but by the mid-1850s it had become an inn. However, it is noted that the building is located at a main road junction at the centre of the village facing the main thoroughfare and this would appear indicative of its </w:t>
      </w:r>
      <w:r w:rsidR="00D879F8" w:rsidRPr="00D879F8">
        <w:rPr>
          <w:rFonts w:cs="Arial"/>
          <w:szCs w:val="22"/>
        </w:rPr>
        <w:lastRenderedPageBreak/>
        <w:t>primary use as an inn. Evidence submitted in representations refers to an advertisement for an auction or sale of a farm in the Lancaster Gazette in 1817 as the earliest record of the Duke of York as a public house.</w:t>
      </w:r>
    </w:p>
    <w:p w:rsidR="00D879F8" w:rsidRPr="00D879F8" w:rsidRDefault="00D879F8" w:rsidP="00D879F8">
      <w:pPr>
        <w:spacing w:line="240" w:lineRule="auto"/>
        <w:ind w:left="720" w:hanging="720"/>
        <w:contextualSpacing/>
        <w:rPr>
          <w:rFonts w:cs="Arial"/>
          <w:szCs w:val="22"/>
        </w:rPr>
      </w:pPr>
    </w:p>
    <w:p w:rsidR="00D879F8" w:rsidRPr="00D879F8" w:rsidRDefault="008E750C" w:rsidP="008E750C">
      <w:pPr>
        <w:spacing w:line="240" w:lineRule="auto"/>
        <w:ind w:left="1440" w:hanging="720"/>
        <w:contextualSpacing/>
        <w:rPr>
          <w:rFonts w:cs="Arial"/>
          <w:szCs w:val="22"/>
        </w:rPr>
      </w:pPr>
      <w:r>
        <w:rPr>
          <w:rFonts w:cs="Arial"/>
          <w:szCs w:val="22"/>
        </w:rPr>
        <w:t>5.</w:t>
      </w:r>
      <w:r w:rsidR="004118A0">
        <w:rPr>
          <w:rFonts w:cs="Arial"/>
          <w:szCs w:val="22"/>
        </w:rPr>
        <w:t>4</w:t>
      </w:r>
      <w:r>
        <w:rPr>
          <w:rFonts w:cs="Arial"/>
          <w:szCs w:val="22"/>
        </w:rPr>
        <w:t>.</w:t>
      </w:r>
      <w:r w:rsidR="00E058AE">
        <w:rPr>
          <w:rFonts w:cs="Arial"/>
          <w:szCs w:val="22"/>
        </w:rPr>
        <w:t>7</w:t>
      </w:r>
      <w:r>
        <w:rPr>
          <w:rFonts w:cs="Arial"/>
          <w:szCs w:val="22"/>
        </w:rPr>
        <w:tab/>
      </w:r>
      <w:r w:rsidR="00D879F8" w:rsidRPr="00D879F8">
        <w:rPr>
          <w:rFonts w:cs="Arial"/>
          <w:szCs w:val="22"/>
        </w:rPr>
        <w:t xml:space="preserve">The views expressed in the HS are based on an understanding that a) the marketing exercise undertaken by the applicant demonstrates that the previous business as a public house is not viable and b) the building is vacant and beginning to deteriorate with concern that the building will fall into a state of disrepair. It is further concluded within the report that there would be </w:t>
      </w:r>
      <w:r w:rsidR="00D879F8" w:rsidRPr="00E058AE">
        <w:rPr>
          <w:rFonts w:cs="Arial"/>
          <w:i/>
          <w:szCs w:val="22"/>
        </w:rPr>
        <w:t>“no adverse impact whatsoever upon the significance of the listed building itself, no impact on its contribution to the conservation area and no impact on the setting of nearby listed buildings”.</w:t>
      </w:r>
      <w:r w:rsidR="00E058AE">
        <w:rPr>
          <w:rFonts w:cs="Arial"/>
          <w:i/>
          <w:szCs w:val="22"/>
        </w:rPr>
        <w:t xml:space="preserve"> </w:t>
      </w:r>
      <w:r w:rsidR="00E058AE" w:rsidRPr="00D879F8">
        <w:rPr>
          <w:rFonts w:cs="Arial"/>
          <w:szCs w:val="22"/>
        </w:rPr>
        <w:t>This conclusion is reached due to the fact that there are no physical changes proposed to the building itself. However, this approach ignores the range of inter-related heritage values that may be attached to a place</w:t>
      </w:r>
    </w:p>
    <w:p w:rsidR="00D879F8" w:rsidRPr="00D879F8" w:rsidRDefault="00D879F8" w:rsidP="00D879F8">
      <w:pPr>
        <w:spacing w:line="240" w:lineRule="auto"/>
        <w:ind w:left="720" w:hanging="720"/>
        <w:contextualSpacing/>
        <w:rPr>
          <w:rFonts w:cs="Arial"/>
          <w:szCs w:val="22"/>
        </w:rPr>
      </w:pPr>
    </w:p>
    <w:p w:rsidR="00D879F8" w:rsidRPr="00D879F8" w:rsidRDefault="008E750C" w:rsidP="008E750C">
      <w:pPr>
        <w:spacing w:line="240" w:lineRule="auto"/>
        <w:ind w:left="1440" w:hanging="720"/>
        <w:contextualSpacing/>
        <w:rPr>
          <w:rFonts w:cs="Arial"/>
          <w:szCs w:val="22"/>
        </w:rPr>
      </w:pPr>
      <w:r>
        <w:rPr>
          <w:rFonts w:cs="Arial"/>
          <w:szCs w:val="22"/>
        </w:rPr>
        <w:t>5.</w:t>
      </w:r>
      <w:r w:rsidR="004118A0">
        <w:rPr>
          <w:rFonts w:cs="Arial"/>
          <w:szCs w:val="22"/>
        </w:rPr>
        <w:t>4</w:t>
      </w:r>
      <w:r>
        <w:rPr>
          <w:rFonts w:cs="Arial"/>
          <w:szCs w:val="22"/>
        </w:rPr>
        <w:t>.</w:t>
      </w:r>
      <w:r w:rsidR="00E058AE">
        <w:rPr>
          <w:rFonts w:cs="Arial"/>
          <w:szCs w:val="22"/>
        </w:rPr>
        <w:t>8</w:t>
      </w:r>
      <w:r>
        <w:rPr>
          <w:rFonts w:cs="Arial"/>
          <w:szCs w:val="22"/>
        </w:rPr>
        <w:tab/>
      </w:r>
      <w:r w:rsidR="0057735E">
        <w:rPr>
          <w:rFonts w:cs="Arial"/>
          <w:szCs w:val="22"/>
        </w:rPr>
        <w:t xml:space="preserve">The historic use as a pub gives the building high evidential, historic and communal value, and the loss of this use is </w:t>
      </w:r>
      <w:r w:rsidR="00D879F8" w:rsidRPr="00D879F8">
        <w:rPr>
          <w:rFonts w:cs="Arial"/>
          <w:szCs w:val="22"/>
        </w:rPr>
        <w:t xml:space="preserve">scarcely considered in the HS, if at all. The historic (and communally important) use as a public house, which has been the building’s continuous use for </w:t>
      </w:r>
      <w:r w:rsidR="00E058AE">
        <w:rPr>
          <w:rFonts w:cs="Arial"/>
          <w:szCs w:val="22"/>
        </w:rPr>
        <w:t>at least 150</w:t>
      </w:r>
      <w:r w:rsidR="00D879F8" w:rsidRPr="00D879F8">
        <w:rPr>
          <w:rFonts w:cs="Arial"/>
          <w:szCs w:val="22"/>
        </w:rPr>
        <w:t xml:space="preserve"> years and is an essential part of its significance, is to be lost in its entirety as a result of the proposals. </w:t>
      </w:r>
      <w:r w:rsidR="0057735E">
        <w:rPr>
          <w:rFonts w:cs="Arial"/>
          <w:szCs w:val="22"/>
        </w:rPr>
        <w:t xml:space="preserve">The listing description notes the use as a public house and so this is an aspect that contributes to the building’s significance. </w:t>
      </w:r>
      <w:r w:rsidR="00D879F8" w:rsidRPr="00D879F8">
        <w:rPr>
          <w:rFonts w:cs="Arial"/>
          <w:szCs w:val="22"/>
        </w:rPr>
        <w:t>The building provides evidence of the siting of public houses along the main road on travel routes and would have been used by travellers and traders as well as the local community. The Duke of York is an attractive roadside building faced with stone and slate in harmony with the rest of the conservation area and has been a prominent feature of the village.</w:t>
      </w:r>
    </w:p>
    <w:p w:rsidR="00D879F8" w:rsidRPr="00D879F8" w:rsidRDefault="00D879F8" w:rsidP="00D879F8">
      <w:pPr>
        <w:spacing w:line="240" w:lineRule="auto"/>
        <w:ind w:left="720" w:hanging="720"/>
        <w:contextualSpacing/>
        <w:rPr>
          <w:rFonts w:cs="Arial"/>
          <w:szCs w:val="22"/>
        </w:rPr>
      </w:pPr>
    </w:p>
    <w:p w:rsidR="0057735E" w:rsidRDefault="008E750C" w:rsidP="008E750C">
      <w:pPr>
        <w:spacing w:line="240" w:lineRule="auto"/>
        <w:ind w:left="1440" w:hanging="720"/>
        <w:contextualSpacing/>
        <w:rPr>
          <w:rFonts w:cs="Arial"/>
          <w:szCs w:val="22"/>
        </w:rPr>
      </w:pPr>
      <w:r>
        <w:rPr>
          <w:rFonts w:cs="Arial"/>
          <w:szCs w:val="22"/>
        </w:rPr>
        <w:t>5.</w:t>
      </w:r>
      <w:r w:rsidR="004118A0">
        <w:rPr>
          <w:rFonts w:cs="Arial"/>
          <w:szCs w:val="22"/>
        </w:rPr>
        <w:t>4.</w:t>
      </w:r>
      <w:r w:rsidR="00E058AE">
        <w:rPr>
          <w:rFonts w:cs="Arial"/>
          <w:szCs w:val="22"/>
        </w:rPr>
        <w:t>9</w:t>
      </w:r>
      <w:r>
        <w:rPr>
          <w:rFonts w:cs="Arial"/>
          <w:szCs w:val="22"/>
        </w:rPr>
        <w:tab/>
      </w:r>
      <w:r w:rsidR="004D2BDD">
        <w:rPr>
          <w:rFonts w:cs="Arial"/>
          <w:szCs w:val="22"/>
        </w:rPr>
        <w:t>W</w:t>
      </w:r>
      <w:r w:rsidR="00D879F8" w:rsidRPr="00D879F8">
        <w:rPr>
          <w:rFonts w:cs="Arial"/>
          <w:szCs w:val="22"/>
        </w:rPr>
        <w:t xml:space="preserve">hilst the </w:t>
      </w:r>
      <w:r w:rsidR="0057735E">
        <w:rPr>
          <w:rFonts w:cs="Arial"/>
          <w:szCs w:val="22"/>
        </w:rPr>
        <w:t>building</w:t>
      </w:r>
      <w:r w:rsidR="00E058AE">
        <w:rPr>
          <w:rFonts w:cs="Arial"/>
          <w:szCs w:val="22"/>
        </w:rPr>
        <w:t>’</w:t>
      </w:r>
      <w:r w:rsidR="0057735E">
        <w:rPr>
          <w:rFonts w:cs="Arial"/>
          <w:szCs w:val="22"/>
        </w:rPr>
        <w:t>s aesthetic value</w:t>
      </w:r>
      <w:r w:rsidR="00D879F8" w:rsidRPr="00D879F8">
        <w:rPr>
          <w:rFonts w:cs="Arial"/>
          <w:szCs w:val="22"/>
        </w:rPr>
        <w:t xml:space="preserve"> appears unaffected at this stage the proposed layout does not appear conducive to residential use as a single dwelling. It is reasonable to assume that there would be alterations required to the building in order for it to be fit for modern living</w:t>
      </w:r>
      <w:r w:rsidR="007B3A58">
        <w:rPr>
          <w:rFonts w:cs="Arial"/>
          <w:szCs w:val="22"/>
        </w:rPr>
        <w:t xml:space="preserve"> that would result in </w:t>
      </w:r>
      <w:r w:rsidR="007B3A58" w:rsidRPr="007B3A58">
        <w:rPr>
          <w:rFonts w:cs="Arial"/>
          <w:szCs w:val="22"/>
        </w:rPr>
        <w:t>domestication of its appearance in the future.</w:t>
      </w:r>
      <w:r w:rsidR="007B3A58">
        <w:rPr>
          <w:rFonts w:cs="Arial"/>
          <w:szCs w:val="22"/>
        </w:rPr>
        <w:t xml:space="preserve"> </w:t>
      </w:r>
    </w:p>
    <w:p w:rsidR="0057735E" w:rsidRDefault="0057735E" w:rsidP="008E750C">
      <w:pPr>
        <w:spacing w:line="240" w:lineRule="auto"/>
        <w:ind w:left="1440" w:hanging="720"/>
        <w:contextualSpacing/>
        <w:rPr>
          <w:rFonts w:cs="Arial"/>
          <w:szCs w:val="22"/>
        </w:rPr>
      </w:pPr>
    </w:p>
    <w:p w:rsidR="00D879F8" w:rsidRPr="00D879F8" w:rsidRDefault="00E058AE" w:rsidP="008E750C">
      <w:pPr>
        <w:spacing w:line="240" w:lineRule="auto"/>
        <w:ind w:left="1440" w:hanging="720"/>
        <w:contextualSpacing/>
        <w:rPr>
          <w:rFonts w:cs="Arial"/>
          <w:szCs w:val="22"/>
        </w:rPr>
      </w:pPr>
      <w:r>
        <w:rPr>
          <w:rFonts w:cs="Arial"/>
          <w:szCs w:val="22"/>
        </w:rPr>
        <w:t>5.4.10</w:t>
      </w:r>
      <w:r>
        <w:rPr>
          <w:rFonts w:cs="Arial"/>
          <w:szCs w:val="22"/>
        </w:rPr>
        <w:tab/>
      </w:r>
      <w:r w:rsidR="00D879F8" w:rsidRPr="00D879F8">
        <w:rPr>
          <w:rFonts w:cs="Arial"/>
          <w:szCs w:val="22"/>
        </w:rPr>
        <w:t>It follows, therefore, that a permanent change of use away from a public house would inevitably result in some harm to its significance and special interest. Moreover, changing the use to a private dwelling would permanently restrict public access to the spaces that justified the building’s historic interest, which are of national significance. There would therefore be harm in undermining the evidential role the asset currently plays in a wider public understanding of our past.</w:t>
      </w:r>
    </w:p>
    <w:p w:rsidR="00D879F8" w:rsidRPr="00D879F8" w:rsidRDefault="00D879F8" w:rsidP="00D879F8">
      <w:pPr>
        <w:spacing w:line="240" w:lineRule="auto"/>
        <w:ind w:left="720" w:hanging="720"/>
        <w:contextualSpacing/>
        <w:rPr>
          <w:rFonts w:cs="Arial"/>
          <w:szCs w:val="22"/>
        </w:rPr>
      </w:pPr>
    </w:p>
    <w:p w:rsidR="00E058AE" w:rsidRDefault="008E750C" w:rsidP="008E750C">
      <w:pPr>
        <w:spacing w:line="240" w:lineRule="auto"/>
        <w:ind w:left="1440" w:hanging="720"/>
        <w:contextualSpacing/>
        <w:rPr>
          <w:rFonts w:cs="Arial"/>
          <w:szCs w:val="22"/>
        </w:rPr>
      </w:pPr>
      <w:r>
        <w:rPr>
          <w:rFonts w:cs="Arial"/>
          <w:szCs w:val="22"/>
        </w:rPr>
        <w:t>5.</w:t>
      </w:r>
      <w:r w:rsidR="004118A0">
        <w:rPr>
          <w:rFonts w:cs="Arial"/>
          <w:szCs w:val="22"/>
        </w:rPr>
        <w:t>4</w:t>
      </w:r>
      <w:r>
        <w:rPr>
          <w:rFonts w:cs="Arial"/>
          <w:szCs w:val="22"/>
        </w:rPr>
        <w:t>.</w:t>
      </w:r>
      <w:r w:rsidR="00E058AE">
        <w:rPr>
          <w:rFonts w:cs="Arial"/>
          <w:szCs w:val="22"/>
        </w:rPr>
        <w:t>1</w:t>
      </w:r>
      <w:r w:rsidR="00972710">
        <w:rPr>
          <w:rFonts w:cs="Arial"/>
          <w:szCs w:val="22"/>
        </w:rPr>
        <w:t>1</w:t>
      </w:r>
      <w:r>
        <w:rPr>
          <w:rFonts w:cs="Arial"/>
          <w:szCs w:val="22"/>
        </w:rPr>
        <w:tab/>
      </w:r>
      <w:r w:rsidR="00D879F8" w:rsidRPr="00D879F8">
        <w:rPr>
          <w:rFonts w:cs="Arial"/>
          <w:szCs w:val="22"/>
        </w:rPr>
        <w:t>Consideration must also be given to the impact of the proposals on the character and appearance of Grindleton Conservation Area as an area of special architectural and historic interest. The change of use would result in a more domestic appearance and the loss of a clear character reflecting its function as a public house and impact conservation area historic character from the loss of a use which has been central to the community since at least the 1850s.</w:t>
      </w:r>
    </w:p>
    <w:p w:rsidR="00E058AE" w:rsidRDefault="00E058AE" w:rsidP="008E750C">
      <w:pPr>
        <w:spacing w:line="240" w:lineRule="auto"/>
        <w:ind w:left="1440" w:hanging="720"/>
        <w:contextualSpacing/>
        <w:rPr>
          <w:rFonts w:cs="Arial"/>
          <w:szCs w:val="22"/>
        </w:rPr>
      </w:pPr>
    </w:p>
    <w:p w:rsidR="00D879F8" w:rsidRPr="00D879F8" w:rsidRDefault="00E058AE" w:rsidP="008E750C">
      <w:pPr>
        <w:spacing w:line="240" w:lineRule="auto"/>
        <w:ind w:left="1440" w:hanging="720"/>
        <w:contextualSpacing/>
        <w:rPr>
          <w:rFonts w:cs="Arial"/>
          <w:szCs w:val="22"/>
        </w:rPr>
      </w:pPr>
      <w:r>
        <w:rPr>
          <w:rFonts w:cs="Arial"/>
          <w:szCs w:val="22"/>
        </w:rPr>
        <w:t>5.4.1</w:t>
      </w:r>
      <w:r w:rsidR="00972710">
        <w:rPr>
          <w:rFonts w:cs="Arial"/>
          <w:szCs w:val="22"/>
        </w:rPr>
        <w:t>2</w:t>
      </w:r>
      <w:r w:rsidR="00D879F8" w:rsidRPr="00D879F8">
        <w:rPr>
          <w:rFonts w:cs="Arial"/>
          <w:szCs w:val="22"/>
        </w:rPr>
        <w:t xml:space="preserve">Due to its prominent location, marking the start of the Grindleton Conservation Area designation on approach along Grindleton Brow, the building makes a positive contribution to the character and appearance of the Conservation Area as an important part of its historic built development. As such, the building contributes </w:t>
      </w:r>
      <w:r w:rsidR="00D879F8" w:rsidRPr="00D879F8">
        <w:rPr>
          <w:rFonts w:cs="Arial"/>
          <w:szCs w:val="22"/>
        </w:rPr>
        <w:lastRenderedPageBreak/>
        <w:t xml:space="preserve">aesthetically and historically to the character and appearance of the Conservation Area as a whole, and thereby to its significance as a designated heritage asset. </w:t>
      </w:r>
    </w:p>
    <w:p w:rsidR="00D879F8" w:rsidRPr="00D879F8" w:rsidRDefault="00D879F8" w:rsidP="00D879F8">
      <w:pPr>
        <w:spacing w:line="240" w:lineRule="auto"/>
        <w:ind w:left="720" w:hanging="720"/>
        <w:contextualSpacing/>
        <w:rPr>
          <w:rFonts w:cs="Arial"/>
          <w:szCs w:val="22"/>
        </w:rPr>
      </w:pPr>
    </w:p>
    <w:p w:rsidR="00576EFF" w:rsidRDefault="008E750C" w:rsidP="008E750C">
      <w:pPr>
        <w:spacing w:line="240" w:lineRule="auto"/>
        <w:ind w:left="1440" w:hanging="720"/>
        <w:contextualSpacing/>
        <w:rPr>
          <w:rFonts w:cs="Arial"/>
          <w:szCs w:val="22"/>
        </w:rPr>
      </w:pPr>
      <w:r>
        <w:rPr>
          <w:rFonts w:cs="Arial"/>
          <w:szCs w:val="22"/>
        </w:rPr>
        <w:t>5.</w:t>
      </w:r>
      <w:r w:rsidR="004118A0">
        <w:rPr>
          <w:rFonts w:cs="Arial"/>
          <w:szCs w:val="22"/>
        </w:rPr>
        <w:t>4</w:t>
      </w:r>
      <w:r>
        <w:rPr>
          <w:rFonts w:cs="Arial"/>
          <w:szCs w:val="22"/>
        </w:rPr>
        <w:t>.1</w:t>
      </w:r>
      <w:r w:rsidR="00972710">
        <w:rPr>
          <w:rFonts w:cs="Arial"/>
          <w:szCs w:val="22"/>
        </w:rPr>
        <w:t>3</w:t>
      </w:r>
      <w:r>
        <w:rPr>
          <w:rFonts w:cs="Arial"/>
          <w:szCs w:val="22"/>
        </w:rPr>
        <w:tab/>
      </w:r>
      <w:r w:rsidR="00D879F8" w:rsidRPr="00D879F8">
        <w:rPr>
          <w:rFonts w:cs="Arial"/>
          <w:szCs w:val="22"/>
        </w:rPr>
        <w:t xml:space="preserve">Similar matters were considered recently in appeals relating to the Grade II listed Dog and Partridge at </w:t>
      </w:r>
      <w:proofErr w:type="spellStart"/>
      <w:r w:rsidR="00D879F8" w:rsidRPr="00D879F8">
        <w:rPr>
          <w:rFonts w:cs="Arial"/>
          <w:szCs w:val="22"/>
        </w:rPr>
        <w:t>Tosside</w:t>
      </w:r>
      <w:proofErr w:type="spellEnd"/>
      <w:r w:rsidR="00D879F8" w:rsidRPr="00D879F8">
        <w:rPr>
          <w:rFonts w:cs="Arial"/>
          <w:szCs w:val="22"/>
        </w:rPr>
        <w:t xml:space="preserve"> (application refs. 3/2016/0708 and 3/2016/0709) where proposals to change the public house, owner's living accommodation and bed and breakfast facility to two dwellings was dismissed. In assessing the significance of the Dog and Partridge the appeal Inspector stated, </w:t>
      </w:r>
    </w:p>
    <w:p w:rsidR="00576EFF" w:rsidRDefault="00576EFF" w:rsidP="008E750C">
      <w:pPr>
        <w:spacing w:line="240" w:lineRule="auto"/>
        <w:ind w:left="1440" w:hanging="720"/>
        <w:contextualSpacing/>
        <w:rPr>
          <w:rFonts w:cs="Arial"/>
          <w:szCs w:val="22"/>
        </w:rPr>
      </w:pPr>
    </w:p>
    <w:p w:rsidR="00D879F8" w:rsidRPr="00D879F8" w:rsidRDefault="00D879F8" w:rsidP="00576EFF">
      <w:pPr>
        <w:spacing w:line="240" w:lineRule="auto"/>
        <w:ind w:left="2160"/>
        <w:contextualSpacing/>
        <w:rPr>
          <w:rFonts w:cs="Arial"/>
          <w:szCs w:val="22"/>
        </w:rPr>
      </w:pPr>
      <w:r w:rsidRPr="00D879F8">
        <w:rPr>
          <w:rFonts w:cs="Arial"/>
          <w:szCs w:val="22"/>
        </w:rPr>
        <w:t>“</w:t>
      </w:r>
      <w:r w:rsidRPr="00576EFF">
        <w:rPr>
          <w:rFonts w:cs="Arial"/>
          <w:i/>
          <w:szCs w:val="22"/>
        </w:rPr>
        <w:t xml:space="preserve">The prominent location of the building, at the historic centre of the hamlet, and its largely intact front elevation and gable end make a significant contribution to local character through its understated, vernacular architectural features and uncluttered frontage. Its position on the main route through the hamlet and established use, as a public house, gives rise to a significant depth of historic continuity, as indicated on the earliest maps of the area. </w:t>
      </w:r>
      <w:proofErr w:type="spellStart"/>
      <w:r w:rsidRPr="00576EFF">
        <w:rPr>
          <w:rFonts w:cs="Arial"/>
          <w:i/>
          <w:szCs w:val="22"/>
        </w:rPr>
        <w:t>Unsustained</w:t>
      </w:r>
      <w:proofErr w:type="spellEnd"/>
      <w:r w:rsidRPr="00576EFF">
        <w:rPr>
          <w:rFonts w:cs="Arial"/>
          <w:i/>
          <w:szCs w:val="22"/>
        </w:rPr>
        <w:t xml:space="preserve"> periods when it may have served other functions also indicates its role as a building strongly associated with the day to day life of the hamlet and surrounding farmsteads. Given the above, I find that the special interest of the listed building, insofar as it relates to this appeal, to be primarily associated with the historic legibility of the form and function of the building with special regard to its communal and historic value</w:t>
      </w:r>
      <w:r w:rsidRPr="00D879F8">
        <w:rPr>
          <w:rFonts w:cs="Arial"/>
          <w:szCs w:val="22"/>
        </w:rPr>
        <w:t>.”</w:t>
      </w:r>
    </w:p>
    <w:p w:rsidR="00D879F8" w:rsidRPr="00D879F8" w:rsidRDefault="00D879F8" w:rsidP="00D879F8">
      <w:pPr>
        <w:spacing w:line="240" w:lineRule="auto"/>
        <w:ind w:left="720" w:hanging="720"/>
        <w:contextualSpacing/>
        <w:rPr>
          <w:rFonts w:cs="Arial"/>
          <w:szCs w:val="22"/>
        </w:rPr>
      </w:pPr>
    </w:p>
    <w:p w:rsidR="00D879F8" w:rsidRDefault="008E750C" w:rsidP="00E058AE">
      <w:pPr>
        <w:spacing w:line="240" w:lineRule="auto"/>
        <w:ind w:left="1440" w:hanging="720"/>
        <w:contextualSpacing/>
        <w:rPr>
          <w:rFonts w:cs="Arial"/>
          <w:szCs w:val="22"/>
        </w:rPr>
      </w:pPr>
      <w:r>
        <w:rPr>
          <w:rFonts w:cs="Arial"/>
          <w:szCs w:val="22"/>
        </w:rPr>
        <w:t>5.</w:t>
      </w:r>
      <w:r w:rsidR="004118A0">
        <w:rPr>
          <w:rFonts w:cs="Arial"/>
          <w:szCs w:val="22"/>
        </w:rPr>
        <w:t>4</w:t>
      </w:r>
      <w:r w:rsidR="00631B88">
        <w:rPr>
          <w:rFonts w:cs="Arial"/>
          <w:szCs w:val="22"/>
        </w:rPr>
        <w:t>.1</w:t>
      </w:r>
      <w:r w:rsidR="00972710">
        <w:rPr>
          <w:rFonts w:cs="Arial"/>
          <w:szCs w:val="22"/>
        </w:rPr>
        <w:t>4</w:t>
      </w:r>
      <w:r>
        <w:rPr>
          <w:rFonts w:cs="Arial"/>
          <w:szCs w:val="22"/>
        </w:rPr>
        <w:tab/>
      </w:r>
      <w:r w:rsidR="00D879F8" w:rsidRPr="00D879F8">
        <w:rPr>
          <w:rFonts w:cs="Arial"/>
          <w:szCs w:val="22"/>
        </w:rPr>
        <w:t>It is considered that much of the same logic can be applied equally to the Duke of York, identified as a Focal Building in the Grindleton Conservation Area Appraisal, and located in a prominent corner plot within the village.</w:t>
      </w:r>
    </w:p>
    <w:p w:rsidR="00E058AE" w:rsidRPr="00D879F8" w:rsidRDefault="00E058AE" w:rsidP="00E058AE">
      <w:pPr>
        <w:spacing w:line="240" w:lineRule="auto"/>
        <w:ind w:left="1440" w:hanging="720"/>
        <w:contextualSpacing/>
        <w:rPr>
          <w:rFonts w:cs="Arial"/>
          <w:szCs w:val="22"/>
        </w:rPr>
      </w:pPr>
    </w:p>
    <w:p w:rsidR="00D879F8" w:rsidRPr="00D879F8" w:rsidRDefault="008E750C" w:rsidP="008E750C">
      <w:pPr>
        <w:spacing w:line="240" w:lineRule="auto"/>
        <w:ind w:left="1440" w:hanging="720"/>
        <w:contextualSpacing/>
        <w:rPr>
          <w:rFonts w:cs="Arial"/>
          <w:szCs w:val="22"/>
        </w:rPr>
      </w:pPr>
      <w:r>
        <w:rPr>
          <w:rFonts w:cs="Arial"/>
          <w:szCs w:val="22"/>
        </w:rPr>
        <w:t>5.</w:t>
      </w:r>
      <w:r w:rsidR="004118A0">
        <w:rPr>
          <w:rFonts w:cs="Arial"/>
          <w:szCs w:val="22"/>
        </w:rPr>
        <w:t>4</w:t>
      </w:r>
      <w:r w:rsidR="00631B88">
        <w:rPr>
          <w:rFonts w:cs="Arial"/>
          <w:szCs w:val="22"/>
        </w:rPr>
        <w:t>.1</w:t>
      </w:r>
      <w:r w:rsidR="00972710">
        <w:rPr>
          <w:rFonts w:cs="Arial"/>
          <w:szCs w:val="22"/>
        </w:rPr>
        <w:t>5</w:t>
      </w:r>
      <w:r>
        <w:rPr>
          <w:rFonts w:cs="Arial"/>
          <w:szCs w:val="22"/>
        </w:rPr>
        <w:tab/>
      </w:r>
      <w:r w:rsidR="00D879F8" w:rsidRPr="00D879F8">
        <w:rPr>
          <w:rFonts w:cs="Arial"/>
          <w:szCs w:val="22"/>
        </w:rPr>
        <w:t xml:space="preserve">In </w:t>
      </w:r>
      <w:r w:rsidR="00631B88">
        <w:rPr>
          <w:rFonts w:cs="Arial"/>
          <w:szCs w:val="22"/>
        </w:rPr>
        <w:t>refusing</w:t>
      </w:r>
      <w:r w:rsidR="00D879F8" w:rsidRPr="00D879F8">
        <w:rPr>
          <w:rFonts w:cs="Arial"/>
          <w:szCs w:val="22"/>
        </w:rPr>
        <w:t xml:space="preserve"> the previous planning application at th</w:t>
      </w:r>
      <w:r w:rsidR="00631B88">
        <w:rPr>
          <w:rFonts w:cs="Arial"/>
          <w:szCs w:val="22"/>
        </w:rPr>
        <w:t>is</w:t>
      </w:r>
      <w:r w:rsidR="00D879F8" w:rsidRPr="00D879F8">
        <w:rPr>
          <w:rFonts w:cs="Arial"/>
          <w:szCs w:val="22"/>
        </w:rPr>
        <w:t xml:space="preserve"> site, which sought change of use of the public house to a residential dwelling including alterations to the fabric of the building and new build development comprising three holiday cottages and two storey detached garage/store, it was deemed that the proposals would result in </w:t>
      </w:r>
      <w:r w:rsidR="00D879F8" w:rsidRPr="00631B88">
        <w:rPr>
          <w:rFonts w:cs="Arial"/>
          <w:i/>
          <w:szCs w:val="22"/>
        </w:rPr>
        <w:t>substantial harm</w:t>
      </w:r>
      <w:r w:rsidR="00D879F8" w:rsidRPr="00D879F8">
        <w:rPr>
          <w:rFonts w:cs="Arial"/>
          <w:szCs w:val="22"/>
        </w:rPr>
        <w:t xml:space="preserve"> to heritage assets. The scheme now before the Council proposes change of use only and thus the level of harm when compared with the previously refused scheme has been reduced.</w:t>
      </w:r>
    </w:p>
    <w:p w:rsidR="00D879F8" w:rsidRPr="00D879F8" w:rsidRDefault="00D879F8" w:rsidP="00D879F8">
      <w:pPr>
        <w:spacing w:line="240" w:lineRule="auto"/>
        <w:ind w:left="720" w:hanging="720"/>
        <w:contextualSpacing/>
        <w:rPr>
          <w:rFonts w:cs="Arial"/>
          <w:szCs w:val="22"/>
        </w:rPr>
      </w:pPr>
    </w:p>
    <w:p w:rsidR="00E058AE" w:rsidRDefault="008E750C" w:rsidP="008E750C">
      <w:pPr>
        <w:spacing w:line="240" w:lineRule="auto"/>
        <w:ind w:left="1440" w:hanging="720"/>
        <w:contextualSpacing/>
        <w:rPr>
          <w:rFonts w:cs="Arial"/>
          <w:szCs w:val="22"/>
        </w:rPr>
      </w:pPr>
      <w:r>
        <w:rPr>
          <w:rFonts w:cs="Arial"/>
          <w:szCs w:val="22"/>
        </w:rPr>
        <w:t>5.</w:t>
      </w:r>
      <w:r w:rsidR="004118A0">
        <w:rPr>
          <w:rFonts w:cs="Arial"/>
          <w:szCs w:val="22"/>
        </w:rPr>
        <w:t>4</w:t>
      </w:r>
      <w:r w:rsidR="00631B88">
        <w:rPr>
          <w:rFonts w:cs="Arial"/>
          <w:szCs w:val="22"/>
        </w:rPr>
        <w:t>.1</w:t>
      </w:r>
      <w:r w:rsidR="00972710">
        <w:rPr>
          <w:rFonts w:cs="Arial"/>
          <w:szCs w:val="22"/>
        </w:rPr>
        <w:t>6</w:t>
      </w:r>
      <w:r>
        <w:rPr>
          <w:rFonts w:cs="Arial"/>
          <w:szCs w:val="22"/>
        </w:rPr>
        <w:tab/>
      </w:r>
      <w:r w:rsidR="00D879F8" w:rsidRPr="00D879F8">
        <w:rPr>
          <w:rFonts w:cs="Arial"/>
          <w:szCs w:val="22"/>
        </w:rPr>
        <w:t xml:space="preserve">Having regard to the above, it is thought that the proposals would result in </w:t>
      </w:r>
      <w:r w:rsidR="00D879F8" w:rsidRPr="00631B88">
        <w:rPr>
          <w:rFonts w:cs="Arial"/>
          <w:i/>
          <w:szCs w:val="22"/>
        </w:rPr>
        <w:t>less than substantial harm</w:t>
      </w:r>
      <w:r w:rsidR="00D879F8" w:rsidRPr="00D879F8">
        <w:rPr>
          <w:rFonts w:cs="Arial"/>
          <w:szCs w:val="22"/>
        </w:rPr>
        <w:t xml:space="preserve"> to the historic interest of the listed building (see section 16 and 66 of the Act; NPPF paragraph 195) and less than substantial harm to the character and appearance of Grindleton Conservation Area. </w:t>
      </w:r>
    </w:p>
    <w:p w:rsidR="00E058AE" w:rsidRDefault="00E058AE" w:rsidP="008E750C">
      <w:pPr>
        <w:spacing w:line="240" w:lineRule="auto"/>
        <w:ind w:left="1440" w:hanging="720"/>
        <w:contextualSpacing/>
        <w:rPr>
          <w:rFonts w:cs="Arial"/>
          <w:szCs w:val="22"/>
        </w:rPr>
      </w:pPr>
    </w:p>
    <w:p w:rsidR="00D879F8" w:rsidRPr="00D879F8" w:rsidRDefault="00E058AE" w:rsidP="008E750C">
      <w:pPr>
        <w:spacing w:line="240" w:lineRule="auto"/>
        <w:ind w:left="1440" w:hanging="720"/>
        <w:contextualSpacing/>
        <w:rPr>
          <w:rFonts w:cs="Arial"/>
          <w:szCs w:val="22"/>
        </w:rPr>
      </w:pPr>
      <w:r>
        <w:rPr>
          <w:rFonts w:cs="Arial"/>
          <w:szCs w:val="22"/>
        </w:rPr>
        <w:t>5.4.1</w:t>
      </w:r>
      <w:r w:rsidR="00972710">
        <w:rPr>
          <w:rFonts w:cs="Arial"/>
          <w:szCs w:val="22"/>
        </w:rPr>
        <w:t>7</w:t>
      </w:r>
      <w:r>
        <w:rPr>
          <w:rFonts w:cs="Arial"/>
          <w:szCs w:val="22"/>
        </w:rPr>
        <w:tab/>
      </w:r>
      <w:r w:rsidR="00D879F8" w:rsidRPr="00D879F8">
        <w:rPr>
          <w:rFonts w:cs="Arial"/>
          <w:szCs w:val="22"/>
        </w:rPr>
        <w:t>NPPG [Paragraph: 018 Reference ID: 18a-018-20190723] states that “</w:t>
      </w:r>
      <w:r w:rsidR="00D879F8" w:rsidRPr="00E058AE">
        <w:rPr>
          <w:rFonts w:cs="Arial"/>
          <w:i/>
          <w:szCs w:val="22"/>
        </w:rPr>
        <w:t>in general terms, substantial harm is a high test, so it may not arise in many cases. For example, in determining whether works to a listed building constitute substantial harm, an important consideration would be whether the adverse impact seriously affects a key element of its special architectural or historic interest. It is the degree of harm to the asset’s significance rather than the scale of the development that is to be assessed. The harm may arise from works to the asset or from development within its setting.”</w:t>
      </w:r>
      <w:r w:rsidR="00D879F8" w:rsidRPr="00D879F8">
        <w:rPr>
          <w:rFonts w:cs="Arial"/>
          <w:szCs w:val="22"/>
        </w:rPr>
        <w:t xml:space="preserve"> The development would result in complete loss of the building’s historic use which contributes significantly to its historic interest as a Listed Building. There would however be no physical harm to the fabric of the building</w:t>
      </w:r>
      <w:r w:rsidR="00631B88">
        <w:rPr>
          <w:rFonts w:cs="Arial"/>
          <w:szCs w:val="22"/>
        </w:rPr>
        <w:t xml:space="preserve"> and it is not deemed that the level of harm would be substantial.</w:t>
      </w:r>
    </w:p>
    <w:p w:rsidR="00D879F8" w:rsidRPr="00D879F8" w:rsidRDefault="00D879F8" w:rsidP="00D879F8">
      <w:pPr>
        <w:spacing w:line="240" w:lineRule="auto"/>
        <w:ind w:left="720" w:hanging="720"/>
        <w:contextualSpacing/>
        <w:rPr>
          <w:rFonts w:cs="Arial"/>
          <w:szCs w:val="22"/>
        </w:rPr>
      </w:pPr>
    </w:p>
    <w:p w:rsidR="00D879F8" w:rsidRPr="00D879F8" w:rsidRDefault="008E750C" w:rsidP="008E750C">
      <w:pPr>
        <w:spacing w:line="240" w:lineRule="auto"/>
        <w:ind w:left="1440" w:hanging="720"/>
        <w:contextualSpacing/>
        <w:rPr>
          <w:rFonts w:cs="Arial"/>
          <w:szCs w:val="22"/>
        </w:rPr>
      </w:pPr>
      <w:r>
        <w:rPr>
          <w:rFonts w:cs="Arial"/>
          <w:szCs w:val="22"/>
        </w:rPr>
        <w:lastRenderedPageBreak/>
        <w:t>5.</w:t>
      </w:r>
      <w:r w:rsidR="004118A0">
        <w:rPr>
          <w:rFonts w:cs="Arial"/>
          <w:szCs w:val="22"/>
        </w:rPr>
        <w:t>4</w:t>
      </w:r>
      <w:r w:rsidR="00631B88">
        <w:rPr>
          <w:rFonts w:cs="Arial"/>
          <w:szCs w:val="22"/>
        </w:rPr>
        <w:t>.1</w:t>
      </w:r>
      <w:r w:rsidR="00972710">
        <w:rPr>
          <w:rFonts w:cs="Arial"/>
          <w:szCs w:val="22"/>
        </w:rPr>
        <w:t>8</w:t>
      </w:r>
      <w:r>
        <w:rPr>
          <w:rFonts w:cs="Arial"/>
          <w:szCs w:val="22"/>
        </w:rPr>
        <w:tab/>
      </w:r>
      <w:r w:rsidR="00D879F8" w:rsidRPr="00D879F8">
        <w:rPr>
          <w:rFonts w:cs="Arial"/>
          <w:szCs w:val="22"/>
        </w:rPr>
        <w:t>Under such circumstances, paragraph 196 of the Framework advises that where a development proposal will lead to less than substantial harm to the significance of a designated heritage asset, this harm should be weighed against the public benefits of the proposal including where appropriate, securing its optimal viable use.</w:t>
      </w:r>
    </w:p>
    <w:p w:rsidR="00D879F8" w:rsidRPr="00D879F8" w:rsidRDefault="00D879F8" w:rsidP="007B1B1C">
      <w:pPr>
        <w:spacing w:line="240" w:lineRule="auto"/>
        <w:contextualSpacing/>
        <w:rPr>
          <w:rFonts w:cs="Arial"/>
          <w:szCs w:val="22"/>
        </w:rPr>
      </w:pPr>
    </w:p>
    <w:p w:rsidR="00D879F8" w:rsidRPr="00D879F8" w:rsidRDefault="008E750C" w:rsidP="008E750C">
      <w:pPr>
        <w:spacing w:line="240" w:lineRule="auto"/>
        <w:ind w:left="1440" w:hanging="720"/>
        <w:contextualSpacing/>
        <w:rPr>
          <w:rFonts w:cs="Arial"/>
          <w:szCs w:val="22"/>
        </w:rPr>
      </w:pPr>
      <w:r>
        <w:rPr>
          <w:rFonts w:cs="Arial"/>
          <w:szCs w:val="22"/>
        </w:rPr>
        <w:t>5.</w:t>
      </w:r>
      <w:r w:rsidR="004118A0">
        <w:rPr>
          <w:rFonts w:cs="Arial"/>
          <w:szCs w:val="22"/>
        </w:rPr>
        <w:t>4</w:t>
      </w:r>
      <w:r>
        <w:rPr>
          <w:rFonts w:cs="Arial"/>
          <w:szCs w:val="22"/>
        </w:rPr>
        <w:t>.</w:t>
      </w:r>
      <w:r w:rsidR="00631B88">
        <w:rPr>
          <w:rFonts w:cs="Arial"/>
          <w:szCs w:val="22"/>
        </w:rPr>
        <w:t>1</w:t>
      </w:r>
      <w:r w:rsidR="00972710">
        <w:rPr>
          <w:rFonts w:cs="Arial"/>
          <w:szCs w:val="22"/>
        </w:rPr>
        <w:t>9</w:t>
      </w:r>
      <w:r>
        <w:rPr>
          <w:rFonts w:cs="Arial"/>
          <w:szCs w:val="22"/>
        </w:rPr>
        <w:tab/>
      </w:r>
      <w:r w:rsidR="00D879F8" w:rsidRPr="00D879F8">
        <w:rPr>
          <w:rFonts w:cs="Arial"/>
          <w:szCs w:val="22"/>
        </w:rPr>
        <w:t>The Planning Statement refers to the proposed conversion as the ‘optimal viable alternative use’. However, potential alternatives (with less harm to the designated heritage assets) are not examined or discounted. NPPG [Paragraph: 015 Reference ID: 18a-015-20190723] sets out that if there is a range of alternative economically viable uses, the optimum viable use is the one likely to cause the least harm to the significance of the asset.</w:t>
      </w:r>
      <w:bookmarkStart w:id="1" w:name="_Hlk42698036"/>
      <w:r w:rsidR="00D879F8" w:rsidRPr="00D879F8">
        <w:rPr>
          <w:rFonts w:cs="Arial"/>
          <w:szCs w:val="22"/>
        </w:rPr>
        <w:t xml:space="preserve"> Given that it has not been demonstrated that use of the Duke of York as a public house is unviable, its repair and use as a public house is the optimal viable use.</w:t>
      </w:r>
      <w:bookmarkEnd w:id="1"/>
    </w:p>
    <w:p w:rsidR="00D879F8" w:rsidRPr="00D879F8" w:rsidRDefault="00D879F8" w:rsidP="00D879F8">
      <w:pPr>
        <w:spacing w:line="240" w:lineRule="auto"/>
        <w:ind w:left="720" w:hanging="720"/>
        <w:contextualSpacing/>
        <w:rPr>
          <w:rFonts w:cs="Arial"/>
          <w:szCs w:val="22"/>
        </w:rPr>
      </w:pPr>
    </w:p>
    <w:p w:rsidR="009064C0" w:rsidRDefault="008E750C" w:rsidP="00631B88">
      <w:pPr>
        <w:spacing w:line="240" w:lineRule="auto"/>
        <w:ind w:left="1440" w:hanging="720"/>
        <w:contextualSpacing/>
        <w:rPr>
          <w:rFonts w:cs="Arial"/>
          <w:szCs w:val="22"/>
        </w:rPr>
      </w:pPr>
      <w:r>
        <w:rPr>
          <w:rFonts w:cs="Arial"/>
          <w:szCs w:val="22"/>
        </w:rPr>
        <w:t>5.</w:t>
      </w:r>
      <w:r w:rsidR="004118A0">
        <w:rPr>
          <w:rFonts w:cs="Arial"/>
          <w:szCs w:val="22"/>
        </w:rPr>
        <w:t>4</w:t>
      </w:r>
      <w:r>
        <w:rPr>
          <w:rFonts w:cs="Arial"/>
          <w:szCs w:val="22"/>
        </w:rPr>
        <w:t>.</w:t>
      </w:r>
      <w:r w:rsidR="00972710">
        <w:rPr>
          <w:rFonts w:cs="Arial"/>
          <w:szCs w:val="22"/>
        </w:rPr>
        <w:t>20</w:t>
      </w:r>
      <w:r>
        <w:rPr>
          <w:rFonts w:cs="Arial"/>
          <w:szCs w:val="22"/>
        </w:rPr>
        <w:tab/>
      </w:r>
      <w:r w:rsidR="00D879F8" w:rsidRPr="00D879F8">
        <w:rPr>
          <w:rFonts w:cs="Arial"/>
          <w:szCs w:val="22"/>
        </w:rPr>
        <w:t>Whilst the Duke of York is currently vacant there is no risk to the building in the short term as it is not in a significantly deteriorated state and its potential use as a public house would remain, even when closed, although it is noted there would be a requirement for significant investment to bring it back to commercial use. Despite statements within the planning application documents referring to the decline of the building’s condition there is no evid</w:t>
      </w:r>
      <w:r w:rsidR="009064C0">
        <w:rPr>
          <w:rFonts w:cs="Arial"/>
          <w:szCs w:val="22"/>
        </w:rPr>
        <w:t>e</w:t>
      </w:r>
      <w:r w:rsidR="00D879F8" w:rsidRPr="00D879F8">
        <w:rPr>
          <w:rFonts w:cs="Arial"/>
          <w:szCs w:val="22"/>
        </w:rPr>
        <w:t xml:space="preserve">nce of this provided with the application, for example in the form of a </w:t>
      </w:r>
      <w:r w:rsidR="009064C0">
        <w:rPr>
          <w:rFonts w:cs="Arial"/>
          <w:szCs w:val="22"/>
        </w:rPr>
        <w:t>c</w:t>
      </w:r>
      <w:r w:rsidR="00D879F8" w:rsidRPr="00D879F8">
        <w:rPr>
          <w:rFonts w:cs="Arial"/>
          <w:szCs w:val="22"/>
        </w:rPr>
        <w:t xml:space="preserve">ondition </w:t>
      </w:r>
      <w:r w:rsidR="009064C0">
        <w:rPr>
          <w:rFonts w:cs="Arial"/>
          <w:szCs w:val="22"/>
        </w:rPr>
        <w:t>s</w:t>
      </w:r>
      <w:r w:rsidR="00D879F8" w:rsidRPr="00D879F8">
        <w:rPr>
          <w:rFonts w:cs="Arial"/>
          <w:szCs w:val="22"/>
        </w:rPr>
        <w:t xml:space="preserve">urvey. </w:t>
      </w:r>
    </w:p>
    <w:p w:rsidR="009064C0" w:rsidRDefault="009064C0" w:rsidP="009064C0">
      <w:pPr>
        <w:spacing w:line="240" w:lineRule="auto"/>
        <w:ind w:left="1440" w:hanging="720"/>
        <w:contextualSpacing/>
        <w:rPr>
          <w:rFonts w:cs="Arial"/>
          <w:szCs w:val="22"/>
        </w:rPr>
      </w:pPr>
    </w:p>
    <w:p w:rsidR="00631B88" w:rsidRDefault="009064C0" w:rsidP="009064C0">
      <w:pPr>
        <w:spacing w:line="240" w:lineRule="auto"/>
        <w:ind w:left="1440" w:hanging="720"/>
        <w:contextualSpacing/>
        <w:rPr>
          <w:rFonts w:cs="Arial"/>
          <w:szCs w:val="22"/>
        </w:rPr>
      </w:pPr>
      <w:r>
        <w:rPr>
          <w:rFonts w:cs="Arial"/>
          <w:szCs w:val="22"/>
        </w:rPr>
        <w:t>5.4.</w:t>
      </w:r>
      <w:r w:rsidR="0029183C">
        <w:rPr>
          <w:rFonts w:cs="Arial"/>
          <w:szCs w:val="22"/>
        </w:rPr>
        <w:t>2</w:t>
      </w:r>
      <w:r w:rsidR="00972710">
        <w:rPr>
          <w:rFonts w:cs="Arial"/>
          <w:szCs w:val="22"/>
        </w:rPr>
        <w:t>1</w:t>
      </w:r>
      <w:r>
        <w:rPr>
          <w:rFonts w:cs="Arial"/>
          <w:szCs w:val="22"/>
        </w:rPr>
        <w:tab/>
      </w:r>
      <w:r w:rsidR="00D879F8" w:rsidRPr="00D879F8">
        <w:rPr>
          <w:rFonts w:cs="Arial"/>
          <w:szCs w:val="22"/>
        </w:rPr>
        <w:t xml:space="preserve">The valuation reports submitted with the planning application confirm the overall structure of the premises is reasonable although the reports do identify some leakage to the roof at first and second floor and the central chimney stack. </w:t>
      </w:r>
      <w:r w:rsidR="00051E90">
        <w:rPr>
          <w:rFonts w:cs="Arial"/>
          <w:szCs w:val="22"/>
        </w:rPr>
        <w:t>These matters could be rectified by the owner of the property</w:t>
      </w:r>
      <w:r w:rsidR="00D879F8" w:rsidRPr="00D879F8">
        <w:rPr>
          <w:rFonts w:cs="Arial"/>
          <w:szCs w:val="22"/>
        </w:rPr>
        <w:t>.</w:t>
      </w:r>
      <w:r w:rsidR="00631B88">
        <w:rPr>
          <w:rFonts w:cs="Arial"/>
          <w:szCs w:val="22"/>
        </w:rPr>
        <w:t xml:space="preserve"> </w:t>
      </w:r>
      <w:r w:rsidR="00D879F8" w:rsidRPr="00D879F8">
        <w:rPr>
          <w:rFonts w:cs="Arial"/>
          <w:szCs w:val="22"/>
        </w:rPr>
        <w:t xml:space="preserve">Based on the information submitted it is not considered that the building is at risk in the short to medium term and any perceived benefit that would arise from safeguarding the structure by converting it to a </w:t>
      </w:r>
      <w:proofErr w:type="spellStart"/>
      <w:r w:rsidRPr="00D879F8">
        <w:rPr>
          <w:rFonts w:cs="Arial"/>
          <w:szCs w:val="22"/>
        </w:rPr>
        <w:t>dwellinghouse</w:t>
      </w:r>
      <w:proofErr w:type="spellEnd"/>
      <w:r w:rsidR="00D879F8" w:rsidRPr="00D879F8">
        <w:rPr>
          <w:rFonts w:cs="Arial"/>
          <w:szCs w:val="22"/>
        </w:rPr>
        <w:t xml:space="preserve"> would attract limited weight. </w:t>
      </w:r>
    </w:p>
    <w:p w:rsidR="00631B88" w:rsidRDefault="00631B88" w:rsidP="00631B88">
      <w:pPr>
        <w:spacing w:line="240" w:lineRule="auto"/>
        <w:ind w:left="1440" w:hanging="720"/>
        <w:contextualSpacing/>
        <w:rPr>
          <w:rFonts w:cs="Arial"/>
          <w:szCs w:val="22"/>
        </w:rPr>
      </w:pPr>
    </w:p>
    <w:p w:rsidR="00D879F8" w:rsidRDefault="00631B88" w:rsidP="00631B88">
      <w:pPr>
        <w:spacing w:line="240" w:lineRule="auto"/>
        <w:ind w:left="1440" w:hanging="720"/>
        <w:contextualSpacing/>
        <w:rPr>
          <w:rFonts w:cs="Arial"/>
          <w:szCs w:val="22"/>
        </w:rPr>
      </w:pPr>
      <w:r>
        <w:rPr>
          <w:rFonts w:cs="Arial"/>
          <w:szCs w:val="22"/>
        </w:rPr>
        <w:t>5.</w:t>
      </w:r>
      <w:r w:rsidR="004118A0">
        <w:rPr>
          <w:rFonts w:cs="Arial"/>
          <w:szCs w:val="22"/>
        </w:rPr>
        <w:t>4</w:t>
      </w:r>
      <w:r>
        <w:rPr>
          <w:rFonts w:cs="Arial"/>
          <w:szCs w:val="22"/>
        </w:rPr>
        <w:t>.</w:t>
      </w:r>
      <w:r w:rsidR="0029183C">
        <w:rPr>
          <w:rFonts w:cs="Arial"/>
          <w:szCs w:val="22"/>
        </w:rPr>
        <w:t>2</w:t>
      </w:r>
      <w:r w:rsidR="00972710">
        <w:rPr>
          <w:rFonts w:cs="Arial"/>
          <w:szCs w:val="22"/>
        </w:rPr>
        <w:t>2</w:t>
      </w:r>
      <w:r>
        <w:rPr>
          <w:rFonts w:cs="Arial"/>
          <w:szCs w:val="22"/>
        </w:rPr>
        <w:tab/>
        <w:t>T</w:t>
      </w:r>
      <w:r w:rsidR="00D879F8" w:rsidRPr="00D879F8">
        <w:rPr>
          <w:rFonts w:cs="Arial"/>
          <w:szCs w:val="22"/>
        </w:rPr>
        <w:t>he proposed development would not generate wider public benefits sufficient to outweigh the identified harm to designated heritage assets</w:t>
      </w:r>
      <w:r>
        <w:rPr>
          <w:rFonts w:cs="Arial"/>
          <w:szCs w:val="22"/>
        </w:rPr>
        <w:t>.</w:t>
      </w:r>
    </w:p>
    <w:p w:rsidR="008E750C" w:rsidRPr="00D879F8" w:rsidRDefault="008E750C" w:rsidP="008E750C">
      <w:pPr>
        <w:spacing w:line="240" w:lineRule="auto"/>
        <w:ind w:left="1440" w:hanging="720"/>
        <w:contextualSpacing/>
        <w:rPr>
          <w:rFonts w:cs="Arial"/>
          <w:szCs w:val="22"/>
        </w:rPr>
      </w:pPr>
    </w:p>
    <w:p w:rsidR="00D879F8" w:rsidRPr="00D879F8" w:rsidRDefault="008E750C" w:rsidP="00D879F8">
      <w:pPr>
        <w:spacing w:line="240" w:lineRule="auto"/>
        <w:ind w:left="720" w:hanging="720"/>
        <w:contextualSpacing/>
        <w:rPr>
          <w:rFonts w:cs="Arial"/>
          <w:szCs w:val="22"/>
        </w:rPr>
      </w:pPr>
      <w:r>
        <w:rPr>
          <w:rFonts w:cs="Arial"/>
          <w:szCs w:val="22"/>
        </w:rPr>
        <w:t>5.</w:t>
      </w:r>
      <w:r w:rsidR="004118A0">
        <w:rPr>
          <w:rFonts w:cs="Arial"/>
          <w:szCs w:val="22"/>
        </w:rPr>
        <w:t>5</w:t>
      </w:r>
      <w:r>
        <w:rPr>
          <w:rFonts w:cs="Arial"/>
          <w:szCs w:val="22"/>
        </w:rPr>
        <w:tab/>
      </w:r>
      <w:r w:rsidR="00D879F8" w:rsidRPr="008E750C">
        <w:rPr>
          <w:rFonts w:cs="Arial"/>
          <w:szCs w:val="22"/>
          <w:u w:val="single"/>
        </w:rPr>
        <w:t>Residential Amenity</w:t>
      </w:r>
    </w:p>
    <w:p w:rsidR="008E750C" w:rsidRDefault="008E750C" w:rsidP="00D879F8">
      <w:pPr>
        <w:spacing w:line="240" w:lineRule="auto"/>
        <w:ind w:left="720" w:hanging="720"/>
        <w:contextualSpacing/>
        <w:rPr>
          <w:rFonts w:cs="Arial"/>
          <w:szCs w:val="22"/>
        </w:rPr>
      </w:pPr>
    </w:p>
    <w:p w:rsidR="00D879F8" w:rsidRDefault="008E750C" w:rsidP="008E750C">
      <w:pPr>
        <w:spacing w:line="240" w:lineRule="auto"/>
        <w:ind w:left="1440" w:hanging="720"/>
        <w:contextualSpacing/>
        <w:rPr>
          <w:rFonts w:cs="Arial"/>
          <w:szCs w:val="22"/>
        </w:rPr>
      </w:pPr>
      <w:r>
        <w:rPr>
          <w:rFonts w:cs="Arial"/>
          <w:szCs w:val="22"/>
        </w:rPr>
        <w:t>5.</w:t>
      </w:r>
      <w:r w:rsidR="004118A0">
        <w:rPr>
          <w:rFonts w:cs="Arial"/>
          <w:szCs w:val="22"/>
        </w:rPr>
        <w:t>5</w:t>
      </w:r>
      <w:r>
        <w:rPr>
          <w:rFonts w:cs="Arial"/>
          <w:szCs w:val="22"/>
        </w:rPr>
        <w:t>.1</w:t>
      </w:r>
      <w:r>
        <w:rPr>
          <w:rFonts w:cs="Arial"/>
          <w:szCs w:val="22"/>
        </w:rPr>
        <w:tab/>
      </w:r>
      <w:r w:rsidR="00D879F8" w:rsidRPr="00D879F8">
        <w:rPr>
          <w:rFonts w:cs="Arial"/>
          <w:szCs w:val="22"/>
        </w:rPr>
        <w:t>The Duke of York adjoins 1 Kayley Terrace to the north. The rear gardens/yards of 1-4 Kayley Terrace bound the site to the east. The first-floor windows in the proposed new dwelling would not result in any undue harm to the amenity of neighbouring residents through loss of privacy or overlooking. The existing situation within the garden to the rear of the Duke of York does result in a notable lack of privacy for the occupants of 1 Kayley Terrace due to a difference in ground levels and it is considered that use of the building as a private residence would generate less noise and disturbance than the public house.</w:t>
      </w:r>
    </w:p>
    <w:p w:rsidR="008E750C" w:rsidRPr="00D879F8" w:rsidRDefault="008E750C" w:rsidP="008E750C">
      <w:pPr>
        <w:spacing w:line="240" w:lineRule="auto"/>
        <w:ind w:left="1440" w:hanging="720"/>
        <w:contextualSpacing/>
        <w:rPr>
          <w:rFonts w:cs="Arial"/>
          <w:szCs w:val="22"/>
        </w:rPr>
      </w:pPr>
    </w:p>
    <w:p w:rsidR="00D879F8" w:rsidRDefault="008E750C" w:rsidP="00D879F8">
      <w:pPr>
        <w:spacing w:line="240" w:lineRule="auto"/>
        <w:ind w:left="720" w:hanging="720"/>
        <w:contextualSpacing/>
        <w:rPr>
          <w:rFonts w:cs="Arial"/>
          <w:szCs w:val="22"/>
          <w:u w:val="single"/>
        </w:rPr>
      </w:pPr>
      <w:r>
        <w:rPr>
          <w:rFonts w:cs="Arial"/>
          <w:szCs w:val="22"/>
        </w:rPr>
        <w:t>5.</w:t>
      </w:r>
      <w:r w:rsidR="004118A0">
        <w:rPr>
          <w:rFonts w:cs="Arial"/>
          <w:szCs w:val="22"/>
        </w:rPr>
        <w:t>6</w:t>
      </w:r>
      <w:r>
        <w:rPr>
          <w:rFonts w:cs="Arial"/>
          <w:szCs w:val="22"/>
        </w:rPr>
        <w:tab/>
      </w:r>
      <w:r w:rsidR="00D879F8" w:rsidRPr="008E750C">
        <w:rPr>
          <w:rFonts w:cs="Arial"/>
          <w:szCs w:val="22"/>
          <w:u w:val="single"/>
        </w:rPr>
        <w:t>Highways</w:t>
      </w:r>
    </w:p>
    <w:p w:rsidR="008E750C" w:rsidRPr="00D879F8" w:rsidRDefault="008E750C" w:rsidP="00D879F8">
      <w:pPr>
        <w:spacing w:line="240" w:lineRule="auto"/>
        <w:ind w:left="720" w:hanging="720"/>
        <w:contextualSpacing/>
        <w:rPr>
          <w:rFonts w:cs="Arial"/>
          <w:szCs w:val="22"/>
        </w:rPr>
      </w:pPr>
    </w:p>
    <w:p w:rsidR="00D879F8" w:rsidRPr="00D879F8" w:rsidRDefault="008E750C" w:rsidP="008E750C">
      <w:pPr>
        <w:spacing w:line="240" w:lineRule="auto"/>
        <w:ind w:left="1440" w:hanging="720"/>
        <w:contextualSpacing/>
        <w:rPr>
          <w:rFonts w:cs="Arial"/>
          <w:szCs w:val="22"/>
        </w:rPr>
      </w:pPr>
      <w:r>
        <w:rPr>
          <w:rFonts w:cs="Arial"/>
          <w:szCs w:val="22"/>
        </w:rPr>
        <w:t>5.</w:t>
      </w:r>
      <w:r w:rsidR="004118A0">
        <w:rPr>
          <w:rFonts w:cs="Arial"/>
          <w:szCs w:val="22"/>
        </w:rPr>
        <w:t>6</w:t>
      </w:r>
      <w:r>
        <w:rPr>
          <w:rFonts w:cs="Arial"/>
          <w:szCs w:val="22"/>
        </w:rPr>
        <w:t>.1</w:t>
      </w:r>
      <w:r>
        <w:rPr>
          <w:rFonts w:cs="Arial"/>
          <w:szCs w:val="22"/>
        </w:rPr>
        <w:tab/>
      </w:r>
      <w:r w:rsidR="00D879F8" w:rsidRPr="00D879F8">
        <w:rPr>
          <w:rFonts w:cs="Arial"/>
          <w:szCs w:val="22"/>
        </w:rPr>
        <w:t xml:space="preserve">The proposal seeks to utilise part of the existing pub car park for off-street parking. The northern section of the existing car park would be grassed over to create a domestic garden area. The existing vehicular entrance into the pub car park would remain as existing and space retained for at least three vehicles to allow entrance </w:t>
      </w:r>
      <w:r w:rsidR="00D879F8" w:rsidRPr="00D879F8">
        <w:rPr>
          <w:rFonts w:cs="Arial"/>
          <w:szCs w:val="22"/>
        </w:rPr>
        <w:lastRenderedPageBreak/>
        <w:t>and egress in forward gear. As such, it is not considered that the proposals would have any adverse highway safety impact given the proposed use would generate notably less vehicle movements than a public house.</w:t>
      </w:r>
    </w:p>
    <w:p w:rsidR="008E750C" w:rsidRDefault="008E750C" w:rsidP="00D879F8">
      <w:pPr>
        <w:spacing w:line="240" w:lineRule="auto"/>
        <w:ind w:left="720" w:hanging="720"/>
        <w:contextualSpacing/>
        <w:rPr>
          <w:rFonts w:cs="Arial"/>
          <w:szCs w:val="22"/>
        </w:rPr>
      </w:pPr>
    </w:p>
    <w:p w:rsidR="00D879F8" w:rsidRPr="00D879F8" w:rsidRDefault="008E750C" w:rsidP="00D879F8">
      <w:pPr>
        <w:spacing w:line="240" w:lineRule="auto"/>
        <w:ind w:left="720" w:hanging="720"/>
        <w:contextualSpacing/>
        <w:rPr>
          <w:rFonts w:cs="Arial"/>
          <w:szCs w:val="22"/>
        </w:rPr>
      </w:pPr>
      <w:r>
        <w:rPr>
          <w:rFonts w:cs="Arial"/>
          <w:szCs w:val="22"/>
        </w:rPr>
        <w:t>5.</w:t>
      </w:r>
      <w:r w:rsidR="004118A0">
        <w:rPr>
          <w:rFonts w:cs="Arial"/>
          <w:szCs w:val="22"/>
        </w:rPr>
        <w:t>7</w:t>
      </w:r>
      <w:r>
        <w:rPr>
          <w:rFonts w:cs="Arial"/>
          <w:szCs w:val="22"/>
        </w:rPr>
        <w:tab/>
      </w:r>
      <w:r w:rsidR="00D879F8" w:rsidRPr="008E750C">
        <w:rPr>
          <w:rFonts w:cs="Arial"/>
          <w:szCs w:val="22"/>
          <w:u w:val="single"/>
        </w:rPr>
        <w:t xml:space="preserve">Observations/Consideration of </w:t>
      </w:r>
      <w:r w:rsidRPr="008E750C">
        <w:rPr>
          <w:rFonts w:cs="Arial"/>
          <w:szCs w:val="22"/>
          <w:u w:val="single"/>
        </w:rPr>
        <w:t xml:space="preserve">Other </w:t>
      </w:r>
      <w:r w:rsidR="00D879F8" w:rsidRPr="008E750C">
        <w:rPr>
          <w:rFonts w:cs="Arial"/>
          <w:szCs w:val="22"/>
          <w:u w:val="single"/>
        </w:rPr>
        <w:t>Matters Raised</w:t>
      </w:r>
    </w:p>
    <w:p w:rsidR="008E750C" w:rsidRDefault="008E750C" w:rsidP="00D879F8">
      <w:pPr>
        <w:spacing w:line="240" w:lineRule="auto"/>
        <w:ind w:left="720" w:hanging="720"/>
        <w:contextualSpacing/>
        <w:rPr>
          <w:rFonts w:cs="Arial"/>
          <w:szCs w:val="22"/>
        </w:rPr>
      </w:pPr>
    </w:p>
    <w:p w:rsidR="00D879F8" w:rsidRPr="00D879F8" w:rsidRDefault="008E750C" w:rsidP="008E750C">
      <w:pPr>
        <w:spacing w:line="240" w:lineRule="auto"/>
        <w:ind w:left="1440" w:hanging="720"/>
        <w:contextualSpacing/>
        <w:rPr>
          <w:rFonts w:cs="Arial"/>
          <w:szCs w:val="22"/>
        </w:rPr>
      </w:pPr>
      <w:r>
        <w:rPr>
          <w:rFonts w:cs="Arial"/>
          <w:szCs w:val="22"/>
        </w:rPr>
        <w:t>5.</w:t>
      </w:r>
      <w:r w:rsidR="004118A0">
        <w:rPr>
          <w:rFonts w:cs="Arial"/>
          <w:szCs w:val="22"/>
        </w:rPr>
        <w:t>7</w:t>
      </w:r>
      <w:r>
        <w:rPr>
          <w:rFonts w:cs="Arial"/>
          <w:szCs w:val="22"/>
        </w:rPr>
        <w:t>.1</w:t>
      </w:r>
      <w:r>
        <w:rPr>
          <w:rFonts w:cs="Arial"/>
          <w:szCs w:val="22"/>
        </w:rPr>
        <w:tab/>
      </w:r>
      <w:r w:rsidR="00D879F8" w:rsidRPr="00D879F8">
        <w:rPr>
          <w:rFonts w:cs="Arial"/>
          <w:szCs w:val="22"/>
        </w:rPr>
        <w:t xml:space="preserve">The previous applications at the site were supported by a protected species survey. Given the changes to the proposed development it is not considered that a protected species survey is required as part of this application. </w:t>
      </w:r>
    </w:p>
    <w:p w:rsidR="00D879F8" w:rsidRPr="00D879F8" w:rsidRDefault="00D879F8" w:rsidP="00D879F8">
      <w:pPr>
        <w:spacing w:line="240" w:lineRule="auto"/>
        <w:ind w:left="720" w:hanging="720"/>
        <w:contextualSpacing/>
        <w:rPr>
          <w:rFonts w:cs="Arial"/>
          <w:szCs w:val="22"/>
        </w:rPr>
      </w:pPr>
    </w:p>
    <w:p w:rsidR="00D879F8" w:rsidRPr="00D879F8" w:rsidRDefault="008E750C" w:rsidP="008E750C">
      <w:pPr>
        <w:spacing w:line="240" w:lineRule="auto"/>
        <w:ind w:left="1440" w:hanging="720"/>
        <w:contextualSpacing/>
        <w:rPr>
          <w:rFonts w:cs="Arial"/>
          <w:szCs w:val="22"/>
        </w:rPr>
      </w:pPr>
      <w:r>
        <w:rPr>
          <w:rFonts w:cs="Arial"/>
          <w:szCs w:val="22"/>
        </w:rPr>
        <w:t>5.</w:t>
      </w:r>
      <w:r w:rsidR="004118A0">
        <w:rPr>
          <w:rFonts w:cs="Arial"/>
          <w:szCs w:val="22"/>
        </w:rPr>
        <w:t>7</w:t>
      </w:r>
      <w:r>
        <w:rPr>
          <w:rFonts w:cs="Arial"/>
          <w:szCs w:val="22"/>
        </w:rPr>
        <w:t>.2</w:t>
      </w:r>
      <w:r>
        <w:rPr>
          <w:rFonts w:cs="Arial"/>
          <w:szCs w:val="22"/>
        </w:rPr>
        <w:tab/>
      </w:r>
      <w:r w:rsidR="00D879F8" w:rsidRPr="00D879F8">
        <w:rPr>
          <w:rFonts w:cs="Arial"/>
          <w:szCs w:val="22"/>
        </w:rPr>
        <w:t xml:space="preserve">Planning application 3/2019/0049 was refused for four reasons, one of which was the failure to identify the impact of the development on trees. The public house car park is sited directly adjacent to </w:t>
      </w:r>
      <w:r w:rsidR="00B91A1C">
        <w:rPr>
          <w:rFonts w:cs="Arial"/>
          <w:szCs w:val="22"/>
        </w:rPr>
        <w:t xml:space="preserve">a </w:t>
      </w:r>
      <w:r w:rsidR="00D879F8" w:rsidRPr="00D879F8">
        <w:rPr>
          <w:rFonts w:cs="Arial"/>
          <w:szCs w:val="22"/>
        </w:rPr>
        <w:t xml:space="preserve">Woodland Trust-owned site, Greendale Wood. The Woodland Trust objected to the previous planning application on the basis that the close proximity of the development could have numerous adverse impacts on the woodland. The new-build elements previously proposed no longer form part of this amended scheme which is for change of use of the public house to a residential </w:t>
      </w:r>
      <w:proofErr w:type="spellStart"/>
      <w:r w:rsidR="00D879F8" w:rsidRPr="00D879F8">
        <w:rPr>
          <w:rFonts w:cs="Arial"/>
          <w:szCs w:val="22"/>
        </w:rPr>
        <w:t>dwellinghouse</w:t>
      </w:r>
      <w:proofErr w:type="spellEnd"/>
      <w:r w:rsidR="00D879F8" w:rsidRPr="00D879F8">
        <w:rPr>
          <w:rFonts w:cs="Arial"/>
          <w:szCs w:val="22"/>
        </w:rPr>
        <w:t xml:space="preserve"> only. The issues raised by The Woodland Trust such as shading, leaf fall, overhanging branches and health and safety concerns are no longer relevant and it is not considered that the proposed development would adversely affect trees.</w:t>
      </w:r>
    </w:p>
    <w:p w:rsidR="00D879F8" w:rsidRDefault="00D879F8" w:rsidP="00D879F8">
      <w:pPr>
        <w:spacing w:line="240" w:lineRule="auto"/>
        <w:ind w:left="720" w:hanging="720"/>
        <w:contextualSpacing/>
        <w:rPr>
          <w:rFonts w:cs="Arial"/>
          <w:szCs w:val="22"/>
        </w:rPr>
      </w:pPr>
    </w:p>
    <w:p w:rsidR="008E750C" w:rsidRPr="008E750C" w:rsidRDefault="008E750C" w:rsidP="00D879F8">
      <w:pPr>
        <w:spacing w:line="240" w:lineRule="auto"/>
        <w:ind w:left="720" w:hanging="720"/>
        <w:contextualSpacing/>
        <w:rPr>
          <w:rFonts w:cs="Arial"/>
          <w:b/>
          <w:szCs w:val="22"/>
        </w:rPr>
      </w:pPr>
      <w:r w:rsidRPr="008E750C">
        <w:rPr>
          <w:rFonts w:cs="Arial"/>
          <w:b/>
          <w:szCs w:val="22"/>
        </w:rPr>
        <w:t>6.</w:t>
      </w:r>
      <w:r w:rsidRPr="008E750C">
        <w:rPr>
          <w:rFonts w:cs="Arial"/>
          <w:b/>
          <w:szCs w:val="22"/>
        </w:rPr>
        <w:tab/>
      </w:r>
      <w:r w:rsidRPr="008E750C">
        <w:rPr>
          <w:rFonts w:cs="Arial"/>
          <w:b/>
          <w:szCs w:val="22"/>
          <w:u w:val="single"/>
        </w:rPr>
        <w:t>Conclusion</w:t>
      </w:r>
    </w:p>
    <w:p w:rsidR="008E750C" w:rsidRPr="00D879F8" w:rsidRDefault="008E750C" w:rsidP="00D879F8">
      <w:pPr>
        <w:spacing w:line="240" w:lineRule="auto"/>
        <w:ind w:left="720" w:hanging="720"/>
        <w:contextualSpacing/>
        <w:rPr>
          <w:rFonts w:cs="Arial"/>
          <w:szCs w:val="22"/>
        </w:rPr>
      </w:pPr>
    </w:p>
    <w:p w:rsidR="00966299" w:rsidRDefault="008E750C" w:rsidP="00966299">
      <w:pPr>
        <w:spacing w:line="240" w:lineRule="auto"/>
        <w:ind w:left="720" w:hanging="720"/>
        <w:contextualSpacing/>
        <w:rPr>
          <w:rFonts w:cs="Arial"/>
          <w:szCs w:val="22"/>
        </w:rPr>
      </w:pPr>
      <w:r>
        <w:rPr>
          <w:rFonts w:cs="Arial"/>
          <w:szCs w:val="22"/>
        </w:rPr>
        <w:t>6.1</w:t>
      </w:r>
      <w:r>
        <w:rPr>
          <w:rFonts w:cs="Arial"/>
          <w:szCs w:val="22"/>
        </w:rPr>
        <w:tab/>
      </w:r>
      <w:r w:rsidR="00D879F8" w:rsidRPr="00D879F8">
        <w:rPr>
          <w:rFonts w:cs="Arial"/>
          <w:szCs w:val="22"/>
        </w:rPr>
        <w:t>Having regard to all of the above, the proposed development would result in less than substantial harm to the special historic interest of the Grade II listed building and be of detriment to the character of Grindleton Conservation Area</w:t>
      </w:r>
      <w:r w:rsidR="00966299">
        <w:rPr>
          <w:rFonts w:cs="Arial"/>
          <w:szCs w:val="22"/>
        </w:rPr>
        <w:t xml:space="preserve"> contrary to Core Strategy Key Statement EN5 and Policy DME4</w:t>
      </w:r>
      <w:r w:rsidR="00D879F8" w:rsidRPr="00D879F8">
        <w:rPr>
          <w:rFonts w:cs="Arial"/>
          <w:szCs w:val="22"/>
        </w:rPr>
        <w:t>.</w:t>
      </w:r>
      <w:r w:rsidR="009064C0">
        <w:rPr>
          <w:rFonts w:cs="Arial"/>
          <w:szCs w:val="22"/>
        </w:rPr>
        <w:t xml:space="preserve"> </w:t>
      </w:r>
      <w:r w:rsidR="009064C0">
        <w:t>Paragraph 193 of the Framework attaches great weight to the conservation of designated heritage assets and</w:t>
      </w:r>
      <w:r w:rsidR="009064C0">
        <w:rPr>
          <w:rFonts w:cs="Arial"/>
          <w:szCs w:val="22"/>
        </w:rPr>
        <w:t xml:space="preserve"> </w:t>
      </w:r>
      <w:r w:rsidR="00617CA5">
        <w:rPr>
          <w:rFonts w:cs="Arial"/>
          <w:szCs w:val="22"/>
        </w:rPr>
        <w:t>the proposal</w:t>
      </w:r>
      <w:r w:rsidR="00D879F8" w:rsidRPr="00D879F8">
        <w:rPr>
          <w:rFonts w:cs="Arial"/>
          <w:szCs w:val="22"/>
        </w:rPr>
        <w:t xml:space="preserve"> would not meet the requirements of paragraph 196 </w:t>
      </w:r>
      <w:r w:rsidR="00B446B7">
        <w:rPr>
          <w:rFonts w:cs="Arial"/>
          <w:szCs w:val="22"/>
        </w:rPr>
        <w:t xml:space="preserve">as </w:t>
      </w:r>
      <w:r w:rsidR="00B446B7" w:rsidRPr="00D879F8">
        <w:rPr>
          <w:rFonts w:cs="Arial"/>
          <w:szCs w:val="22"/>
        </w:rPr>
        <w:t xml:space="preserve">the development would not generate wider public benefits sufficient to outweigh the identified harm </w:t>
      </w:r>
      <w:r w:rsidR="00B446B7">
        <w:rPr>
          <w:rFonts w:cs="Arial"/>
          <w:szCs w:val="22"/>
        </w:rPr>
        <w:t>nor has it been evidenced that it would secure the optimal viable use</w:t>
      </w:r>
      <w:r w:rsidR="00B446B7" w:rsidRPr="00D879F8">
        <w:rPr>
          <w:rFonts w:cs="Arial"/>
          <w:szCs w:val="22"/>
        </w:rPr>
        <w:t xml:space="preserve"> </w:t>
      </w:r>
      <w:r w:rsidR="00B446B7">
        <w:rPr>
          <w:rFonts w:cs="Arial"/>
          <w:szCs w:val="22"/>
        </w:rPr>
        <w:t>for the building.</w:t>
      </w:r>
      <w:r w:rsidR="00966299">
        <w:rPr>
          <w:rFonts w:cs="Arial"/>
          <w:szCs w:val="22"/>
        </w:rPr>
        <w:t xml:space="preserve"> </w:t>
      </w:r>
    </w:p>
    <w:p w:rsidR="00966299" w:rsidRDefault="00966299" w:rsidP="00966299">
      <w:pPr>
        <w:spacing w:line="240" w:lineRule="auto"/>
        <w:ind w:left="720" w:hanging="720"/>
        <w:contextualSpacing/>
        <w:rPr>
          <w:rFonts w:cs="Arial"/>
          <w:szCs w:val="22"/>
        </w:rPr>
      </w:pPr>
    </w:p>
    <w:p w:rsidR="00D879F8" w:rsidRDefault="00966299" w:rsidP="00966299">
      <w:pPr>
        <w:spacing w:line="240" w:lineRule="auto"/>
        <w:ind w:left="720" w:hanging="720"/>
        <w:contextualSpacing/>
        <w:rPr>
          <w:rFonts w:cs="Arial"/>
          <w:szCs w:val="22"/>
        </w:rPr>
      </w:pPr>
      <w:r>
        <w:rPr>
          <w:rFonts w:cs="Arial"/>
          <w:szCs w:val="22"/>
        </w:rPr>
        <w:t>6.2</w:t>
      </w:r>
      <w:r>
        <w:rPr>
          <w:rFonts w:cs="Arial"/>
          <w:szCs w:val="22"/>
        </w:rPr>
        <w:tab/>
        <w:t>The proposals</w:t>
      </w:r>
      <w:r w:rsidR="00D879F8" w:rsidRPr="00D879F8">
        <w:rPr>
          <w:rFonts w:cs="Arial"/>
          <w:szCs w:val="22"/>
        </w:rPr>
        <w:t xml:space="preserve"> would also conflict with Key Statement EC2 and </w:t>
      </w:r>
      <w:r w:rsidR="00AC17FE">
        <w:rPr>
          <w:rFonts w:cs="Arial"/>
          <w:szCs w:val="22"/>
        </w:rPr>
        <w:t>Policy</w:t>
      </w:r>
      <w:r w:rsidR="00556A94">
        <w:rPr>
          <w:rFonts w:cs="Arial"/>
          <w:szCs w:val="22"/>
        </w:rPr>
        <w:t xml:space="preserve"> </w:t>
      </w:r>
      <w:r w:rsidR="00D879F8" w:rsidRPr="00D879F8">
        <w:rPr>
          <w:rFonts w:cs="Arial"/>
          <w:szCs w:val="22"/>
        </w:rPr>
        <w:t>DMR3 of the Core Strategy</w:t>
      </w:r>
      <w:r>
        <w:rPr>
          <w:rFonts w:cs="Arial"/>
          <w:szCs w:val="22"/>
        </w:rPr>
        <w:t xml:space="preserve"> insofar that it </w:t>
      </w:r>
      <w:r w:rsidR="00B91A1C">
        <w:rPr>
          <w:rFonts w:cs="Arial"/>
          <w:szCs w:val="22"/>
        </w:rPr>
        <w:t>would also result in the unnecessary loss of a valued community facility.</w:t>
      </w:r>
    </w:p>
    <w:p w:rsidR="00F14092" w:rsidRPr="00911B56" w:rsidRDefault="00F14092" w:rsidP="00911B56">
      <w:pPr>
        <w:spacing w:line="240" w:lineRule="auto"/>
        <w:rPr>
          <w:rFonts w:cs="Arial"/>
          <w:b/>
          <w:color w:val="FF0000"/>
          <w:szCs w:val="22"/>
        </w:rPr>
      </w:pPr>
    </w:p>
    <w:p w:rsidR="001C41FB" w:rsidRPr="008674C5" w:rsidRDefault="00722221" w:rsidP="00911B56">
      <w:pPr>
        <w:pStyle w:val="ListParagraph"/>
        <w:spacing w:line="240" w:lineRule="auto"/>
        <w:ind w:left="0"/>
        <w:rPr>
          <w:sz w:val="22"/>
          <w:szCs w:val="22"/>
        </w:rPr>
      </w:pPr>
      <w:r w:rsidRPr="00B539D0">
        <w:rPr>
          <w:b/>
          <w:color w:val="auto"/>
          <w:sz w:val="22"/>
          <w:szCs w:val="22"/>
        </w:rPr>
        <w:t>RECOMMENDATION:</w:t>
      </w:r>
      <w:r w:rsidRPr="00B539D0">
        <w:rPr>
          <w:color w:val="auto"/>
          <w:sz w:val="22"/>
          <w:szCs w:val="22"/>
        </w:rPr>
        <w:t xml:space="preserve"> </w:t>
      </w:r>
      <w:r w:rsidR="00D95802" w:rsidRPr="00B539D0">
        <w:rPr>
          <w:color w:val="auto"/>
          <w:sz w:val="22"/>
          <w:szCs w:val="22"/>
        </w:rPr>
        <w:t xml:space="preserve">That the application be </w:t>
      </w:r>
      <w:r w:rsidR="008E750C">
        <w:rPr>
          <w:sz w:val="22"/>
          <w:szCs w:val="22"/>
        </w:rPr>
        <w:t>REFUSED</w:t>
      </w:r>
      <w:r w:rsidR="00B539D0" w:rsidRPr="00B539D0">
        <w:rPr>
          <w:sz w:val="22"/>
          <w:szCs w:val="22"/>
        </w:rPr>
        <w:t xml:space="preserve"> </w:t>
      </w:r>
      <w:r w:rsidR="008E750C">
        <w:rPr>
          <w:sz w:val="22"/>
          <w:szCs w:val="22"/>
          <w:lang w:val="en"/>
        </w:rPr>
        <w:t>for the following reasons</w:t>
      </w:r>
      <w:r w:rsidR="008674C5">
        <w:rPr>
          <w:sz w:val="22"/>
          <w:szCs w:val="22"/>
          <w:lang w:val="en"/>
        </w:rPr>
        <w:t>:</w:t>
      </w:r>
    </w:p>
    <w:p w:rsidR="00323246" w:rsidRPr="00911B56" w:rsidRDefault="00323246" w:rsidP="00911B56">
      <w:pPr>
        <w:spacing w:line="240" w:lineRule="auto"/>
        <w:rPr>
          <w:rFonts w:cs="Arial"/>
          <w:i/>
          <w:szCs w:val="22"/>
        </w:rPr>
      </w:pPr>
    </w:p>
    <w:p w:rsidR="00D9091F" w:rsidRPr="00D9091F" w:rsidRDefault="00D9091F" w:rsidP="00D9091F">
      <w:pPr>
        <w:pStyle w:val="ListParagraph"/>
        <w:numPr>
          <w:ilvl w:val="0"/>
          <w:numId w:val="16"/>
        </w:numPr>
        <w:spacing w:line="240" w:lineRule="auto"/>
        <w:rPr>
          <w:rFonts w:ascii="Calibri" w:hAnsi="Calibri"/>
          <w:color w:val="1F497D"/>
          <w:sz w:val="22"/>
          <w:szCs w:val="22"/>
        </w:rPr>
      </w:pPr>
      <w:r w:rsidRPr="00D9091F">
        <w:rPr>
          <w:sz w:val="22"/>
          <w:szCs w:val="22"/>
        </w:rPr>
        <w:t>The proposed change of use of the Grade II listed building, the Duke of York Hotel, would result in less than substantial harm to its special historic interest and would harm the character of Grindleton Conservation Area. The proposals would fail to meet the requirements of paragraph 196 of the Framework and the optimal viable use of the premises have not been adequately examined to support the proposed alternative use. The proposals would be in conflict with Key Statement EN5 and Policy DME4 of the Core Strategy.</w:t>
      </w:r>
    </w:p>
    <w:p w:rsidR="009903BE" w:rsidRPr="00D9091F" w:rsidRDefault="009903BE" w:rsidP="00D9091F">
      <w:pPr>
        <w:spacing w:line="240" w:lineRule="auto"/>
        <w:rPr>
          <w:szCs w:val="22"/>
        </w:rPr>
      </w:pPr>
    </w:p>
    <w:p w:rsidR="00931B42" w:rsidRDefault="009903BE" w:rsidP="00D9091F">
      <w:pPr>
        <w:pStyle w:val="ListParagraph"/>
        <w:numPr>
          <w:ilvl w:val="0"/>
          <w:numId w:val="16"/>
        </w:numPr>
        <w:spacing w:line="240" w:lineRule="auto"/>
        <w:rPr>
          <w:sz w:val="22"/>
          <w:szCs w:val="22"/>
        </w:rPr>
      </w:pPr>
      <w:r w:rsidRPr="00D9091F">
        <w:rPr>
          <w:sz w:val="22"/>
          <w:szCs w:val="22"/>
        </w:rPr>
        <w:t>The proposed development would lead to a loss of commercial premises</w:t>
      </w:r>
      <w:r w:rsidR="00966299" w:rsidRPr="00D9091F">
        <w:rPr>
          <w:sz w:val="22"/>
          <w:szCs w:val="22"/>
        </w:rPr>
        <w:t xml:space="preserve"> and a </w:t>
      </w:r>
      <w:r w:rsidR="00B91A1C" w:rsidRPr="00D9091F">
        <w:rPr>
          <w:sz w:val="22"/>
          <w:szCs w:val="22"/>
        </w:rPr>
        <w:t>valued</w:t>
      </w:r>
      <w:r w:rsidR="00966299" w:rsidRPr="00D9091F">
        <w:rPr>
          <w:sz w:val="22"/>
          <w:szCs w:val="22"/>
        </w:rPr>
        <w:t xml:space="preserve"> community facility</w:t>
      </w:r>
      <w:r w:rsidRPr="00D9091F">
        <w:rPr>
          <w:sz w:val="22"/>
          <w:szCs w:val="22"/>
        </w:rPr>
        <w:t xml:space="preserve"> </w:t>
      </w:r>
      <w:r w:rsidR="0091059D" w:rsidRPr="00D9091F">
        <w:rPr>
          <w:sz w:val="22"/>
          <w:szCs w:val="22"/>
        </w:rPr>
        <w:t xml:space="preserve">in a village </w:t>
      </w:r>
      <w:r w:rsidRPr="00D9091F">
        <w:rPr>
          <w:sz w:val="22"/>
          <w:szCs w:val="22"/>
        </w:rPr>
        <w:t xml:space="preserve">without sufficient </w:t>
      </w:r>
      <w:r w:rsidR="0091059D" w:rsidRPr="00D9091F">
        <w:rPr>
          <w:sz w:val="22"/>
          <w:szCs w:val="22"/>
        </w:rPr>
        <w:t xml:space="preserve">justification </w:t>
      </w:r>
      <w:r w:rsidRPr="00D9091F">
        <w:rPr>
          <w:sz w:val="22"/>
          <w:szCs w:val="22"/>
        </w:rPr>
        <w:t xml:space="preserve">as explicitly required by Core Strategy Key Statement EC2 and </w:t>
      </w:r>
      <w:r w:rsidR="0091059D" w:rsidRPr="00D9091F">
        <w:rPr>
          <w:sz w:val="22"/>
          <w:szCs w:val="22"/>
        </w:rPr>
        <w:t>Policy</w:t>
      </w:r>
      <w:r w:rsidRPr="00D9091F">
        <w:rPr>
          <w:sz w:val="22"/>
          <w:szCs w:val="22"/>
        </w:rPr>
        <w:t xml:space="preserve"> DMR3. </w:t>
      </w:r>
    </w:p>
    <w:p w:rsidR="001A1FD3" w:rsidRDefault="001A1FD3" w:rsidP="001A1FD3">
      <w:pPr>
        <w:spacing w:line="240" w:lineRule="auto"/>
      </w:pPr>
    </w:p>
    <w:p w:rsidR="001A1FD3" w:rsidRDefault="001A1FD3" w:rsidP="001A1FD3">
      <w:pPr>
        <w:spacing w:line="240" w:lineRule="auto"/>
      </w:pPr>
      <w:r>
        <w:lastRenderedPageBreak/>
        <w:t>BACKGROUND PAPERS</w:t>
      </w:r>
    </w:p>
    <w:p w:rsidR="001A1FD3" w:rsidRDefault="001A1FD3" w:rsidP="001A1FD3">
      <w:pPr>
        <w:spacing w:line="240" w:lineRule="auto"/>
      </w:pPr>
    </w:p>
    <w:p w:rsidR="001A1FD3" w:rsidRPr="001A1FD3" w:rsidRDefault="00403827" w:rsidP="001A1FD3">
      <w:pPr>
        <w:spacing w:line="240" w:lineRule="auto"/>
        <w:rPr>
          <w:szCs w:val="22"/>
        </w:rPr>
      </w:pPr>
      <w:hyperlink r:id="rId9" w:history="1">
        <w:r w:rsidR="001A1FD3" w:rsidRPr="00214D38">
          <w:rPr>
            <w:rStyle w:val="Hyperlink"/>
          </w:rPr>
          <w:t>https://www.ribblevalley.gov.uk/site/scripts/planx_details.php?appNumber=3%2F2019%2F0219</w:t>
        </w:r>
      </w:hyperlink>
    </w:p>
    <w:sectPr w:rsidR="001A1FD3" w:rsidRPr="001A1FD3" w:rsidSect="007E433F">
      <w:pgSz w:w="12240" w:h="15840"/>
      <w:pgMar w:top="1440" w:right="1440" w:bottom="1440" w:left="1440" w:header="720" w:footer="10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06C3" w:rsidRDefault="00C506C3" w:rsidP="001F56A1">
      <w:pPr>
        <w:spacing w:line="240" w:lineRule="auto"/>
      </w:pPr>
      <w:r>
        <w:separator/>
      </w:r>
    </w:p>
  </w:endnote>
  <w:endnote w:type="continuationSeparator" w:id="0">
    <w:p w:rsidR="00C506C3" w:rsidRDefault="00C506C3" w:rsidP="001F56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06C3" w:rsidRDefault="00C506C3" w:rsidP="001F56A1">
      <w:pPr>
        <w:spacing w:line="240" w:lineRule="auto"/>
      </w:pPr>
      <w:r>
        <w:separator/>
      </w:r>
    </w:p>
  </w:footnote>
  <w:footnote w:type="continuationSeparator" w:id="0">
    <w:p w:rsidR="00C506C3" w:rsidRDefault="00C506C3" w:rsidP="001F56A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00000005"/>
    <w:name w:val="WWNum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5F11591"/>
    <w:multiLevelType w:val="multilevel"/>
    <w:tmpl w:val="FC54B31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3870B2"/>
    <w:multiLevelType w:val="hybridMultilevel"/>
    <w:tmpl w:val="613CB03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11786B2E"/>
    <w:multiLevelType w:val="hybridMultilevel"/>
    <w:tmpl w:val="727C75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B31DCA"/>
    <w:multiLevelType w:val="hybridMultilevel"/>
    <w:tmpl w:val="03D6A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19ED6188"/>
    <w:multiLevelType w:val="hybridMultilevel"/>
    <w:tmpl w:val="AB28B40C"/>
    <w:lvl w:ilvl="0" w:tplc="C5DE68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7E61C0"/>
    <w:multiLevelType w:val="hybridMultilevel"/>
    <w:tmpl w:val="990E4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F71107"/>
    <w:multiLevelType w:val="hybridMultilevel"/>
    <w:tmpl w:val="D158DE6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932E3E"/>
    <w:multiLevelType w:val="hybridMultilevel"/>
    <w:tmpl w:val="5C14E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5E6423"/>
    <w:multiLevelType w:val="hybridMultilevel"/>
    <w:tmpl w:val="3F78731E"/>
    <w:lvl w:ilvl="0" w:tplc="AC7E084C">
      <w:start w:val="1"/>
      <w:numFmt w:val="decimal"/>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0D0040A"/>
    <w:multiLevelType w:val="multilevel"/>
    <w:tmpl w:val="6B8AFD22"/>
    <w:lvl w:ilvl="0">
      <w:start w:val="1"/>
      <w:numFmt w:val="decimal"/>
      <w:lvlText w:val="%1"/>
      <w:lvlJc w:val="left"/>
      <w:pPr>
        <w:ind w:left="720" w:hanging="720"/>
      </w:pPr>
      <w:rPr>
        <w:rFonts w:ascii="Arial" w:hAnsi="Arial" w:cs="Arial" w:hint="default"/>
      </w:rPr>
    </w:lvl>
    <w:lvl w:ilvl="1">
      <w:start w:val="1"/>
      <w:numFmt w:val="decimal"/>
      <w:lvlText w:val="%1.%2"/>
      <w:lvlJc w:val="left"/>
      <w:pPr>
        <w:ind w:left="720" w:hanging="720"/>
      </w:pPr>
      <w:rPr>
        <w:rFonts w:ascii="Arial" w:hAnsi="Arial" w:cs="Arial" w:hint="default"/>
      </w:rPr>
    </w:lvl>
    <w:lvl w:ilvl="2">
      <w:start w:val="1"/>
      <w:numFmt w:val="decimal"/>
      <w:lvlText w:val="%1.%2.%3"/>
      <w:lvlJc w:val="left"/>
      <w:pPr>
        <w:ind w:left="720" w:hanging="720"/>
      </w:pPr>
      <w:rPr>
        <w:rFonts w:ascii="Arial" w:hAnsi="Arial" w:cs="Arial" w:hint="default"/>
      </w:rPr>
    </w:lvl>
    <w:lvl w:ilvl="3">
      <w:start w:val="1"/>
      <w:numFmt w:val="decimal"/>
      <w:lvlText w:val="%1.%2.%3.%4"/>
      <w:lvlJc w:val="left"/>
      <w:pPr>
        <w:ind w:left="720" w:hanging="720"/>
      </w:pPr>
      <w:rPr>
        <w:rFonts w:ascii="Arial" w:hAnsi="Arial" w:cs="Arial" w:hint="default"/>
      </w:rPr>
    </w:lvl>
    <w:lvl w:ilvl="4">
      <w:start w:val="1"/>
      <w:numFmt w:val="decimal"/>
      <w:lvlText w:val="%1.%2.%3.%4.%5"/>
      <w:lvlJc w:val="left"/>
      <w:pPr>
        <w:ind w:left="1080" w:hanging="1080"/>
      </w:pPr>
      <w:rPr>
        <w:rFonts w:ascii="Arial" w:hAnsi="Arial" w:cs="Arial" w:hint="default"/>
      </w:rPr>
    </w:lvl>
    <w:lvl w:ilvl="5">
      <w:start w:val="1"/>
      <w:numFmt w:val="decimal"/>
      <w:lvlText w:val="%1.%2.%3.%4.%5.%6"/>
      <w:lvlJc w:val="left"/>
      <w:pPr>
        <w:ind w:left="1080" w:hanging="1080"/>
      </w:pPr>
      <w:rPr>
        <w:rFonts w:ascii="Arial" w:hAnsi="Arial" w:cs="Arial" w:hint="default"/>
      </w:rPr>
    </w:lvl>
    <w:lvl w:ilvl="6">
      <w:start w:val="1"/>
      <w:numFmt w:val="decimal"/>
      <w:lvlText w:val="%1.%2.%3.%4.%5.%6.%7"/>
      <w:lvlJc w:val="left"/>
      <w:pPr>
        <w:ind w:left="1440" w:hanging="1440"/>
      </w:pPr>
      <w:rPr>
        <w:rFonts w:ascii="Arial" w:hAnsi="Arial" w:cs="Arial" w:hint="default"/>
      </w:rPr>
    </w:lvl>
    <w:lvl w:ilvl="7">
      <w:start w:val="1"/>
      <w:numFmt w:val="decimal"/>
      <w:lvlText w:val="%1.%2.%3.%4.%5.%6.%7.%8"/>
      <w:lvlJc w:val="left"/>
      <w:pPr>
        <w:ind w:left="1440" w:hanging="1440"/>
      </w:pPr>
      <w:rPr>
        <w:rFonts w:ascii="Arial" w:hAnsi="Arial" w:cs="Arial" w:hint="default"/>
      </w:rPr>
    </w:lvl>
    <w:lvl w:ilvl="8">
      <w:start w:val="1"/>
      <w:numFmt w:val="decimal"/>
      <w:lvlText w:val="%1.%2.%3.%4.%5.%6.%7.%8.%9"/>
      <w:lvlJc w:val="left"/>
      <w:pPr>
        <w:ind w:left="1440" w:hanging="1440"/>
      </w:pPr>
      <w:rPr>
        <w:rFonts w:ascii="Arial" w:hAnsi="Arial" w:cs="Arial" w:hint="default"/>
      </w:rPr>
    </w:lvl>
  </w:abstractNum>
  <w:abstractNum w:abstractNumId="12" w15:restartNumberingAfterBreak="0">
    <w:nsid w:val="51B304AB"/>
    <w:multiLevelType w:val="hybridMultilevel"/>
    <w:tmpl w:val="87122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011A33"/>
    <w:multiLevelType w:val="hybridMultilevel"/>
    <w:tmpl w:val="1764B5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F375357"/>
    <w:multiLevelType w:val="hybridMultilevel"/>
    <w:tmpl w:val="0B10A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BEA203E"/>
    <w:multiLevelType w:val="hybridMultilevel"/>
    <w:tmpl w:val="5C1E51A6"/>
    <w:lvl w:ilvl="0" w:tplc="28D85BD4">
      <w:start w:val="1"/>
      <w:numFmt w:val="decimal"/>
      <w:lvlText w:val="%1."/>
      <w:lvlJc w:val="left"/>
      <w:pPr>
        <w:ind w:left="1080" w:hanging="720"/>
      </w:pPr>
      <w:rPr>
        <w:rFonts w:ascii="Arial" w:hAnsi="Arial"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C10509B"/>
    <w:multiLevelType w:val="hybridMultilevel"/>
    <w:tmpl w:val="43DC9C3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abstractNumId w:val="8"/>
  </w:num>
  <w:num w:numId="2">
    <w:abstractNumId w:val="3"/>
  </w:num>
  <w:num w:numId="3">
    <w:abstractNumId w:val="10"/>
  </w:num>
  <w:num w:numId="4">
    <w:abstractNumId w:val="4"/>
  </w:num>
  <w:num w:numId="5">
    <w:abstractNumId w:val="11"/>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9"/>
  </w:num>
  <w:num w:numId="9">
    <w:abstractNumId w:val="14"/>
  </w:num>
  <w:num w:numId="10">
    <w:abstractNumId w:val="12"/>
  </w:num>
  <w:num w:numId="11">
    <w:abstractNumId w:val="7"/>
  </w:num>
  <w:num w:numId="12">
    <w:abstractNumId w:val="2"/>
  </w:num>
  <w:num w:numId="13">
    <w:abstractNumId w:val="16"/>
  </w:num>
  <w:num w:numId="14">
    <w:abstractNumId w:val="1"/>
  </w:num>
  <w:num w:numId="15">
    <w:abstractNumId w:val="6"/>
  </w:num>
  <w:num w:numId="16">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proofState w:spelling="clean" w:grammar="clean"/>
  <w:defaultTabStop w:val="720"/>
  <w:drawingGridHorizontalSpacing w:val="165"/>
  <w:displayVerticalDrawingGridEvery w:val="2"/>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1E7"/>
    <w:rsid w:val="00000463"/>
    <w:rsid w:val="00000854"/>
    <w:rsid w:val="00001B41"/>
    <w:rsid w:val="00001C61"/>
    <w:rsid w:val="00001E5C"/>
    <w:rsid w:val="00001EEB"/>
    <w:rsid w:val="00003059"/>
    <w:rsid w:val="00004CE7"/>
    <w:rsid w:val="000051AF"/>
    <w:rsid w:val="00006909"/>
    <w:rsid w:val="00006996"/>
    <w:rsid w:val="00006D8F"/>
    <w:rsid w:val="000079DB"/>
    <w:rsid w:val="00007FAE"/>
    <w:rsid w:val="000104A1"/>
    <w:rsid w:val="00011AB6"/>
    <w:rsid w:val="00011FB0"/>
    <w:rsid w:val="00014373"/>
    <w:rsid w:val="00015CA1"/>
    <w:rsid w:val="000166BE"/>
    <w:rsid w:val="00017EBF"/>
    <w:rsid w:val="00020443"/>
    <w:rsid w:val="00022F6A"/>
    <w:rsid w:val="00023EF0"/>
    <w:rsid w:val="0002425D"/>
    <w:rsid w:val="000244CA"/>
    <w:rsid w:val="00024B8D"/>
    <w:rsid w:val="00025DC4"/>
    <w:rsid w:val="00026BF0"/>
    <w:rsid w:val="00027303"/>
    <w:rsid w:val="000311C0"/>
    <w:rsid w:val="0003205D"/>
    <w:rsid w:val="0003246A"/>
    <w:rsid w:val="0003251F"/>
    <w:rsid w:val="000342BA"/>
    <w:rsid w:val="00034AD0"/>
    <w:rsid w:val="00037119"/>
    <w:rsid w:val="000402C9"/>
    <w:rsid w:val="00041030"/>
    <w:rsid w:val="000422F4"/>
    <w:rsid w:val="00042F33"/>
    <w:rsid w:val="000439E0"/>
    <w:rsid w:val="000452F0"/>
    <w:rsid w:val="00045620"/>
    <w:rsid w:val="0004646C"/>
    <w:rsid w:val="000506CC"/>
    <w:rsid w:val="0005148F"/>
    <w:rsid w:val="00051E90"/>
    <w:rsid w:val="00052935"/>
    <w:rsid w:val="00053140"/>
    <w:rsid w:val="00055991"/>
    <w:rsid w:val="000564B1"/>
    <w:rsid w:val="00056BD6"/>
    <w:rsid w:val="00057943"/>
    <w:rsid w:val="000603FB"/>
    <w:rsid w:val="00060D03"/>
    <w:rsid w:val="000615A5"/>
    <w:rsid w:val="00061D9F"/>
    <w:rsid w:val="000626E5"/>
    <w:rsid w:val="00063198"/>
    <w:rsid w:val="00063C22"/>
    <w:rsid w:val="00065D58"/>
    <w:rsid w:val="00071414"/>
    <w:rsid w:val="00072617"/>
    <w:rsid w:val="00074133"/>
    <w:rsid w:val="000742B3"/>
    <w:rsid w:val="000743D7"/>
    <w:rsid w:val="00075327"/>
    <w:rsid w:val="000758F2"/>
    <w:rsid w:val="00075AF1"/>
    <w:rsid w:val="00081388"/>
    <w:rsid w:val="00081FB6"/>
    <w:rsid w:val="00082859"/>
    <w:rsid w:val="00082D09"/>
    <w:rsid w:val="00083A56"/>
    <w:rsid w:val="00083B03"/>
    <w:rsid w:val="00084E85"/>
    <w:rsid w:val="00087A05"/>
    <w:rsid w:val="00087AD0"/>
    <w:rsid w:val="000909B6"/>
    <w:rsid w:val="00090B82"/>
    <w:rsid w:val="00092DB6"/>
    <w:rsid w:val="000931A0"/>
    <w:rsid w:val="00093BDC"/>
    <w:rsid w:val="00094013"/>
    <w:rsid w:val="00094BE3"/>
    <w:rsid w:val="000952CA"/>
    <w:rsid w:val="000969B3"/>
    <w:rsid w:val="000A2D0E"/>
    <w:rsid w:val="000A2F92"/>
    <w:rsid w:val="000A408E"/>
    <w:rsid w:val="000A4947"/>
    <w:rsid w:val="000A494E"/>
    <w:rsid w:val="000A5411"/>
    <w:rsid w:val="000A58CB"/>
    <w:rsid w:val="000A5A8B"/>
    <w:rsid w:val="000A6A24"/>
    <w:rsid w:val="000A6ADA"/>
    <w:rsid w:val="000A6F73"/>
    <w:rsid w:val="000A7ADB"/>
    <w:rsid w:val="000B036B"/>
    <w:rsid w:val="000B06BD"/>
    <w:rsid w:val="000B070C"/>
    <w:rsid w:val="000B33AA"/>
    <w:rsid w:val="000B4178"/>
    <w:rsid w:val="000B4322"/>
    <w:rsid w:val="000B467E"/>
    <w:rsid w:val="000B478A"/>
    <w:rsid w:val="000B49FF"/>
    <w:rsid w:val="000B4C78"/>
    <w:rsid w:val="000B4FE7"/>
    <w:rsid w:val="000B752C"/>
    <w:rsid w:val="000C0B67"/>
    <w:rsid w:val="000C2469"/>
    <w:rsid w:val="000C64FC"/>
    <w:rsid w:val="000D02DE"/>
    <w:rsid w:val="000D2258"/>
    <w:rsid w:val="000D3489"/>
    <w:rsid w:val="000D3613"/>
    <w:rsid w:val="000D387B"/>
    <w:rsid w:val="000D3BD8"/>
    <w:rsid w:val="000D4C0A"/>
    <w:rsid w:val="000D5F05"/>
    <w:rsid w:val="000D68EC"/>
    <w:rsid w:val="000D7F63"/>
    <w:rsid w:val="000E04D5"/>
    <w:rsid w:val="000E082E"/>
    <w:rsid w:val="000E0867"/>
    <w:rsid w:val="000E1749"/>
    <w:rsid w:val="000E1FE0"/>
    <w:rsid w:val="000E3C05"/>
    <w:rsid w:val="000E6732"/>
    <w:rsid w:val="000E763C"/>
    <w:rsid w:val="000F00EC"/>
    <w:rsid w:val="000F0412"/>
    <w:rsid w:val="000F05FE"/>
    <w:rsid w:val="000F0F46"/>
    <w:rsid w:val="000F16BC"/>
    <w:rsid w:val="000F2522"/>
    <w:rsid w:val="000F3A66"/>
    <w:rsid w:val="000F4015"/>
    <w:rsid w:val="000F61ED"/>
    <w:rsid w:val="000F64D2"/>
    <w:rsid w:val="000F66BC"/>
    <w:rsid w:val="001015F9"/>
    <w:rsid w:val="0010226F"/>
    <w:rsid w:val="0010260F"/>
    <w:rsid w:val="0010308F"/>
    <w:rsid w:val="00103133"/>
    <w:rsid w:val="00103E4C"/>
    <w:rsid w:val="0010437E"/>
    <w:rsid w:val="001054BD"/>
    <w:rsid w:val="00110030"/>
    <w:rsid w:val="0011030E"/>
    <w:rsid w:val="00110A39"/>
    <w:rsid w:val="00116202"/>
    <w:rsid w:val="0011655F"/>
    <w:rsid w:val="00117B07"/>
    <w:rsid w:val="0012023A"/>
    <w:rsid w:val="00120455"/>
    <w:rsid w:val="00120617"/>
    <w:rsid w:val="00122A3C"/>
    <w:rsid w:val="001230A7"/>
    <w:rsid w:val="00123457"/>
    <w:rsid w:val="0012357E"/>
    <w:rsid w:val="00123972"/>
    <w:rsid w:val="00123A65"/>
    <w:rsid w:val="00124320"/>
    <w:rsid w:val="001251F7"/>
    <w:rsid w:val="00125819"/>
    <w:rsid w:val="00126227"/>
    <w:rsid w:val="00127CCD"/>
    <w:rsid w:val="00130CB1"/>
    <w:rsid w:val="0013313F"/>
    <w:rsid w:val="001356A1"/>
    <w:rsid w:val="00136212"/>
    <w:rsid w:val="001367B6"/>
    <w:rsid w:val="00136884"/>
    <w:rsid w:val="00136D3B"/>
    <w:rsid w:val="00142540"/>
    <w:rsid w:val="001438D7"/>
    <w:rsid w:val="00143EF3"/>
    <w:rsid w:val="00147A6C"/>
    <w:rsid w:val="00147B85"/>
    <w:rsid w:val="00152FF4"/>
    <w:rsid w:val="001539E0"/>
    <w:rsid w:val="00153D64"/>
    <w:rsid w:val="0015405F"/>
    <w:rsid w:val="00156A3C"/>
    <w:rsid w:val="0015739C"/>
    <w:rsid w:val="00157829"/>
    <w:rsid w:val="001601FD"/>
    <w:rsid w:val="00160523"/>
    <w:rsid w:val="001628BE"/>
    <w:rsid w:val="00163E25"/>
    <w:rsid w:val="00164E9C"/>
    <w:rsid w:val="00165722"/>
    <w:rsid w:val="001659D5"/>
    <w:rsid w:val="00166612"/>
    <w:rsid w:val="001669DB"/>
    <w:rsid w:val="00166A80"/>
    <w:rsid w:val="00166BC3"/>
    <w:rsid w:val="00166D01"/>
    <w:rsid w:val="00167292"/>
    <w:rsid w:val="0016743F"/>
    <w:rsid w:val="00167F40"/>
    <w:rsid w:val="0017025A"/>
    <w:rsid w:val="00170E54"/>
    <w:rsid w:val="001712FD"/>
    <w:rsid w:val="00172C2B"/>
    <w:rsid w:val="0017398F"/>
    <w:rsid w:val="001751E7"/>
    <w:rsid w:val="00175451"/>
    <w:rsid w:val="00176E52"/>
    <w:rsid w:val="00176F0A"/>
    <w:rsid w:val="00177C50"/>
    <w:rsid w:val="0018172A"/>
    <w:rsid w:val="0018189E"/>
    <w:rsid w:val="00183A33"/>
    <w:rsid w:val="0018480D"/>
    <w:rsid w:val="00186791"/>
    <w:rsid w:val="001868EB"/>
    <w:rsid w:val="0018695C"/>
    <w:rsid w:val="00192475"/>
    <w:rsid w:val="0019319C"/>
    <w:rsid w:val="001948BC"/>
    <w:rsid w:val="00194FD9"/>
    <w:rsid w:val="00195641"/>
    <w:rsid w:val="00196275"/>
    <w:rsid w:val="00196C05"/>
    <w:rsid w:val="0019704A"/>
    <w:rsid w:val="0019765A"/>
    <w:rsid w:val="001A04E2"/>
    <w:rsid w:val="001A0F67"/>
    <w:rsid w:val="001A0FC9"/>
    <w:rsid w:val="001A1FD3"/>
    <w:rsid w:val="001A265A"/>
    <w:rsid w:val="001A2E66"/>
    <w:rsid w:val="001A3F3E"/>
    <w:rsid w:val="001A4118"/>
    <w:rsid w:val="001A42E4"/>
    <w:rsid w:val="001A5C1A"/>
    <w:rsid w:val="001A61DD"/>
    <w:rsid w:val="001A6FA4"/>
    <w:rsid w:val="001A71CA"/>
    <w:rsid w:val="001A7635"/>
    <w:rsid w:val="001B0D05"/>
    <w:rsid w:val="001B132B"/>
    <w:rsid w:val="001B1732"/>
    <w:rsid w:val="001B2660"/>
    <w:rsid w:val="001B33E9"/>
    <w:rsid w:val="001B3882"/>
    <w:rsid w:val="001B47AE"/>
    <w:rsid w:val="001B5DA5"/>
    <w:rsid w:val="001B6FA2"/>
    <w:rsid w:val="001B7290"/>
    <w:rsid w:val="001B7B1B"/>
    <w:rsid w:val="001C0597"/>
    <w:rsid w:val="001C0F43"/>
    <w:rsid w:val="001C1066"/>
    <w:rsid w:val="001C137A"/>
    <w:rsid w:val="001C2F1B"/>
    <w:rsid w:val="001C35C0"/>
    <w:rsid w:val="001C41FB"/>
    <w:rsid w:val="001C5085"/>
    <w:rsid w:val="001C6434"/>
    <w:rsid w:val="001C6A94"/>
    <w:rsid w:val="001D0908"/>
    <w:rsid w:val="001D0A99"/>
    <w:rsid w:val="001D31B8"/>
    <w:rsid w:val="001D548A"/>
    <w:rsid w:val="001D5905"/>
    <w:rsid w:val="001D5A13"/>
    <w:rsid w:val="001D5D26"/>
    <w:rsid w:val="001D5F34"/>
    <w:rsid w:val="001D6198"/>
    <w:rsid w:val="001D76AE"/>
    <w:rsid w:val="001E053D"/>
    <w:rsid w:val="001E0D5B"/>
    <w:rsid w:val="001E16F3"/>
    <w:rsid w:val="001E19D2"/>
    <w:rsid w:val="001E19E9"/>
    <w:rsid w:val="001E1A8B"/>
    <w:rsid w:val="001E7A19"/>
    <w:rsid w:val="001E7B3A"/>
    <w:rsid w:val="001E7E16"/>
    <w:rsid w:val="001F18E7"/>
    <w:rsid w:val="001F1C39"/>
    <w:rsid w:val="001F34A1"/>
    <w:rsid w:val="001F3F68"/>
    <w:rsid w:val="001F442A"/>
    <w:rsid w:val="001F47C9"/>
    <w:rsid w:val="001F56A1"/>
    <w:rsid w:val="001F611C"/>
    <w:rsid w:val="001F67DA"/>
    <w:rsid w:val="00201E98"/>
    <w:rsid w:val="00202081"/>
    <w:rsid w:val="00202162"/>
    <w:rsid w:val="002025A2"/>
    <w:rsid w:val="00204F1F"/>
    <w:rsid w:val="0020563B"/>
    <w:rsid w:val="002068AC"/>
    <w:rsid w:val="00206CC3"/>
    <w:rsid w:val="00207A79"/>
    <w:rsid w:val="00207C20"/>
    <w:rsid w:val="00211E3C"/>
    <w:rsid w:val="002125AF"/>
    <w:rsid w:val="002127F9"/>
    <w:rsid w:val="002130F6"/>
    <w:rsid w:val="002134C7"/>
    <w:rsid w:val="00214E05"/>
    <w:rsid w:val="00215341"/>
    <w:rsid w:val="0021580E"/>
    <w:rsid w:val="00215F16"/>
    <w:rsid w:val="00215FE6"/>
    <w:rsid w:val="002164D5"/>
    <w:rsid w:val="00217788"/>
    <w:rsid w:val="00220B96"/>
    <w:rsid w:val="00221158"/>
    <w:rsid w:val="0022154C"/>
    <w:rsid w:val="002216F5"/>
    <w:rsid w:val="0022332D"/>
    <w:rsid w:val="00223974"/>
    <w:rsid w:val="00223A7C"/>
    <w:rsid w:val="00223D31"/>
    <w:rsid w:val="00223D4B"/>
    <w:rsid w:val="0022581E"/>
    <w:rsid w:val="00226F89"/>
    <w:rsid w:val="002274AF"/>
    <w:rsid w:val="00227568"/>
    <w:rsid w:val="002278DC"/>
    <w:rsid w:val="0023067E"/>
    <w:rsid w:val="00232A91"/>
    <w:rsid w:val="00233023"/>
    <w:rsid w:val="002334CC"/>
    <w:rsid w:val="00233791"/>
    <w:rsid w:val="00233C99"/>
    <w:rsid w:val="002340B2"/>
    <w:rsid w:val="002341D0"/>
    <w:rsid w:val="0023472C"/>
    <w:rsid w:val="00234AFA"/>
    <w:rsid w:val="002351A3"/>
    <w:rsid w:val="0023527A"/>
    <w:rsid w:val="00235433"/>
    <w:rsid w:val="00237767"/>
    <w:rsid w:val="00237B6F"/>
    <w:rsid w:val="00237E31"/>
    <w:rsid w:val="00242360"/>
    <w:rsid w:val="002428D4"/>
    <w:rsid w:val="002433B0"/>
    <w:rsid w:val="00243C77"/>
    <w:rsid w:val="00243CDF"/>
    <w:rsid w:val="002451D6"/>
    <w:rsid w:val="002502A2"/>
    <w:rsid w:val="0025056F"/>
    <w:rsid w:val="0025100E"/>
    <w:rsid w:val="0025189F"/>
    <w:rsid w:val="00252479"/>
    <w:rsid w:val="002546A7"/>
    <w:rsid w:val="002548A4"/>
    <w:rsid w:val="00254C90"/>
    <w:rsid w:val="00255B9A"/>
    <w:rsid w:val="00256033"/>
    <w:rsid w:val="00256631"/>
    <w:rsid w:val="002604A2"/>
    <w:rsid w:val="00261EBC"/>
    <w:rsid w:val="0026233F"/>
    <w:rsid w:val="00263372"/>
    <w:rsid w:val="00264132"/>
    <w:rsid w:val="00265F81"/>
    <w:rsid w:val="0026673A"/>
    <w:rsid w:val="00267384"/>
    <w:rsid w:val="0026788D"/>
    <w:rsid w:val="00267EB1"/>
    <w:rsid w:val="002707D5"/>
    <w:rsid w:val="002712EF"/>
    <w:rsid w:val="002713B9"/>
    <w:rsid w:val="0027159F"/>
    <w:rsid w:val="00272D4E"/>
    <w:rsid w:val="00272D91"/>
    <w:rsid w:val="002738D0"/>
    <w:rsid w:val="00273FE4"/>
    <w:rsid w:val="002745C8"/>
    <w:rsid w:val="00276C2A"/>
    <w:rsid w:val="002773F9"/>
    <w:rsid w:val="00280A4C"/>
    <w:rsid w:val="00281200"/>
    <w:rsid w:val="00283B77"/>
    <w:rsid w:val="00283FDF"/>
    <w:rsid w:val="0028461B"/>
    <w:rsid w:val="002850E4"/>
    <w:rsid w:val="002858F9"/>
    <w:rsid w:val="00285AA9"/>
    <w:rsid w:val="002871C4"/>
    <w:rsid w:val="00287B7D"/>
    <w:rsid w:val="0029007F"/>
    <w:rsid w:val="0029183C"/>
    <w:rsid w:val="00291AFF"/>
    <w:rsid w:val="00293140"/>
    <w:rsid w:val="00293743"/>
    <w:rsid w:val="00294059"/>
    <w:rsid w:val="002952F0"/>
    <w:rsid w:val="00295363"/>
    <w:rsid w:val="00295DF9"/>
    <w:rsid w:val="002966EE"/>
    <w:rsid w:val="002A1D3F"/>
    <w:rsid w:val="002A2655"/>
    <w:rsid w:val="002A2E1B"/>
    <w:rsid w:val="002A4F11"/>
    <w:rsid w:val="002A5113"/>
    <w:rsid w:val="002A5515"/>
    <w:rsid w:val="002A5B00"/>
    <w:rsid w:val="002A747D"/>
    <w:rsid w:val="002B1467"/>
    <w:rsid w:val="002B19E1"/>
    <w:rsid w:val="002B2181"/>
    <w:rsid w:val="002B363A"/>
    <w:rsid w:val="002B42E1"/>
    <w:rsid w:val="002B4BC2"/>
    <w:rsid w:val="002B5D64"/>
    <w:rsid w:val="002B61ED"/>
    <w:rsid w:val="002C0273"/>
    <w:rsid w:val="002C13AB"/>
    <w:rsid w:val="002C1E38"/>
    <w:rsid w:val="002C1EA7"/>
    <w:rsid w:val="002C2097"/>
    <w:rsid w:val="002C27BA"/>
    <w:rsid w:val="002C3599"/>
    <w:rsid w:val="002C3EFE"/>
    <w:rsid w:val="002C4786"/>
    <w:rsid w:val="002C4E78"/>
    <w:rsid w:val="002C4E87"/>
    <w:rsid w:val="002C518C"/>
    <w:rsid w:val="002C6370"/>
    <w:rsid w:val="002C73A4"/>
    <w:rsid w:val="002D296B"/>
    <w:rsid w:val="002D3D4B"/>
    <w:rsid w:val="002D5DB3"/>
    <w:rsid w:val="002D61E7"/>
    <w:rsid w:val="002D68F7"/>
    <w:rsid w:val="002D6D09"/>
    <w:rsid w:val="002D7317"/>
    <w:rsid w:val="002E0922"/>
    <w:rsid w:val="002E18AF"/>
    <w:rsid w:val="002E273B"/>
    <w:rsid w:val="002E3D14"/>
    <w:rsid w:val="002E46DA"/>
    <w:rsid w:val="002E5064"/>
    <w:rsid w:val="002E5118"/>
    <w:rsid w:val="002E51F5"/>
    <w:rsid w:val="002F0E24"/>
    <w:rsid w:val="002F1217"/>
    <w:rsid w:val="002F21A5"/>
    <w:rsid w:val="002F337B"/>
    <w:rsid w:val="002F369F"/>
    <w:rsid w:val="002F4E7C"/>
    <w:rsid w:val="002F502F"/>
    <w:rsid w:val="002F573D"/>
    <w:rsid w:val="002F60E5"/>
    <w:rsid w:val="00300AE9"/>
    <w:rsid w:val="003010C1"/>
    <w:rsid w:val="003015D8"/>
    <w:rsid w:val="00302A77"/>
    <w:rsid w:val="0030324B"/>
    <w:rsid w:val="003033FC"/>
    <w:rsid w:val="0030342A"/>
    <w:rsid w:val="003043C5"/>
    <w:rsid w:val="00304A06"/>
    <w:rsid w:val="00306B26"/>
    <w:rsid w:val="0030751D"/>
    <w:rsid w:val="00310A09"/>
    <w:rsid w:val="00311110"/>
    <w:rsid w:val="00311B04"/>
    <w:rsid w:val="00311D5A"/>
    <w:rsid w:val="00311EE4"/>
    <w:rsid w:val="0031502C"/>
    <w:rsid w:val="00315856"/>
    <w:rsid w:val="003158BC"/>
    <w:rsid w:val="003206D6"/>
    <w:rsid w:val="00320D5D"/>
    <w:rsid w:val="00323246"/>
    <w:rsid w:val="003234AA"/>
    <w:rsid w:val="003268EB"/>
    <w:rsid w:val="00326C20"/>
    <w:rsid w:val="00327024"/>
    <w:rsid w:val="00327FD8"/>
    <w:rsid w:val="00331E13"/>
    <w:rsid w:val="0033462E"/>
    <w:rsid w:val="003368B4"/>
    <w:rsid w:val="0033699F"/>
    <w:rsid w:val="00337CE8"/>
    <w:rsid w:val="003400EB"/>
    <w:rsid w:val="00340DFF"/>
    <w:rsid w:val="00340F4E"/>
    <w:rsid w:val="003421C4"/>
    <w:rsid w:val="003433D8"/>
    <w:rsid w:val="00343EB5"/>
    <w:rsid w:val="00344D2D"/>
    <w:rsid w:val="00344FDF"/>
    <w:rsid w:val="003465B0"/>
    <w:rsid w:val="00346B75"/>
    <w:rsid w:val="00346CB5"/>
    <w:rsid w:val="00347D61"/>
    <w:rsid w:val="00347EF1"/>
    <w:rsid w:val="00350634"/>
    <w:rsid w:val="003506F7"/>
    <w:rsid w:val="003509D4"/>
    <w:rsid w:val="0035184C"/>
    <w:rsid w:val="0035189E"/>
    <w:rsid w:val="00351BBF"/>
    <w:rsid w:val="0035275F"/>
    <w:rsid w:val="003527A4"/>
    <w:rsid w:val="003537E6"/>
    <w:rsid w:val="0035457E"/>
    <w:rsid w:val="00355358"/>
    <w:rsid w:val="00355741"/>
    <w:rsid w:val="00356CA2"/>
    <w:rsid w:val="003574A4"/>
    <w:rsid w:val="00357C13"/>
    <w:rsid w:val="003617E5"/>
    <w:rsid w:val="00361A0F"/>
    <w:rsid w:val="0036267F"/>
    <w:rsid w:val="00362CAB"/>
    <w:rsid w:val="003631C9"/>
    <w:rsid w:val="00363C92"/>
    <w:rsid w:val="00363DBC"/>
    <w:rsid w:val="00365AF9"/>
    <w:rsid w:val="00365B52"/>
    <w:rsid w:val="00365F18"/>
    <w:rsid w:val="003669BD"/>
    <w:rsid w:val="00367EFF"/>
    <w:rsid w:val="00370775"/>
    <w:rsid w:val="003719C3"/>
    <w:rsid w:val="00371B24"/>
    <w:rsid w:val="003731B0"/>
    <w:rsid w:val="0037610B"/>
    <w:rsid w:val="003769A8"/>
    <w:rsid w:val="00380348"/>
    <w:rsid w:val="00380BE7"/>
    <w:rsid w:val="0038159F"/>
    <w:rsid w:val="00383802"/>
    <w:rsid w:val="0038427C"/>
    <w:rsid w:val="00385908"/>
    <w:rsid w:val="00387188"/>
    <w:rsid w:val="003875BE"/>
    <w:rsid w:val="00390BEE"/>
    <w:rsid w:val="0039239A"/>
    <w:rsid w:val="00392BD6"/>
    <w:rsid w:val="00393605"/>
    <w:rsid w:val="003937FF"/>
    <w:rsid w:val="00394A82"/>
    <w:rsid w:val="0039730B"/>
    <w:rsid w:val="003A0B69"/>
    <w:rsid w:val="003A15CC"/>
    <w:rsid w:val="003A1773"/>
    <w:rsid w:val="003A2872"/>
    <w:rsid w:val="003A3468"/>
    <w:rsid w:val="003A3E5F"/>
    <w:rsid w:val="003A48AD"/>
    <w:rsid w:val="003A4A24"/>
    <w:rsid w:val="003A510C"/>
    <w:rsid w:val="003A52ED"/>
    <w:rsid w:val="003B0C94"/>
    <w:rsid w:val="003B1082"/>
    <w:rsid w:val="003B3110"/>
    <w:rsid w:val="003B5A34"/>
    <w:rsid w:val="003B6306"/>
    <w:rsid w:val="003B6480"/>
    <w:rsid w:val="003C02EF"/>
    <w:rsid w:val="003C06EC"/>
    <w:rsid w:val="003C160D"/>
    <w:rsid w:val="003C17BE"/>
    <w:rsid w:val="003C36B9"/>
    <w:rsid w:val="003C475B"/>
    <w:rsid w:val="003C60E8"/>
    <w:rsid w:val="003D0604"/>
    <w:rsid w:val="003D118E"/>
    <w:rsid w:val="003D1E2E"/>
    <w:rsid w:val="003D358D"/>
    <w:rsid w:val="003D3C61"/>
    <w:rsid w:val="003D450F"/>
    <w:rsid w:val="003D45BA"/>
    <w:rsid w:val="003D482F"/>
    <w:rsid w:val="003D4C30"/>
    <w:rsid w:val="003D66E4"/>
    <w:rsid w:val="003D6EB7"/>
    <w:rsid w:val="003D6FCB"/>
    <w:rsid w:val="003E0496"/>
    <w:rsid w:val="003E0664"/>
    <w:rsid w:val="003E1D9E"/>
    <w:rsid w:val="003E1FF8"/>
    <w:rsid w:val="003E2811"/>
    <w:rsid w:val="003E398E"/>
    <w:rsid w:val="003E3FFE"/>
    <w:rsid w:val="003E44E6"/>
    <w:rsid w:val="003E458B"/>
    <w:rsid w:val="003E4FB6"/>
    <w:rsid w:val="003E5DFB"/>
    <w:rsid w:val="003E6CA7"/>
    <w:rsid w:val="003F0E45"/>
    <w:rsid w:val="003F0E91"/>
    <w:rsid w:val="003F1470"/>
    <w:rsid w:val="003F23AA"/>
    <w:rsid w:val="003F3185"/>
    <w:rsid w:val="003F42DC"/>
    <w:rsid w:val="003F5F95"/>
    <w:rsid w:val="003F6476"/>
    <w:rsid w:val="003F6643"/>
    <w:rsid w:val="003F6D5C"/>
    <w:rsid w:val="003F7FCB"/>
    <w:rsid w:val="00401828"/>
    <w:rsid w:val="00401A85"/>
    <w:rsid w:val="00402410"/>
    <w:rsid w:val="00403827"/>
    <w:rsid w:val="004042EC"/>
    <w:rsid w:val="00404BE2"/>
    <w:rsid w:val="00404DC6"/>
    <w:rsid w:val="004058B6"/>
    <w:rsid w:val="00406E66"/>
    <w:rsid w:val="00410370"/>
    <w:rsid w:val="004118A0"/>
    <w:rsid w:val="0041281A"/>
    <w:rsid w:val="00413AAE"/>
    <w:rsid w:val="004142CD"/>
    <w:rsid w:val="00415FCB"/>
    <w:rsid w:val="00416B76"/>
    <w:rsid w:val="00416FB7"/>
    <w:rsid w:val="00417B84"/>
    <w:rsid w:val="00420913"/>
    <w:rsid w:val="004209A9"/>
    <w:rsid w:val="004213E8"/>
    <w:rsid w:val="00422B93"/>
    <w:rsid w:val="0042323A"/>
    <w:rsid w:val="004234F2"/>
    <w:rsid w:val="00423596"/>
    <w:rsid w:val="004240A2"/>
    <w:rsid w:val="00425611"/>
    <w:rsid w:val="00426183"/>
    <w:rsid w:val="004267AF"/>
    <w:rsid w:val="00426B23"/>
    <w:rsid w:val="004304D8"/>
    <w:rsid w:val="004309CE"/>
    <w:rsid w:val="00431612"/>
    <w:rsid w:val="004317AF"/>
    <w:rsid w:val="00432DD7"/>
    <w:rsid w:val="0043361A"/>
    <w:rsid w:val="004345C5"/>
    <w:rsid w:val="0043601C"/>
    <w:rsid w:val="004365A6"/>
    <w:rsid w:val="004370E2"/>
    <w:rsid w:val="00437C53"/>
    <w:rsid w:val="004413AF"/>
    <w:rsid w:val="004417FC"/>
    <w:rsid w:val="004418AA"/>
    <w:rsid w:val="004418F2"/>
    <w:rsid w:val="00441900"/>
    <w:rsid w:val="00442425"/>
    <w:rsid w:val="00442AD2"/>
    <w:rsid w:val="00443C4A"/>
    <w:rsid w:val="00443ECF"/>
    <w:rsid w:val="0044526A"/>
    <w:rsid w:val="00445381"/>
    <w:rsid w:val="00445571"/>
    <w:rsid w:val="00445FCB"/>
    <w:rsid w:val="00446318"/>
    <w:rsid w:val="004475DC"/>
    <w:rsid w:val="0045003C"/>
    <w:rsid w:val="00450244"/>
    <w:rsid w:val="00450A64"/>
    <w:rsid w:val="00451101"/>
    <w:rsid w:val="00451C46"/>
    <w:rsid w:val="00452A77"/>
    <w:rsid w:val="00452E6E"/>
    <w:rsid w:val="00453052"/>
    <w:rsid w:val="0045433C"/>
    <w:rsid w:val="004546D1"/>
    <w:rsid w:val="00455C15"/>
    <w:rsid w:val="004564A5"/>
    <w:rsid w:val="004572A0"/>
    <w:rsid w:val="00457590"/>
    <w:rsid w:val="00457C34"/>
    <w:rsid w:val="004608B8"/>
    <w:rsid w:val="00461284"/>
    <w:rsid w:val="004618EC"/>
    <w:rsid w:val="00461CCF"/>
    <w:rsid w:val="00464B3B"/>
    <w:rsid w:val="004663A1"/>
    <w:rsid w:val="00467110"/>
    <w:rsid w:val="0046717E"/>
    <w:rsid w:val="00467951"/>
    <w:rsid w:val="004679EB"/>
    <w:rsid w:val="00467B66"/>
    <w:rsid w:val="00467E6D"/>
    <w:rsid w:val="004704EC"/>
    <w:rsid w:val="00471853"/>
    <w:rsid w:val="00472356"/>
    <w:rsid w:val="00473135"/>
    <w:rsid w:val="0047313D"/>
    <w:rsid w:val="00475873"/>
    <w:rsid w:val="004763E9"/>
    <w:rsid w:val="00477734"/>
    <w:rsid w:val="0048034B"/>
    <w:rsid w:val="0048084A"/>
    <w:rsid w:val="004818BB"/>
    <w:rsid w:val="00481D4B"/>
    <w:rsid w:val="00481E3E"/>
    <w:rsid w:val="00482E4B"/>
    <w:rsid w:val="00482F30"/>
    <w:rsid w:val="00482FD1"/>
    <w:rsid w:val="004838B4"/>
    <w:rsid w:val="00483B7D"/>
    <w:rsid w:val="004854DD"/>
    <w:rsid w:val="00486CBC"/>
    <w:rsid w:val="00487BA6"/>
    <w:rsid w:val="0049083C"/>
    <w:rsid w:val="0049095D"/>
    <w:rsid w:val="00491130"/>
    <w:rsid w:val="00491E5D"/>
    <w:rsid w:val="0049244F"/>
    <w:rsid w:val="00493AA1"/>
    <w:rsid w:val="00494457"/>
    <w:rsid w:val="00494D29"/>
    <w:rsid w:val="00494FE1"/>
    <w:rsid w:val="00495021"/>
    <w:rsid w:val="00495137"/>
    <w:rsid w:val="0049625D"/>
    <w:rsid w:val="004965F8"/>
    <w:rsid w:val="00496887"/>
    <w:rsid w:val="004971A3"/>
    <w:rsid w:val="004978C6"/>
    <w:rsid w:val="00497D46"/>
    <w:rsid w:val="004A054C"/>
    <w:rsid w:val="004A1DEC"/>
    <w:rsid w:val="004A2CA2"/>
    <w:rsid w:val="004A31A6"/>
    <w:rsid w:val="004A3AA5"/>
    <w:rsid w:val="004A3AF8"/>
    <w:rsid w:val="004A487B"/>
    <w:rsid w:val="004A60C8"/>
    <w:rsid w:val="004A65E7"/>
    <w:rsid w:val="004A6C7D"/>
    <w:rsid w:val="004B020D"/>
    <w:rsid w:val="004B0DB2"/>
    <w:rsid w:val="004B1D7F"/>
    <w:rsid w:val="004B2958"/>
    <w:rsid w:val="004B2B2D"/>
    <w:rsid w:val="004B4CD1"/>
    <w:rsid w:val="004B59C9"/>
    <w:rsid w:val="004B6246"/>
    <w:rsid w:val="004B62F0"/>
    <w:rsid w:val="004B6C99"/>
    <w:rsid w:val="004B6EC5"/>
    <w:rsid w:val="004B6F90"/>
    <w:rsid w:val="004C1076"/>
    <w:rsid w:val="004C1EBA"/>
    <w:rsid w:val="004C2CC8"/>
    <w:rsid w:val="004C34CE"/>
    <w:rsid w:val="004C421D"/>
    <w:rsid w:val="004C4574"/>
    <w:rsid w:val="004C4C08"/>
    <w:rsid w:val="004C4F3A"/>
    <w:rsid w:val="004C53BE"/>
    <w:rsid w:val="004C60D9"/>
    <w:rsid w:val="004C6850"/>
    <w:rsid w:val="004C6D31"/>
    <w:rsid w:val="004C72F8"/>
    <w:rsid w:val="004C752E"/>
    <w:rsid w:val="004D18E8"/>
    <w:rsid w:val="004D1F9A"/>
    <w:rsid w:val="004D2BDD"/>
    <w:rsid w:val="004D2D30"/>
    <w:rsid w:val="004D3F18"/>
    <w:rsid w:val="004D4580"/>
    <w:rsid w:val="004D671A"/>
    <w:rsid w:val="004D7609"/>
    <w:rsid w:val="004E0E1B"/>
    <w:rsid w:val="004E1664"/>
    <w:rsid w:val="004E1B4C"/>
    <w:rsid w:val="004E2279"/>
    <w:rsid w:val="004E30A0"/>
    <w:rsid w:val="004E3A50"/>
    <w:rsid w:val="004E46ED"/>
    <w:rsid w:val="004E4784"/>
    <w:rsid w:val="004E4ECF"/>
    <w:rsid w:val="004E4F76"/>
    <w:rsid w:val="004E6F13"/>
    <w:rsid w:val="004E7486"/>
    <w:rsid w:val="004E78AB"/>
    <w:rsid w:val="004F0C06"/>
    <w:rsid w:val="004F108B"/>
    <w:rsid w:val="004F12ED"/>
    <w:rsid w:val="004F1323"/>
    <w:rsid w:val="004F37DD"/>
    <w:rsid w:val="004F6E19"/>
    <w:rsid w:val="004F74C3"/>
    <w:rsid w:val="004F769E"/>
    <w:rsid w:val="004F79CC"/>
    <w:rsid w:val="0050064D"/>
    <w:rsid w:val="00501079"/>
    <w:rsid w:val="0050137A"/>
    <w:rsid w:val="0050315C"/>
    <w:rsid w:val="0050423E"/>
    <w:rsid w:val="0050466F"/>
    <w:rsid w:val="00504678"/>
    <w:rsid w:val="00505A51"/>
    <w:rsid w:val="00505EB9"/>
    <w:rsid w:val="005076FE"/>
    <w:rsid w:val="00510129"/>
    <w:rsid w:val="005108FB"/>
    <w:rsid w:val="0051240E"/>
    <w:rsid w:val="00512BC8"/>
    <w:rsid w:val="00513F64"/>
    <w:rsid w:val="005148A9"/>
    <w:rsid w:val="00514CD8"/>
    <w:rsid w:val="00515DEA"/>
    <w:rsid w:val="0051756D"/>
    <w:rsid w:val="00520464"/>
    <w:rsid w:val="00520913"/>
    <w:rsid w:val="00521369"/>
    <w:rsid w:val="0052341A"/>
    <w:rsid w:val="00524B01"/>
    <w:rsid w:val="00524E3E"/>
    <w:rsid w:val="005250CD"/>
    <w:rsid w:val="00526254"/>
    <w:rsid w:val="00526FD3"/>
    <w:rsid w:val="00527C2F"/>
    <w:rsid w:val="00530339"/>
    <w:rsid w:val="0053033F"/>
    <w:rsid w:val="005303D2"/>
    <w:rsid w:val="005312C9"/>
    <w:rsid w:val="00532432"/>
    <w:rsid w:val="00534EF2"/>
    <w:rsid w:val="00536300"/>
    <w:rsid w:val="0053647E"/>
    <w:rsid w:val="00537B75"/>
    <w:rsid w:val="00542242"/>
    <w:rsid w:val="005435DE"/>
    <w:rsid w:val="00543858"/>
    <w:rsid w:val="00543DE5"/>
    <w:rsid w:val="00544351"/>
    <w:rsid w:val="00545879"/>
    <w:rsid w:val="005460F2"/>
    <w:rsid w:val="00546832"/>
    <w:rsid w:val="00551407"/>
    <w:rsid w:val="00553353"/>
    <w:rsid w:val="00553665"/>
    <w:rsid w:val="00554B1D"/>
    <w:rsid w:val="00554BFA"/>
    <w:rsid w:val="00556A94"/>
    <w:rsid w:val="00556E24"/>
    <w:rsid w:val="00557755"/>
    <w:rsid w:val="00557DF6"/>
    <w:rsid w:val="00562314"/>
    <w:rsid w:val="00562E02"/>
    <w:rsid w:val="005639A8"/>
    <w:rsid w:val="00564ECA"/>
    <w:rsid w:val="00565B22"/>
    <w:rsid w:val="0056615B"/>
    <w:rsid w:val="005661A6"/>
    <w:rsid w:val="00570342"/>
    <w:rsid w:val="005722C3"/>
    <w:rsid w:val="005726C8"/>
    <w:rsid w:val="00572C58"/>
    <w:rsid w:val="00573734"/>
    <w:rsid w:val="0057434D"/>
    <w:rsid w:val="00576EFF"/>
    <w:rsid w:val="0057735E"/>
    <w:rsid w:val="00577729"/>
    <w:rsid w:val="00580B58"/>
    <w:rsid w:val="00580E62"/>
    <w:rsid w:val="0058128F"/>
    <w:rsid w:val="00583A6B"/>
    <w:rsid w:val="00583A6F"/>
    <w:rsid w:val="00585398"/>
    <w:rsid w:val="0058608D"/>
    <w:rsid w:val="00586311"/>
    <w:rsid w:val="00586B93"/>
    <w:rsid w:val="005901B0"/>
    <w:rsid w:val="00590B07"/>
    <w:rsid w:val="00591A48"/>
    <w:rsid w:val="00591BEC"/>
    <w:rsid w:val="00592197"/>
    <w:rsid w:val="0059474E"/>
    <w:rsid w:val="00594E8A"/>
    <w:rsid w:val="00596668"/>
    <w:rsid w:val="00597346"/>
    <w:rsid w:val="005A05D3"/>
    <w:rsid w:val="005A2009"/>
    <w:rsid w:val="005A3FD4"/>
    <w:rsid w:val="005A78B3"/>
    <w:rsid w:val="005B092F"/>
    <w:rsid w:val="005B09C1"/>
    <w:rsid w:val="005B09F3"/>
    <w:rsid w:val="005B247D"/>
    <w:rsid w:val="005B2D20"/>
    <w:rsid w:val="005B2D9D"/>
    <w:rsid w:val="005B3156"/>
    <w:rsid w:val="005B47F9"/>
    <w:rsid w:val="005B50FE"/>
    <w:rsid w:val="005B523A"/>
    <w:rsid w:val="005B7B38"/>
    <w:rsid w:val="005B7CE9"/>
    <w:rsid w:val="005C09A7"/>
    <w:rsid w:val="005C11A6"/>
    <w:rsid w:val="005C4416"/>
    <w:rsid w:val="005C51EE"/>
    <w:rsid w:val="005C5369"/>
    <w:rsid w:val="005C5E67"/>
    <w:rsid w:val="005C7295"/>
    <w:rsid w:val="005C7509"/>
    <w:rsid w:val="005C7DDE"/>
    <w:rsid w:val="005C7F09"/>
    <w:rsid w:val="005D0610"/>
    <w:rsid w:val="005D1EEB"/>
    <w:rsid w:val="005D24D8"/>
    <w:rsid w:val="005D2B83"/>
    <w:rsid w:val="005D474B"/>
    <w:rsid w:val="005D49C3"/>
    <w:rsid w:val="005D4AF8"/>
    <w:rsid w:val="005D4B6E"/>
    <w:rsid w:val="005D4D74"/>
    <w:rsid w:val="005D679B"/>
    <w:rsid w:val="005D6D0A"/>
    <w:rsid w:val="005D6E0B"/>
    <w:rsid w:val="005E01E1"/>
    <w:rsid w:val="005E0680"/>
    <w:rsid w:val="005E0833"/>
    <w:rsid w:val="005E0C96"/>
    <w:rsid w:val="005E0E41"/>
    <w:rsid w:val="005E1218"/>
    <w:rsid w:val="005E2257"/>
    <w:rsid w:val="005E23A7"/>
    <w:rsid w:val="005E2A9C"/>
    <w:rsid w:val="005E352B"/>
    <w:rsid w:val="005E375B"/>
    <w:rsid w:val="005E3DF6"/>
    <w:rsid w:val="005E41DB"/>
    <w:rsid w:val="005E6BFD"/>
    <w:rsid w:val="005E6C64"/>
    <w:rsid w:val="005E7100"/>
    <w:rsid w:val="005E730D"/>
    <w:rsid w:val="005E7F95"/>
    <w:rsid w:val="005F030E"/>
    <w:rsid w:val="005F289C"/>
    <w:rsid w:val="005F391B"/>
    <w:rsid w:val="005F431E"/>
    <w:rsid w:val="005F4CC8"/>
    <w:rsid w:val="005F662D"/>
    <w:rsid w:val="005F68D4"/>
    <w:rsid w:val="005F77AE"/>
    <w:rsid w:val="005F7A7B"/>
    <w:rsid w:val="005F7AA3"/>
    <w:rsid w:val="005F7D04"/>
    <w:rsid w:val="005F7EE7"/>
    <w:rsid w:val="0060016C"/>
    <w:rsid w:val="006017D9"/>
    <w:rsid w:val="00602088"/>
    <w:rsid w:val="00602AC1"/>
    <w:rsid w:val="00604024"/>
    <w:rsid w:val="00604B44"/>
    <w:rsid w:val="00606B58"/>
    <w:rsid w:val="00607979"/>
    <w:rsid w:val="00610922"/>
    <w:rsid w:val="0061115E"/>
    <w:rsid w:val="00611688"/>
    <w:rsid w:val="006122A7"/>
    <w:rsid w:val="006136B2"/>
    <w:rsid w:val="00614F93"/>
    <w:rsid w:val="00615307"/>
    <w:rsid w:val="0061731C"/>
    <w:rsid w:val="0061739E"/>
    <w:rsid w:val="0061786F"/>
    <w:rsid w:val="00617CA5"/>
    <w:rsid w:val="00620363"/>
    <w:rsid w:val="006205AA"/>
    <w:rsid w:val="006209B0"/>
    <w:rsid w:val="00621B2F"/>
    <w:rsid w:val="00621FC6"/>
    <w:rsid w:val="00623351"/>
    <w:rsid w:val="006249B8"/>
    <w:rsid w:val="00626603"/>
    <w:rsid w:val="0062694B"/>
    <w:rsid w:val="006270E3"/>
    <w:rsid w:val="0063088D"/>
    <w:rsid w:val="00631AAF"/>
    <w:rsid w:val="00631B88"/>
    <w:rsid w:val="00634537"/>
    <w:rsid w:val="0063489A"/>
    <w:rsid w:val="00634CC1"/>
    <w:rsid w:val="00636792"/>
    <w:rsid w:val="0063766A"/>
    <w:rsid w:val="00637AF5"/>
    <w:rsid w:val="00637B4E"/>
    <w:rsid w:val="00641A51"/>
    <w:rsid w:val="00641F51"/>
    <w:rsid w:val="006434EE"/>
    <w:rsid w:val="00644211"/>
    <w:rsid w:val="006443A1"/>
    <w:rsid w:val="00644B32"/>
    <w:rsid w:val="00645021"/>
    <w:rsid w:val="00645D04"/>
    <w:rsid w:val="006474B3"/>
    <w:rsid w:val="00650068"/>
    <w:rsid w:val="006500D0"/>
    <w:rsid w:val="00650BB3"/>
    <w:rsid w:val="00650CDF"/>
    <w:rsid w:val="00651893"/>
    <w:rsid w:val="006522AD"/>
    <w:rsid w:val="00652579"/>
    <w:rsid w:val="0065363B"/>
    <w:rsid w:val="00653A6A"/>
    <w:rsid w:val="00656AE2"/>
    <w:rsid w:val="00657639"/>
    <w:rsid w:val="00660CA4"/>
    <w:rsid w:val="00661D71"/>
    <w:rsid w:val="00661E57"/>
    <w:rsid w:val="006643BD"/>
    <w:rsid w:val="00664914"/>
    <w:rsid w:val="00664F2B"/>
    <w:rsid w:val="00665118"/>
    <w:rsid w:val="0066666A"/>
    <w:rsid w:val="00666AA1"/>
    <w:rsid w:val="006701FF"/>
    <w:rsid w:val="00670283"/>
    <w:rsid w:val="00670519"/>
    <w:rsid w:val="00670769"/>
    <w:rsid w:val="0067113D"/>
    <w:rsid w:val="006717BA"/>
    <w:rsid w:val="0067187C"/>
    <w:rsid w:val="00671C50"/>
    <w:rsid w:val="00672692"/>
    <w:rsid w:val="006726E2"/>
    <w:rsid w:val="006726F6"/>
    <w:rsid w:val="006732F8"/>
    <w:rsid w:val="006746DA"/>
    <w:rsid w:val="006747A9"/>
    <w:rsid w:val="00675927"/>
    <w:rsid w:val="00677F43"/>
    <w:rsid w:val="00680051"/>
    <w:rsid w:val="00680FE1"/>
    <w:rsid w:val="006812B0"/>
    <w:rsid w:val="00682E98"/>
    <w:rsid w:val="006833FE"/>
    <w:rsid w:val="006847AA"/>
    <w:rsid w:val="006856C3"/>
    <w:rsid w:val="006858AF"/>
    <w:rsid w:val="00691646"/>
    <w:rsid w:val="006917D5"/>
    <w:rsid w:val="006918E1"/>
    <w:rsid w:val="00694572"/>
    <w:rsid w:val="00694B42"/>
    <w:rsid w:val="00694BC2"/>
    <w:rsid w:val="00695CB6"/>
    <w:rsid w:val="006A0101"/>
    <w:rsid w:val="006A122B"/>
    <w:rsid w:val="006A3114"/>
    <w:rsid w:val="006A3A6A"/>
    <w:rsid w:val="006A3CBD"/>
    <w:rsid w:val="006A506B"/>
    <w:rsid w:val="006A5982"/>
    <w:rsid w:val="006A59D8"/>
    <w:rsid w:val="006A6007"/>
    <w:rsid w:val="006A6494"/>
    <w:rsid w:val="006A6EBC"/>
    <w:rsid w:val="006A76BD"/>
    <w:rsid w:val="006A7844"/>
    <w:rsid w:val="006B0370"/>
    <w:rsid w:val="006B06E6"/>
    <w:rsid w:val="006B0AD9"/>
    <w:rsid w:val="006B18BA"/>
    <w:rsid w:val="006B200C"/>
    <w:rsid w:val="006B47C4"/>
    <w:rsid w:val="006B4857"/>
    <w:rsid w:val="006B50AA"/>
    <w:rsid w:val="006B5464"/>
    <w:rsid w:val="006B5738"/>
    <w:rsid w:val="006B73C6"/>
    <w:rsid w:val="006C06AB"/>
    <w:rsid w:val="006C0FE3"/>
    <w:rsid w:val="006C14D6"/>
    <w:rsid w:val="006C1696"/>
    <w:rsid w:val="006C178A"/>
    <w:rsid w:val="006C19FD"/>
    <w:rsid w:val="006C1B8A"/>
    <w:rsid w:val="006C1E74"/>
    <w:rsid w:val="006C1EE6"/>
    <w:rsid w:val="006C2FA2"/>
    <w:rsid w:val="006C39D2"/>
    <w:rsid w:val="006C6599"/>
    <w:rsid w:val="006C6E4B"/>
    <w:rsid w:val="006C7487"/>
    <w:rsid w:val="006C7774"/>
    <w:rsid w:val="006D0085"/>
    <w:rsid w:val="006D06F8"/>
    <w:rsid w:val="006D0F8D"/>
    <w:rsid w:val="006D1281"/>
    <w:rsid w:val="006D15C2"/>
    <w:rsid w:val="006D2A8D"/>
    <w:rsid w:val="006D3AA3"/>
    <w:rsid w:val="006D50AD"/>
    <w:rsid w:val="006D5D34"/>
    <w:rsid w:val="006D604E"/>
    <w:rsid w:val="006D6F3F"/>
    <w:rsid w:val="006D75AF"/>
    <w:rsid w:val="006D7ACB"/>
    <w:rsid w:val="006D7FF0"/>
    <w:rsid w:val="006E05A9"/>
    <w:rsid w:val="006E22F6"/>
    <w:rsid w:val="006E2C8F"/>
    <w:rsid w:val="006E3456"/>
    <w:rsid w:val="006E3653"/>
    <w:rsid w:val="006E458E"/>
    <w:rsid w:val="006E7762"/>
    <w:rsid w:val="006E7C88"/>
    <w:rsid w:val="006F082D"/>
    <w:rsid w:val="006F0DF1"/>
    <w:rsid w:val="006F1627"/>
    <w:rsid w:val="006F17E1"/>
    <w:rsid w:val="006F25CB"/>
    <w:rsid w:val="006F4F39"/>
    <w:rsid w:val="006F54CF"/>
    <w:rsid w:val="006F576D"/>
    <w:rsid w:val="006F63E0"/>
    <w:rsid w:val="006F6BEB"/>
    <w:rsid w:val="006F6DF8"/>
    <w:rsid w:val="006F713F"/>
    <w:rsid w:val="006F75C1"/>
    <w:rsid w:val="006F7E78"/>
    <w:rsid w:val="00700BEC"/>
    <w:rsid w:val="00701DB5"/>
    <w:rsid w:val="00701F17"/>
    <w:rsid w:val="007042AC"/>
    <w:rsid w:val="007043E0"/>
    <w:rsid w:val="00704502"/>
    <w:rsid w:val="00704978"/>
    <w:rsid w:val="007049B3"/>
    <w:rsid w:val="00706AEC"/>
    <w:rsid w:val="00706BAB"/>
    <w:rsid w:val="00707B65"/>
    <w:rsid w:val="00707D12"/>
    <w:rsid w:val="007101D3"/>
    <w:rsid w:val="0071288C"/>
    <w:rsid w:val="00712AC9"/>
    <w:rsid w:val="00714CCB"/>
    <w:rsid w:val="00714D22"/>
    <w:rsid w:val="00714F78"/>
    <w:rsid w:val="0071654D"/>
    <w:rsid w:val="00720299"/>
    <w:rsid w:val="00720C12"/>
    <w:rsid w:val="00722221"/>
    <w:rsid w:val="007223F5"/>
    <w:rsid w:val="00723653"/>
    <w:rsid w:val="00723EC4"/>
    <w:rsid w:val="0072575A"/>
    <w:rsid w:val="007258B6"/>
    <w:rsid w:val="00726101"/>
    <w:rsid w:val="007261B9"/>
    <w:rsid w:val="00730780"/>
    <w:rsid w:val="00730AEE"/>
    <w:rsid w:val="00730B99"/>
    <w:rsid w:val="0073212D"/>
    <w:rsid w:val="00732EAC"/>
    <w:rsid w:val="00733CBA"/>
    <w:rsid w:val="00736E05"/>
    <w:rsid w:val="0074005D"/>
    <w:rsid w:val="00740337"/>
    <w:rsid w:val="00740F4C"/>
    <w:rsid w:val="0074115D"/>
    <w:rsid w:val="00741828"/>
    <w:rsid w:val="00742AE3"/>
    <w:rsid w:val="00742C1F"/>
    <w:rsid w:val="00743398"/>
    <w:rsid w:val="007451D5"/>
    <w:rsid w:val="007466B6"/>
    <w:rsid w:val="00746A31"/>
    <w:rsid w:val="00746D2F"/>
    <w:rsid w:val="00747BAF"/>
    <w:rsid w:val="0075046E"/>
    <w:rsid w:val="00751041"/>
    <w:rsid w:val="007516CD"/>
    <w:rsid w:val="007519DD"/>
    <w:rsid w:val="00753552"/>
    <w:rsid w:val="007535AA"/>
    <w:rsid w:val="00753A55"/>
    <w:rsid w:val="00754968"/>
    <w:rsid w:val="00756359"/>
    <w:rsid w:val="007607E1"/>
    <w:rsid w:val="00760F3C"/>
    <w:rsid w:val="007615EA"/>
    <w:rsid w:val="00763CB9"/>
    <w:rsid w:val="00764262"/>
    <w:rsid w:val="00764AA2"/>
    <w:rsid w:val="007656DB"/>
    <w:rsid w:val="00765A2C"/>
    <w:rsid w:val="00766E88"/>
    <w:rsid w:val="007677ED"/>
    <w:rsid w:val="00767FEB"/>
    <w:rsid w:val="007702AB"/>
    <w:rsid w:val="0077069F"/>
    <w:rsid w:val="0077169C"/>
    <w:rsid w:val="00774FE5"/>
    <w:rsid w:val="007761EE"/>
    <w:rsid w:val="00776C23"/>
    <w:rsid w:val="007772B4"/>
    <w:rsid w:val="00777A27"/>
    <w:rsid w:val="00777BF2"/>
    <w:rsid w:val="00782374"/>
    <w:rsid w:val="00783084"/>
    <w:rsid w:val="00783739"/>
    <w:rsid w:val="0078596C"/>
    <w:rsid w:val="00786BAF"/>
    <w:rsid w:val="0079000F"/>
    <w:rsid w:val="0079026E"/>
    <w:rsid w:val="007908DD"/>
    <w:rsid w:val="00791E4E"/>
    <w:rsid w:val="007929C5"/>
    <w:rsid w:val="00792A5D"/>
    <w:rsid w:val="00793F26"/>
    <w:rsid w:val="00794AEF"/>
    <w:rsid w:val="00795349"/>
    <w:rsid w:val="007960E3"/>
    <w:rsid w:val="00796A28"/>
    <w:rsid w:val="00797ABE"/>
    <w:rsid w:val="00797ADA"/>
    <w:rsid w:val="007A1285"/>
    <w:rsid w:val="007A1499"/>
    <w:rsid w:val="007A1FA3"/>
    <w:rsid w:val="007A2451"/>
    <w:rsid w:val="007A29D9"/>
    <w:rsid w:val="007A3A23"/>
    <w:rsid w:val="007A449F"/>
    <w:rsid w:val="007A5505"/>
    <w:rsid w:val="007A5DD1"/>
    <w:rsid w:val="007A64CC"/>
    <w:rsid w:val="007A66AA"/>
    <w:rsid w:val="007A6F1E"/>
    <w:rsid w:val="007B08E6"/>
    <w:rsid w:val="007B1B1C"/>
    <w:rsid w:val="007B2B11"/>
    <w:rsid w:val="007B3723"/>
    <w:rsid w:val="007B3A58"/>
    <w:rsid w:val="007B3B4A"/>
    <w:rsid w:val="007B518D"/>
    <w:rsid w:val="007B53A6"/>
    <w:rsid w:val="007B5B18"/>
    <w:rsid w:val="007B5EDB"/>
    <w:rsid w:val="007B61D0"/>
    <w:rsid w:val="007B6609"/>
    <w:rsid w:val="007B7C39"/>
    <w:rsid w:val="007C04FE"/>
    <w:rsid w:val="007C07C8"/>
    <w:rsid w:val="007C13E7"/>
    <w:rsid w:val="007C20DF"/>
    <w:rsid w:val="007C335C"/>
    <w:rsid w:val="007C60BA"/>
    <w:rsid w:val="007C7684"/>
    <w:rsid w:val="007D0D3D"/>
    <w:rsid w:val="007D253B"/>
    <w:rsid w:val="007D2562"/>
    <w:rsid w:val="007D26B0"/>
    <w:rsid w:val="007D2B79"/>
    <w:rsid w:val="007D359F"/>
    <w:rsid w:val="007D38A9"/>
    <w:rsid w:val="007D3BC9"/>
    <w:rsid w:val="007D40FE"/>
    <w:rsid w:val="007D4DBD"/>
    <w:rsid w:val="007D5B35"/>
    <w:rsid w:val="007D5F73"/>
    <w:rsid w:val="007D659A"/>
    <w:rsid w:val="007D6DA8"/>
    <w:rsid w:val="007D7608"/>
    <w:rsid w:val="007D7D7C"/>
    <w:rsid w:val="007E05CB"/>
    <w:rsid w:val="007E0AAA"/>
    <w:rsid w:val="007E1287"/>
    <w:rsid w:val="007E249E"/>
    <w:rsid w:val="007E433F"/>
    <w:rsid w:val="007E4805"/>
    <w:rsid w:val="007E5DE4"/>
    <w:rsid w:val="007E5F62"/>
    <w:rsid w:val="007E7444"/>
    <w:rsid w:val="007E75E2"/>
    <w:rsid w:val="007E7766"/>
    <w:rsid w:val="007F0295"/>
    <w:rsid w:val="007F07C8"/>
    <w:rsid w:val="007F13EE"/>
    <w:rsid w:val="007F1FDC"/>
    <w:rsid w:val="007F2142"/>
    <w:rsid w:val="007F3218"/>
    <w:rsid w:val="007F3401"/>
    <w:rsid w:val="007F4CF1"/>
    <w:rsid w:val="007F5874"/>
    <w:rsid w:val="007F7C9F"/>
    <w:rsid w:val="00800224"/>
    <w:rsid w:val="00800795"/>
    <w:rsid w:val="00801106"/>
    <w:rsid w:val="00801299"/>
    <w:rsid w:val="0080261E"/>
    <w:rsid w:val="00802783"/>
    <w:rsid w:val="008029A0"/>
    <w:rsid w:val="00803382"/>
    <w:rsid w:val="008035D1"/>
    <w:rsid w:val="00804B8D"/>
    <w:rsid w:val="00804C4F"/>
    <w:rsid w:val="00804ED9"/>
    <w:rsid w:val="00806DF5"/>
    <w:rsid w:val="0081004B"/>
    <w:rsid w:val="00811A96"/>
    <w:rsid w:val="00811E08"/>
    <w:rsid w:val="00812C07"/>
    <w:rsid w:val="00813052"/>
    <w:rsid w:val="0081339A"/>
    <w:rsid w:val="00813CDE"/>
    <w:rsid w:val="0081413C"/>
    <w:rsid w:val="00814405"/>
    <w:rsid w:val="00815146"/>
    <w:rsid w:val="0081612B"/>
    <w:rsid w:val="00816255"/>
    <w:rsid w:val="00816653"/>
    <w:rsid w:val="00817113"/>
    <w:rsid w:val="00817776"/>
    <w:rsid w:val="008179D3"/>
    <w:rsid w:val="00817F9E"/>
    <w:rsid w:val="008207C7"/>
    <w:rsid w:val="0082188C"/>
    <w:rsid w:val="00822677"/>
    <w:rsid w:val="00822980"/>
    <w:rsid w:val="00823BD0"/>
    <w:rsid w:val="00825A8E"/>
    <w:rsid w:val="0082603E"/>
    <w:rsid w:val="00826953"/>
    <w:rsid w:val="00826990"/>
    <w:rsid w:val="0082713A"/>
    <w:rsid w:val="00830FF8"/>
    <w:rsid w:val="0083257E"/>
    <w:rsid w:val="0083368E"/>
    <w:rsid w:val="00833C6F"/>
    <w:rsid w:val="00833DF0"/>
    <w:rsid w:val="00833FAB"/>
    <w:rsid w:val="00834B4E"/>
    <w:rsid w:val="00835A93"/>
    <w:rsid w:val="00837324"/>
    <w:rsid w:val="00837445"/>
    <w:rsid w:val="008408F4"/>
    <w:rsid w:val="008412AF"/>
    <w:rsid w:val="00841D9B"/>
    <w:rsid w:val="008424F3"/>
    <w:rsid w:val="008431E0"/>
    <w:rsid w:val="00843F67"/>
    <w:rsid w:val="00845270"/>
    <w:rsid w:val="00845833"/>
    <w:rsid w:val="00845904"/>
    <w:rsid w:val="00850BAC"/>
    <w:rsid w:val="00850D9E"/>
    <w:rsid w:val="008510BF"/>
    <w:rsid w:val="00851974"/>
    <w:rsid w:val="00851B15"/>
    <w:rsid w:val="008535F7"/>
    <w:rsid w:val="00854448"/>
    <w:rsid w:val="00855626"/>
    <w:rsid w:val="00856A69"/>
    <w:rsid w:val="00856B8A"/>
    <w:rsid w:val="008603A5"/>
    <w:rsid w:val="0086041D"/>
    <w:rsid w:val="00860E25"/>
    <w:rsid w:val="00860FB2"/>
    <w:rsid w:val="00861626"/>
    <w:rsid w:val="0086313A"/>
    <w:rsid w:val="00863D98"/>
    <w:rsid w:val="0086596C"/>
    <w:rsid w:val="008669D2"/>
    <w:rsid w:val="00866C5C"/>
    <w:rsid w:val="00866F42"/>
    <w:rsid w:val="00867128"/>
    <w:rsid w:val="008674C5"/>
    <w:rsid w:val="0087023D"/>
    <w:rsid w:val="00871C19"/>
    <w:rsid w:val="00872475"/>
    <w:rsid w:val="008729E2"/>
    <w:rsid w:val="0087314A"/>
    <w:rsid w:val="00873463"/>
    <w:rsid w:val="00873DC2"/>
    <w:rsid w:val="00874ACD"/>
    <w:rsid w:val="00876B18"/>
    <w:rsid w:val="00876EB2"/>
    <w:rsid w:val="00880BB3"/>
    <w:rsid w:val="0088161C"/>
    <w:rsid w:val="00881883"/>
    <w:rsid w:val="008825EE"/>
    <w:rsid w:val="00882726"/>
    <w:rsid w:val="008828EC"/>
    <w:rsid w:val="00883C76"/>
    <w:rsid w:val="00883E7E"/>
    <w:rsid w:val="00885F39"/>
    <w:rsid w:val="00885F4C"/>
    <w:rsid w:val="0088652C"/>
    <w:rsid w:val="00886BAF"/>
    <w:rsid w:val="00886CA7"/>
    <w:rsid w:val="00890308"/>
    <w:rsid w:val="00892B94"/>
    <w:rsid w:val="00893195"/>
    <w:rsid w:val="00893307"/>
    <w:rsid w:val="008934C5"/>
    <w:rsid w:val="008967C3"/>
    <w:rsid w:val="00897859"/>
    <w:rsid w:val="008A162E"/>
    <w:rsid w:val="008A1E4D"/>
    <w:rsid w:val="008A2CC4"/>
    <w:rsid w:val="008A2F4B"/>
    <w:rsid w:val="008A35B1"/>
    <w:rsid w:val="008A36F2"/>
    <w:rsid w:val="008A4617"/>
    <w:rsid w:val="008A5891"/>
    <w:rsid w:val="008A5D81"/>
    <w:rsid w:val="008A6537"/>
    <w:rsid w:val="008A777E"/>
    <w:rsid w:val="008A7878"/>
    <w:rsid w:val="008A7B29"/>
    <w:rsid w:val="008B0886"/>
    <w:rsid w:val="008B096C"/>
    <w:rsid w:val="008B0C5A"/>
    <w:rsid w:val="008B0C79"/>
    <w:rsid w:val="008B166B"/>
    <w:rsid w:val="008B2191"/>
    <w:rsid w:val="008B3DCB"/>
    <w:rsid w:val="008B40CC"/>
    <w:rsid w:val="008B452B"/>
    <w:rsid w:val="008B5C81"/>
    <w:rsid w:val="008B5CD5"/>
    <w:rsid w:val="008B71A7"/>
    <w:rsid w:val="008C2E46"/>
    <w:rsid w:val="008C3421"/>
    <w:rsid w:val="008C3933"/>
    <w:rsid w:val="008C3AD1"/>
    <w:rsid w:val="008C3CF0"/>
    <w:rsid w:val="008C53B0"/>
    <w:rsid w:val="008C6827"/>
    <w:rsid w:val="008C7F9D"/>
    <w:rsid w:val="008D088F"/>
    <w:rsid w:val="008D1036"/>
    <w:rsid w:val="008D343D"/>
    <w:rsid w:val="008D344D"/>
    <w:rsid w:val="008D4773"/>
    <w:rsid w:val="008D565A"/>
    <w:rsid w:val="008D56EC"/>
    <w:rsid w:val="008D6293"/>
    <w:rsid w:val="008D7F00"/>
    <w:rsid w:val="008E0444"/>
    <w:rsid w:val="008E18DF"/>
    <w:rsid w:val="008E3804"/>
    <w:rsid w:val="008E5A3F"/>
    <w:rsid w:val="008E5B69"/>
    <w:rsid w:val="008E5D95"/>
    <w:rsid w:val="008E64CC"/>
    <w:rsid w:val="008E671B"/>
    <w:rsid w:val="008E67E7"/>
    <w:rsid w:val="008E720A"/>
    <w:rsid w:val="008E74B8"/>
    <w:rsid w:val="008E750C"/>
    <w:rsid w:val="008E7715"/>
    <w:rsid w:val="008E7BBB"/>
    <w:rsid w:val="008E7F5B"/>
    <w:rsid w:val="008F0E27"/>
    <w:rsid w:val="008F0ED7"/>
    <w:rsid w:val="008F1399"/>
    <w:rsid w:val="008F1896"/>
    <w:rsid w:val="008F51D1"/>
    <w:rsid w:val="008F533D"/>
    <w:rsid w:val="008F61CB"/>
    <w:rsid w:val="008F62F6"/>
    <w:rsid w:val="008F7169"/>
    <w:rsid w:val="008F7AA2"/>
    <w:rsid w:val="009029D2"/>
    <w:rsid w:val="0090311C"/>
    <w:rsid w:val="00903DC5"/>
    <w:rsid w:val="009045AD"/>
    <w:rsid w:val="00904B34"/>
    <w:rsid w:val="00904E36"/>
    <w:rsid w:val="009064C0"/>
    <w:rsid w:val="0091059D"/>
    <w:rsid w:val="0091110B"/>
    <w:rsid w:val="00911B56"/>
    <w:rsid w:val="00912666"/>
    <w:rsid w:val="00912F38"/>
    <w:rsid w:val="0091581A"/>
    <w:rsid w:val="00915CC7"/>
    <w:rsid w:val="009161F3"/>
    <w:rsid w:val="009163AA"/>
    <w:rsid w:val="0092021C"/>
    <w:rsid w:val="0092024A"/>
    <w:rsid w:val="009205CF"/>
    <w:rsid w:val="0092317B"/>
    <w:rsid w:val="009238C7"/>
    <w:rsid w:val="0092462B"/>
    <w:rsid w:val="00925959"/>
    <w:rsid w:val="00925CF6"/>
    <w:rsid w:val="00931B42"/>
    <w:rsid w:val="00931FC3"/>
    <w:rsid w:val="0093405C"/>
    <w:rsid w:val="0093456E"/>
    <w:rsid w:val="009359CB"/>
    <w:rsid w:val="00935B28"/>
    <w:rsid w:val="00935CE6"/>
    <w:rsid w:val="00936340"/>
    <w:rsid w:val="009372A3"/>
    <w:rsid w:val="009373C2"/>
    <w:rsid w:val="00937448"/>
    <w:rsid w:val="009400C5"/>
    <w:rsid w:val="0094013C"/>
    <w:rsid w:val="00940A22"/>
    <w:rsid w:val="009414E7"/>
    <w:rsid w:val="00941A42"/>
    <w:rsid w:val="00941B84"/>
    <w:rsid w:val="009420B5"/>
    <w:rsid w:val="00943727"/>
    <w:rsid w:val="0094433B"/>
    <w:rsid w:val="009444CA"/>
    <w:rsid w:val="0094467B"/>
    <w:rsid w:val="0094551B"/>
    <w:rsid w:val="00945A74"/>
    <w:rsid w:val="00946530"/>
    <w:rsid w:val="009468C2"/>
    <w:rsid w:val="009477E9"/>
    <w:rsid w:val="00947926"/>
    <w:rsid w:val="00950360"/>
    <w:rsid w:val="009503A0"/>
    <w:rsid w:val="009516EA"/>
    <w:rsid w:val="00952F76"/>
    <w:rsid w:val="00954A65"/>
    <w:rsid w:val="00955BAF"/>
    <w:rsid w:val="009560CB"/>
    <w:rsid w:val="00956CE1"/>
    <w:rsid w:val="00956FA3"/>
    <w:rsid w:val="00960549"/>
    <w:rsid w:val="00960DD2"/>
    <w:rsid w:val="009617A8"/>
    <w:rsid w:val="00963D32"/>
    <w:rsid w:val="009641CC"/>
    <w:rsid w:val="00964703"/>
    <w:rsid w:val="00964918"/>
    <w:rsid w:val="00964A67"/>
    <w:rsid w:val="009658BB"/>
    <w:rsid w:val="00965AC5"/>
    <w:rsid w:val="00966299"/>
    <w:rsid w:val="009664A5"/>
    <w:rsid w:val="009673AD"/>
    <w:rsid w:val="00967424"/>
    <w:rsid w:val="00967A57"/>
    <w:rsid w:val="00971686"/>
    <w:rsid w:val="0097196F"/>
    <w:rsid w:val="00972710"/>
    <w:rsid w:val="00973259"/>
    <w:rsid w:val="009739F9"/>
    <w:rsid w:val="00973D41"/>
    <w:rsid w:val="00977570"/>
    <w:rsid w:val="00980CFE"/>
    <w:rsid w:val="00981912"/>
    <w:rsid w:val="00981BFA"/>
    <w:rsid w:val="00983043"/>
    <w:rsid w:val="0098347F"/>
    <w:rsid w:val="00983EBB"/>
    <w:rsid w:val="00984188"/>
    <w:rsid w:val="00984F59"/>
    <w:rsid w:val="00985444"/>
    <w:rsid w:val="00985460"/>
    <w:rsid w:val="00985536"/>
    <w:rsid w:val="00985966"/>
    <w:rsid w:val="00986B6C"/>
    <w:rsid w:val="00987268"/>
    <w:rsid w:val="00987914"/>
    <w:rsid w:val="009879BC"/>
    <w:rsid w:val="009903BE"/>
    <w:rsid w:val="009915F6"/>
    <w:rsid w:val="00991A4B"/>
    <w:rsid w:val="00991DCC"/>
    <w:rsid w:val="0099310D"/>
    <w:rsid w:val="009936A2"/>
    <w:rsid w:val="00993C85"/>
    <w:rsid w:val="00993DA8"/>
    <w:rsid w:val="009949BE"/>
    <w:rsid w:val="00996B76"/>
    <w:rsid w:val="009971CE"/>
    <w:rsid w:val="009A08CA"/>
    <w:rsid w:val="009A0E86"/>
    <w:rsid w:val="009A1FFE"/>
    <w:rsid w:val="009A24AB"/>
    <w:rsid w:val="009A3768"/>
    <w:rsid w:val="009A3A13"/>
    <w:rsid w:val="009A3FD0"/>
    <w:rsid w:val="009A6F98"/>
    <w:rsid w:val="009A788B"/>
    <w:rsid w:val="009B002F"/>
    <w:rsid w:val="009B0AB4"/>
    <w:rsid w:val="009B2C9B"/>
    <w:rsid w:val="009B31DB"/>
    <w:rsid w:val="009B33A8"/>
    <w:rsid w:val="009B3C1C"/>
    <w:rsid w:val="009B3CA9"/>
    <w:rsid w:val="009B506E"/>
    <w:rsid w:val="009B526E"/>
    <w:rsid w:val="009B544C"/>
    <w:rsid w:val="009B5729"/>
    <w:rsid w:val="009B5944"/>
    <w:rsid w:val="009B6AC2"/>
    <w:rsid w:val="009B6AC3"/>
    <w:rsid w:val="009B7F93"/>
    <w:rsid w:val="009C13DC"/>
    <w:rsid w:val="009C1937"/>
    <w:rsid w:val="009C31DF"/>
    <w:rsid w:val="009C41CD"/>
    <w:rsid w:val="009C4600"/>
    <w:rsid w:val="009C495B"/>
    <w:rsid w:val="009C4B5D"/>
    <w:rsid w:val="009C4EA5"/>
    <w:rsid w:val="009C6DF6"/>
    <w:rsid w:val="009C7355"/>
    <w:rsid w:val="009D0B51"/>
    <w:rsid w:val="009D10DC"/>
    <w:rsid w:val="009D1DD6"/>
    <w:rsid w:val="009D2902"/>
    <w:rsid w:val="009D2E20"/>
    <w:rsid w:val="009D62A8"/>
    <w:rsid w:val="009D7DA2"/>
    <w:rsid w:val="009E27A6"/>
    <w:rsid w:val="009E3F5C"/>
    <w:rsid w:val="009E5A90"/>
    <w:rsid w:val="009E5DD9"/>
    <w:rsid w:val="009E6B55"/>
    <w:rsid w:val="009E7F24"/>
    <w:rsid w:val="009F0380"/>
    <w:rsid w:val="009F636E"/>
    <w:rsid w:val="009F7AE2"/>
    <w:rsid w:val="009F7E18"/>
    <w:rsid w:val="00A006F3"/>
    <w:rsid w:val="00A04DDA"/>
    <w:rsid w:val="00A0585B"/>
    <w:rsid w:val="00A05A15"/>
    <w:rsid w:val="00A06C74"/>
    <w:rsid w:val="00A07AC6"/>
    <w:rsid w:val="00A10016"/>
    <w:rsid w:val="00A10415"/>
    <w:rsid w:val="00A118C1"/>
    <w:rsid w:val="00A11CB6"/>
    <w:rsid w:val="00A12765"/>
    <w:rsid w:val="00A13431"/>
    <w:rsid w:val="00A15E63"/>
    <w:rsid w:val="00A20C86"/>
    <w:rsid w:val="00A21199"/>
    <w:rsid w:val="00A219F5"/>
    <w:rsid w:val="00A23AD3"/>
    <w:rsid w:val="00A23EFE"/>
    <w:rsid w:val="00A2550C"/>
    <w:rsid w:val="00A25697"/>
    <w:rsid w:val="00A257CE"/>
    <w:rsid w:val="00A25D1C"/>
    <w:rsid w:val="00A27F41"/>
    <w:rsid w:val="00A30601"/>
    <w:rsid w:val="00A30EE4"/>
    <w:rsid w:val="00A310C9"/>
    <w:rsid w:val="00A31EB8"/>
    <w:rsid w:val="00A34823"/>
    <w:rsid w:val="00A348EF"/>
    <w:rsid w:val="00A37EEE"/>
    <w:rsid w:val="00A404D7"/>
    <w:rsid w:val="00A40540"/>
    <w:rsid w:val="00A40542"/>
    <w:rsid w:val="00A412BD"/>
    <w:rsid w:val="00A418BA"/>
    <w:rsid w:val="00A41DF9"/>
    <w:rsid w:val="00A42CDC"/>
    <w:rsid w:val="00A4405C"/>
    <w:rsid w:val="00A4521A"/>
    <w:rsid w:val="00A4523B"/>
    <w:rsid w:val="00A46426"/>
    <w:rsid w:val="00A47B6E"/>
    <w:rsid w:val="00A502CB"/>
    <w:rsid w:val="00A50D53"/>
    <w:rsid w:val="00A52833"/>
    <w:rsid w:val="00A5488C"/>
    <w:rsid w:val="00A54EB5"/>
    <w:rsid w:val="00A555E7"/>
    <w:rsid w:val="00A5602C"/>
    <w:rsid w:val="00A57363"/>
    <w:rsid w:val="00A60870"/>
    <w:rsid w:val="00A60C7E"/>
    <w:rsid w:val="00A620D9"/>
    <w:rsid w:val="00A62787"/>
    <w:rsid w:val="00A62D1A"/>
    <w:rsid w:val="00A63998"/>
    <w:rsid w:val="00A658CE"/>
    <w:rsid w:val="00A65CB2"/>
    <w:rsid w:val="00A65DB3"/>
    <w:rsid w:val="00A666A9"/>
    <w:rsid w:val="00A6691F"/>
    <w:rsid w:val="00A67801"/>
    <w:rsid w:val="00A67834"/>
    <w:rsid w:val="00A70677"/>
    <w:rsid w:val="00A72E26"/>
    <w:rsid w:val="00A7498A"/>
    <w:rsid w:val="00A75488"/>
    <w:rsid w:val="00A76869"/>
    <w:rsid w:val="00A80C58"/>
    <w:rsid w:val="00A81583"/>
    <w:rsid w:val="00A818E3"/>
    <w:rsid w:val="00A82C20"/>
    <w:rsid w:val="00A83598"/>
    <w:rsid w:val="00A839E2"/>
    <w:rsid w:val="00A83D56"/>
    <w:rsid w:val="00A8532B"/>
    <w:rsid w:val="00A853D3"/>
    <w:rsid w:val="00A87598"/>
    <w:rsid w:val="00A876F8"/>
    <w:rsid w:val="00A87D93"/>
    <w:rsid w:val="00A901A8"/>
    <w:rsid w:val="00A90A9C"/>
    <w:rsid w:val="00A9161C"/>
    <w:rsid w:val="00A926BA"/>
    <w:rsid w:val="00A940F7"/>
    <w:rsid w:val="00A94C9B"/>
    <w:rsid w:val="00A9524D"/>
    <w:rsid w:val="00AA2585"/>
    <w:rsid w:val="00AA274D"/>
    <w:rsid w:val="00AA2BBA"/>
    <w:rsid w:val="00AA30D9"/>
    <w:rsid w:val="00AA3451"/>
    <w:rsid w:val="00AA37A7"/>
    <w:rsid w:val="00AA4E07"/>
    <w:rsid w:val="00AA50A7"/>
    <w:rsid w:val="00AA655F"/>
    <w:rsid w:val="00AA6C1C"/>
    <w:rsid w:val="00AB0291"/>
    <w:rsid w:val="00AB1A4D"/>
    <w:rsid w:val="00AB1E7F"/>
    <w:rsid w:val="00AB3A88"/>
    <w:rsid w:val="00AB3B65"/>
    <w:rsid w:val="00AB3F2C"/>
    <w:rsid w:val="00AC0E3D"/>
    <w:rsid w:val="00AC17FE"/>
    <w:rsid w:val="00AC2DAB"/>
    <w:rsid w:val="00AC3DED"/>
    <w:rsid w:val="00AC4D04"/>
    <w:rsid w:val="00AC5928"/>
    <w:rsid w:val="00AC71F8"/>
    <w:rsid w:val="00AC7822"/>
    <w:rsid w:val="00AD0832"/>
    <w:rsid w:val="00AD0964"/>
    <w:rsid w:val="00AD19DD"/>
    <w:rsid w:val="00AD2831"/>
    <w:rsid w:val="00AD334D"/>
    <w:rsid w:val="00AD386B"/>
    <w:rsid w:val="00AD3A4E"/>
    <w:rsid w:val="00AD3AB5"/>
    <w:rsid w:val="00AD3BFF"/>
    <w:rsid w:val="00AD4987"/>
    <w:rsid w:val="00AD5736"/>
    <w:rsid w:val="00AD592E"/>
    <w:rsid w:val="00AD6240"/>
    <w:rsid w:val="00AD6287"/>
    <w:rsid w:val="00AD6DAB"/>
    <w:rsid w:val="00AD6E8A"/>
    <w:rsid w:val="00AD706C"/>
    <w:rsid w:val="00AD7951"/>
    <w:rsid w:val="00AD797B"/>
    <w:rsid w:val="00AE0FDD"/>
    <w:rsid w:val="00AE13FD"/>
    <w:rsid w:val="00AE1BA7"/>
    <w:rsid w:val="00AE2A09"/>
    <w:rsid w:val="00AE3643"/>
    <w:rsid w:val="00AE3923"/>
    <w:rsid w:val="00AE5199"/>
    <w:rsid w:val="00AE54B5"/>
    <w:rsid w:val="00AE5CF7"/>
    <w:rsid w:val="00AE5DA0"/>
    <w:rsid w:val="00AE68CF"/>
    <w:rsid w:val="00AF14F6"/>
    <w:rsid w:val="00AF1FCC"/>
    <w:rsid w:val="00AF3165"/>
    <w:rsid w:val="00AF37A5"/>
    <w:rsid w:val="00AF69CA"/>
    <w:rsid w:val="00AF7BC7"/>
    <w:rsid w:val="00B01639"/>
    <w:rsid w:val="00B01AE9"/>
    <w:rsid w:val="00B024C2"/>
    <w:rsid w:val="00B02B1B"/>
    <w:rsid w:val="00B04249"/>
    <w:rsid w:val="00B042CA"/>
    <w:rsid w:val="00B05E54"/>
    <w:rsid w:val="00B063DE"/>
    <w:rsid w:val="00B068CE"/>
    <w:rsid w:val="00B07D08"/>
    <w:rsid w:val="00B07E17"/>
    <w:rsid w:val="00B10946"/>
    <w:rsid w:val="00B1133E"/>
    <w:rsid w:val="00B114EC"/>
    <w:rsid w:val="00B1194E"/>
    <w:rsid w:val="00B11E2D"/>
    <w:rsid w:val="00B12905"/>
    <w:rsid w:val="00B13BA3"/>
    <w:rsid w:val="00B13EC6"/>
    <w:rsid w:val="00B16069"/>
    <w:rsid w:val="00B16520"/>
    <w:rsid w:val="00B16562"/>
    <w:rsid w:val="00B166BC"/>
    <w:rsid w:val="00B16C75"/>
    <w:rsid w:val="00B17FEF"/>
    <w:rsid w:val="00B201B5"/>
    <w:rsid w:val="00B210BF"/>
    <w:rsid w:val="00B22103"/>
    <w:rsid w:val="00B2298A"/>
    <w:rsid w:val="00B248C6"/>
    <w:rsid w:val="00B24C55"/>
    <w:rsid w:val="00B25CA0"/>
    <w:rsid w:val="00B278BC"/>
    <w:rsid w:val="00B27DE0"/>
    <w:rsid w:val="00B302D2"/>
    <w:rsid w:val="00B321E3"/>
    <w:rsid w:val="00B32873"/>
    <w:rsid w:val="00B32EA2"/>
    <w:rsid w:val="00B33249"/>
    <w:rsid w:val="00B33C1F"/>
    <w:rsid w:val="00B34661"/>
    <w:rsid w:val="00B3484A"/>
    <w:rsid w:val="00B358B1"/>
    <w:rsid w:val="00B36E2B"/>
    <w:rsid w:val="00B41639"/>
    <w:rsid w:val="00B42148"/>
    <w:rsid w:val="00B42825"/>
    <w:rsid w:val="00B433A2"/>
    <w:rsid w:val="00B43C83"/>
    <w:rsid w:val="00B441A8"/>
    <w:rsid w:val="00B446B7"/>
    <w:rsid w:val="00B44BAC"/>
    <w:rsid w:val="00B47A58"/>
    <w:rsid w:val="00B47E51"/>
    <w:rsid w:val="00B51030"/>
    <w:rsid w:val="00B52634"/>
    <w:rsid w:val="00B539D0"/>
    <w:rsid w:val="00B53BC8"/>
    <w:rsid w:val="00B540E2"/>
    <w:rsid w:val="00B5493E"/>
    <w:rsid w:val="00B55240"/>
    <w:rsid w:val="00B56309"/>
    <w:rsid w:val="00B56C73"/>
    <w:rsid w:val="00B57495"/>
    <w:rsid w:val="00B612C9"/>
    <w:rsid w:val="00B6218E"/>
    <w:rsid w:val="00B628E7"/>
    <w:rsid w:val="00B63E65"/>
    <w:rsid w:val="00B65223"/>
    <w:rsid w:val="00B659A8"/>
    <w:rsid w:val="00B67955"/>
    <w:rsid w:val="00B706BF"/>
    <w:rsid w:val="00B7174F"/>
    <w:rsid w:val="00B71935"/>
    <w:rsid w:val="00B72675"/>
    <w:rsid w:val="00B72990"/>
    <w:rsid w:val="00B72BC5"/>
    <w:rsid w:val="00B73E98"/>
    <w:rsid w:val="00B74A93"/>
    <w:rsid w:val="00B756A1"/>
    <w:rsid w:val="00B758AE"/>
    <w:rsid w:val="00B764B0"/>
    <w:rsid w:val="00B7795F"/>
    <w:rsid w:val="00B77D83"/>
    <w:rsid w:val="00B80C16"/>
    <w:rsid w:val="00B8198D"/>
    <w:rsid w:val="00B8208A"/>
    <w:rsid w:val="00B8671D"/>
    <w:rsid w:val="00B86B6D"/>
    <w:rsid w:val="00B86DD0"/>
    <w:rsid w:val="00B90B66"/>
    <w:rsid w:val="00B90C73"/>
    <w:rsid w:val="00B91A1C"/>
    <w:rsid w:val="00B91D01"/>
    <w:rsid w:val="00B92D2E"/>
    <w:rsid w:val="00B930F1"/>
    <w:rsid w:val="00B93D1B"/>
    <w:rsid w:val="00B945E9"/>
    <w:rsid w:val="00B94BAD"/>
    <w:rsid w:val="00B96B75"/>
    <w:rsid w:val="00B97083"/>
    <w:rsid w:val="00B972A9"/>
    <w:rsid w:val="00BA03F0"/>
    <w:rsid w:val="00BA088F"/>
    <w:rsid w:val="00BA0AAE"/>
    <w:rsid w:val="00BA2A7F"/>
    <w:rsid w:val="00BA2B7E"/>
    <w:rsid w:val="00BA5DE5"/>
    <w:rsid w:val="00BB08AF"/>
    <w:rsid w:val="00BB1FE2"/>
    <w:rsid w:val="00BB26DB"/>
    <w:rsid w:val="00BB3399"/>
    <w:rsid w:val="00BB3639"/>
    <w:rsid w:val="00BB39A0"/>
    <w:rsid w:val="00BB3D1E"/>
    <w:rsid w:val="00BB4A19"/>
    <w:rsid w:val="00BB5FCB"/>
    <w:rsid w:val="00BB680D"/>
    <w:rsid w:val="00BB7747"/>
    <w:rsid w:val="00BB7816"/>
    <w:rsid w:val="00BC1E7A"/>
    <w:rsid w:val="00BC1EF7"/>
    <w:rsid w:val="00BC2DF1"/>
    <w:rsid w:val="00BC31A1"/>
    <w:rsid w:val="00BC3B3F"/>
    <w:rsid w:val="00BC4781"/>
    <w:rsid w:val="00BC5B24"/>
    <w:rsid w:val="00BC6D48"/>
    <w:rsid w:val="00BC7F8C"/>
    <w:rsid w:val="00BD097E"/>
    <w:rsid w:val="00BD1578"/>
    <w:rsid w:val="00BD33C1"/>
    <w:rsid w:val="00BD33C9"/>
    <w:rsid w:val="00BD41EA"/>
    <w:rsid w:val="00BD64A8"/>
    <w:rsid w:val="00BE085A"/>
    <w:rsid w:val="00BE092A"/>
    <w:rsid w:val="00BE1F44"/>
    <w:rsid w:val="00BE21C3"/>
    <w:rsid w:val="00BE22F1"/>
    <w:rsid w:val="00BE340E"/>
    <w:rsid w:val="00BE398F"/>
    <w:rsid w:val="00BE4551"/>
    <w:rsid w:val="00BE48D1"/>
    <w:rsid w:val="00BE6311"/>
    <w:rsid w:val="00BE6F65"/>
    <w:rsid w:val="00BE702E"/>
    <w:rsid w:val="00BE7F3B"/>
    <w:rsid w:val="00BF0744"/>
    <w:rsid w:val="00BF0F1D"/>
    <w:rsid w:val="00BF16AB"/>
    <w:rsid w:val="00BF2D33"/>
    <w:rsid w:val="00BF2E1A"/>
    <w:rsid w:val="00BF36E2"/>
    <w:rsid w:val="00BF476D"/>
    <w:rsid w:val="00BF4E0C"/>
    <w:rsid w:val="00BF753B"/>
    <w:rsid w:val="00BF7985"/>
    <w:rsid w:val="00C0058C"/>
    <w:rsid w:val="00C00932"/>
    <w:rsid w:val="00C00B81"/>
    <w:rsid w:val="00C010D7"/>
    <w:rsid w:val="00C02ACB"/>
    <w:rsid w:val="00C040BA"/>
    <w:rsid w:val="00C04B4A"/>
    <w:rsid w:val="00C04C0D"/>
    <w:rsid w:val="00C04E37"/>
    <w:rsid w:val="00C06088"/>
    <w:rsid w:val="00C07092"/>
    <w:rsid w:val="00C07708"/>
    <w:rsid w:val="00C07920"/>
    <w:rsid w:val="00C101F0"/>
    <w:rsid w:val="00C10B44"/>
    <w:rsid w:val="00C10C34"/>
    <w:rsid w:val="00C10CC9"/>
    <w:rsid w:val="00C1123D"/>
    <w:rsid w:val="00C11460"/>
    <w:rsid w:val="00C115D8"/>
    <w:rsid w:val="00C12B8B"/>
    <w:rsid w:val="00C12BB1"/>
    <w:rsid w:val="00C13262"/>
    <w:rsid w:val="00C13782"/>
    <w:rsid w:val="00C1417E"/>
    <w:rsid w:val="00C14B8C"/>
    <w:rsid w:val="00C15871"/>
    <w:rsid w:val="00C158BC"/>
    <w:rsid w:val="00C21F88"/>
    <w:rsid w:val="00C2494A"/>
    <w:rsid w:val="00C249A3"/>
    <w:rsid w:val="00C24F7D"/>
    <w:rsid w:val="00C2595C"/>
    <w:rsid w:val="00C2673A"/>
    <w:rsid w:val="00C27A21"/>
    <w:rsid w:val="00C27DE6"/>
    <w:rsid w:val="00C30D0C"/>
    <w:rsid w:val="00C31230"/>
    <w:rsid w:val="00C31B22"/>
    <w:rsid w:val="00C3358F"/>
    <w:rsid w:val="00C33B46"/>
    <w:rsid w:val="00C350DF"/>
    <w:rsid w:val="00C355F5"/>
    <w:rsid w:val="00C35901"/>
    <w:rsid w:val="00C35C9D"/>
    <w:rsid w:val="00C35FEA"/>
    <w:rsid w:val="00C361FF"/>
    <w:rsid w:val="00C37925"/>
    <w:rsid w:val="00C37C66"/>
    <w:rsid w:val="00C40507"/>
    <w:rsid w:val="00C407FB"/>
    <w:rsid w:val="00C40FB9"/>
    <w:rsid w:val="00C41069"/>
    <w:rsid w:val="00C4156C"/>
    <w:rsid w:val="00C419DB"/>
    <w:rsid w:val="00C41B3B"/>
    <w:rsid w:val="00C42323"/>
    <w:rsid w:val="00C4238C"/>
    <w:rsid w:val="00C42CF9"/>
    <w:rsid w:val="00C42ECD"/>
    <w:rsid w:val="00C442C7"/>
    <w:rsid w:val="00C4434D"/>
    <w:rsid w:val="00C4497E"/>
    <w:rsid w:val="00C452AD"/>
    <w:rsid w:val="00C4531D"/>
    <w:rsid w:val="00C45466"/>
    <w:rsid w:val="00C45703"/>
    <w:rsid w:val="00C47639"/>
    <w:rsid w:val="00C476A5"/>
    <w:rsid w:val="00C506C3"/>
    <w:rsid w:val="00C50CAF"/>
    <w:rsid w:val="00C5385E"/>
    <w:rsid w:val="00C5478F"/>
    <w:rsid w:val="00C55704"/>
    <w:rsid w:val="00C60313"/>
    <w:rsid w:val="00C60BE7"/>
    <w:rsid w:val="00C6157F"/>
    <w:rsid w:val="00C6328E"/>
    <w:rsid w:val="00C633D0"/>
    <w:rsid w:val="00C63610"/>
    <w:rsid w:val="00C66BA8"/>
    <w:rsid w:val="00C66BD5"/>
    <w:rsid w:val="00C67A6F"/>
    <w:rsid w:val="00C7000C"/>
    <w:rsid w:val="00C7050E"/>
    <w:rsid w:val="00C7223E"/>
    <w:rsid w:val="00C7313D"/>
    <w:rsid w:val="00C754EA"/>
    <w:rsid w:val="00C7597F"/>
    <w:rsid w:val="00C767E3"/>
    <w:rsid w:val="00C77773"/>
    <w:rsid w:val="00C80417"/>
    <w:rsid w:val="00C82925"/>
    <w:rsid w:val="00C82A0B"/>
    <w:rsid w:val="00C839D6"/>
    <w:rsid w:val="00C848FF"/>
    <w:rsid w:val="00C85E2F"/>
    <w:rsid w:val="00C85E63"/>
    <w:rsid w:val="00C868A4"/>
    <w:rsid w:val="00C8726B"/>
    <w:rsid w:val="00C8727A"/>
    <w:rsid w:val="00C90923"/>
    <w:rsid w:val="00C911F7"/>
    <w:rsid w:val="00C91D9F"/>
    <w:rsid w:val="00C92194"/>
    <w:rsid w:val="00C93054"/>
    <w:rsid w:val="00C935F7"/>
    <w:rsid w:val="00C93B77"/>
    <w:rsid w:val="00C93BCD"/>
    <w:rsid w:val="00C93E79"/>
    <w:rsid w:val="00C944A9"/>
    <w:rsid w:val="00C955DA"/>
    <w:rsid w:val="00C97202"/>
    <w:rsid w:val="00C979BD"/>
    <w:rsid w:val="00CA0C31"/>
    <w:rsid w:val="00CA17D0"/>
    <w:rsid w:val="00CA21E7"/>
    <w:rsid w:val="00CA3C1E"/>
    <w:rsid w:val="00CA3C99"/>
    <w:rsid w:val="00CA4B6E"/>
    <w:rsid w:val="00CA4D06"/>
    <w:rsid w:val="00CA5B32"/>
    <w:rsid w:val="00CA6204"/>
    <w:rsid w:val="00CB0AED"/>
    <w:rsid w:val="00CB0BB5"/>
    <w:rsid w:val="00CB118F"/>
    <w:rsid w:val="00CB1879"/>
    <w:rsid w:val="00CB1CE5"/>
    <w:rsid w:val="00CB2109"/>
    <w:rsid w:val="00CB2224"/>
    <w:rsid w:val="00CB2BB3"/>
    <w:rsid w:val="00CB3518"/>
    <w:rsid w:val="00CB35C8"/>
    <w:rsid w:val="00CB3A5B"/>
    <w:rsid w:val="00CB51F5"/>
    <w:rsid w:val="00CB53DE"/>
    <w:rsid w:val="00CB594E"/>
    <w:rsid w:val="00CB5964"/>
    <w:rsid w:val="00CB5BE5"/>
    <w:rsid w:val="00CB7D22"/>
    <w:rsid w:val="00CC13BB"/>
    <w:rsid w:val="00CC2A05"/>
    <w:rsid w:val="00CC2D89"/>
    <w:rsid w:val="00CC4B80"/>
    <w:rsid w:val="00CC5AED"/>
    <w:rsid w:val="00CC62E3"/>
    <w:rsid w:val="00CC7991"/>
    <w:rsid w:val="00CC7AEC"/>
    <w:rsid w:val="00CD11F4"/>
    <w:rsid w:val="00CD1213"/>
    <w:rsid w:val="00CD3C49"/>
    <w:rsid w:val="00CD3D2D"/>
    <w:rsid w:val="00CD4437"/>
    <w:rsid w:val="00CD526B"/>
    <w:rsid w:val="00CD5A22"/>
    <w:rsid w:val="00CD61F5"/>
    <w:rsid w:val="00CD6870"/>
    <w:rsid w:val="00CE1520"/>
    <w:rsid w:val="00CE1FEE"/>
    <w:rsid w:val="00CE4522"/>
    <w:rsid w:val="00CE499E"/>
    <w:rsid w:val="00CE5EDA"/>
    <w:rsid w:val="00CE782D"/>
    <w:rsid w:val="00CF032F"/>
    <w:rsid w:val="00CF131D"/>
    <w:rsid w:val="00CF197D"/>
    <w:rsid w:val="00CF45FC"/>
    <w:rsid w:val="00CF4B92"/>
    <w:rsid w:val="00CF4D43"/>
    <w:rsid w:val="00CF53F8"/>
    <w:rsid w:val="00CF6539"/>
    <w:rsid w:val="00CF6CE0"/>
    <w:rsid w:val="00D010BB"/>
    <w:rsid w:val="00D014ED"/>
    <w:rsid w:val="00D0365C"/>
    <w:rsid w:val="00D03906"/>
    <w:rsid w:val="00D0396C"/>
    <w:rsid w:val="00D03DCD"/>
    <w:rsid w:val="00D04738"/>
    <w:rsid w:val="00D04C93"/>
    <w:rsid w:val="00D05C3D"/>
    <w:rsid w:val="00D05C71"/>
    <w:rsid w:val="00D067D6"/>
    <w:rsid w:val="00D06CBE"/>
    <w:rsid w:val="00D07AF4"/>
    <w:rsid w:val="00D07BB9"/>
    <w:rsid w:val="00D07BEF"/>
    <w:rsid w:val="00D10AFF"/>
    <w:rsid w:val="00D10C1A"/>
    <w:rsid w:val="00D11F30"/>
    <w:rsid w:val="00D12542"/>
    <w:rsid w:val="00D1273A"/>
    <w:rsid w:val="00D12D79"/>
    <w:rsid w:val="00D133A6"/>
    <w:rsid w:val="00D138FE"/>
    <w:rsid w:val="00D14F94"/>
    <w:rsid w:val="00D16EA4"/>
    <w:rsid w:val="00D17BFA"/>
    <w:rsid w:val="00D21059"/>
    <w:rsid w:val="00D21789"/>
    <w:rsid w:val="00D23F72"/>
    <w:rsid w:val="00D24306"/>
    <w:rsid w:val="00D2491E"/>
    <w:rsid w:val="00D24B81"/>
    <w:rsid w:val="00D24F93"/>
    <w:rsid w:val="00D25535"/>
    <w:rsid w:val="00D25CBC"/>
    <w:rsid w:val="00D26383"/>
    <w:rsid w:val="00D26F52"/>
    <w:rsid w:val="00D274A2"/>
    <w:rsid w:val="00D27807"/>
    <w:rsid w:val="00D27D14"/>
    <w:rsid w:val="00D27D82"/>
    <w:rsid w:val="00D30547"/>
    <w:rsid w:val="00D30EF9"/>
    <w:rsid w:val="00D316E8"/>
    <w:rsid w:val="00D31C9A"/>
    <w:rsid w:val="00D31EE8"/>
    <w:rsid w:val="00D3205C"/>
    <w:rsid w:val="00D32299"/>
    <w:rsid w:val="00D324A5"/>
    <w:rsid w:val="00D32D49"/>
    <w:rsid w:val="00D32F14"/>
    <w:rsid w:val="00D333E3"/>
    <w:rsid w:val="00D34D70"/>
    <w:rsid w:val="00D36648"/>
    <w:rsid w:val="00D36F61"/>
    <w:rsid w:val="00D37928"/>
    <w:rsid w:val="00D407B0"/>
    <w:rsid w:val="00D4182F"/>
    <w:rsid w:val="00D4185F"/>
    <w:rsid w:val="00D41DBB"/>
    <w:rsid w:val="00D4242A"/>
    <w:rsid w:val="00D429B0"/>
    <w:rsid w:val="00D42AA1"/>
    <w:rsid w:val="00D44C67"/>
    <w:rsid w:val="00D45323"/>
    <w:rsid w:val="00D46057"/>
    <w:rsid w:val="00D4683D"/>
    <w:rsid w:val="00D50CE3"/>
    <w:rsid w:val="00D51284"/>
    <w:rsid w:val="00D51F35"/>
    <w:rsid w:val="00D5247F"/>
    <w:rsid w:val="00D52A38"/>
    <w:rsid w:val="00D52E67"/>
    <w:rsid w:val="00D52EE7"/>
    <w:rsid w:val="00D53011"/>
    <w:rsid w:val="00D533C2"/>
    <w:rsid w:val="00D5356E"/>
    <w:rsid w:val="00D5509D"/>
    <w:rsid w:val="00D5515C"/>
    <w:rsid w:val="00D56006"/>
    <w:rsid w:val="00D5633F"/>
    <w:rsid w:val="00D570E6"/>
    <w:rsid w:val="00D57A0A"/>
    <w:rsid w:val="00D602E4"/>
    <w:rsid w:val="00D60AE8"/>
    <w:rsid w:val="00D60CA8"/>
    <w:rsid w:val="00D6135B"/>
    <w:rsid w:val="00D62F1D"/>
    <w:rsid w:val="00D64102"/>
    <w:rsid w:val="00D65475"/>
    <w:rsid w:val="00D66594"/>
    <w:rsid w:val="00D66A15"/>
    <w:rsid w:val="00D700A2"/>
    <w:rsid w:val="00D7059A"/>
    <w:rsid w:val="00D71ED1"/>
    <w:rsid w:val="00D728B8"/>
    <w:rsid w:val="00D73283"/>
    <w:rsid w:val="00D74221"/>
    <w:rsid w:val="00D7441F"/>
    <w:rsid w:val="00D748CE"/>
    <w:rsid w:val="00D75AA4"/>
    <w:rsid w:val="00D75B78"/>
    <w:rsid w:val="00D7678F"/>
    <w:rsid w:val="00D8000F"/>
    <w:rsid w:val="00D8230B"/>
    <w:rsid w:val="00D82A85"/>
    <w:rsid w:val="00D83675"/>
    <w:rsid w:val="00D84846"/>
    <w:rsid w:val="00D85EB3"/>
    <w:rsid w:val="00D879F8"/>
    <w:rsid w:val="00D87D8D"/>
    <w:rsid w:val="00D9091F"/>
    <w:rsid w:val="00D928D9"/>
    <w:rsid w:val="00D92EB1"/>
    <w:rsid w:val="00D92F37"/>
    <w:rsid w:val="00D93A74"/>
    <w:rsid w:val="00D93FB2"/>
    <w:rsid w:val="00D944FF"/>
    <w:rsid w:val="00D94610"/>
    <w:rsid w:val="00D95802"/>
    <w:rsid w:val="00D96165"/>
    <w:rsid w:val="00D9697D"/>
    <w:rsid w:val="00D974E8"/>
    <w:rsid w:val="00D97F7C"/>
    <w:rsid w:val="00DA0D3D"/>
    <w:rsid w:val="00DA0EA5"/>
    <w:rsid w:val="00DA310B"/>
    <w:rsid w:val="00DA3FDE"/>
    <w:rsid w:val="00DA41D9"/>
    <w:rsid w:val="00DA4526"/>
    <w:rsid w:val="00DA4917"/>
    <w:rsid w:val="00DA77C8"/>
    <w:rsid w:val="00DA7983"/>
    <w:rsid w:val="00DA7CF8"/>
    <w:rsid w:val="00DB23DD"/>
    <w:rsid w:val="00DB27BA"/>
    <w:rsid w:val="00DB30E8"/>
    <w:rsid w:val="00DB3315"/>
    <w:rsid w:val="00DB4D76"/>
    <w:rsid w:val="00DB6D8C"/>
    <w:rsid w:val="00DB7A06"/>
    <w:rsid w:val="00DC031E"/>
    <w:rsid w:val="00DC081D"/>
    <w:rsid w:val="00DC0BFD"/>
    <w:rsid w:val="00DC2341"/>
    <w:rsid w:val="00DC3645"/>
    <w:rsid w:val="00DC364A"/>
    <w:rsid w:val="00DC3BFC"/>
    <w:rsid w:val="00DC50DF"/>
    <w:rsid w:val="00DD03AA"/>
    <w:rsid w:val="00DD05CF"/>
    <w:rsid w:val="00DD0DA4"/>
    <w:rsid w:val="00DD190B"/>
    <w:rsid w:val="00DD23C5"/>
    <w:rsid w:val="00DD245E"/>
    <w:rsid w:val="00DD3067"/>
    <w:rsid w:val="00DD3269"/>
    <w:rsid w:val="00DD35D5"/>
    <w:rsid w:val="00DD3DA0"/>
    <w:rsid w:val="00DD4461"/>
    <w:rsid w:val="00DD4F30"/>
    <w:rsid w:val="00DD5F6B"/>
    <w:rsid w:val="00DD6738"/>
    <w:rsid w:val="00DD76AA"/>
    <w:rsid w:val="00DE1706"/>
    <w:rsid w:val="00DE5B04"/>
    <w:rsid w:val="00DE6036"/>
    <w:rsid w:val="00DE750A"/>
    <w:rsid w:val="00DE7678"/>
    <w:rsid w:val="00DF1F2F"/>
    <w:rsid w:val="00DF34F7"/>
    <w:rsid w:val="00DF41E1"/>
    <w:rsid w:val="00DF4F9B"/>
    <w:rsid w:val="00DF57C0"/>
    <w:rsid w:val="00DF6355"/>
    <w:rsid w:val="00DF665A"/>
    <w:rsid w:val="00DF6A45"/>
    <w:rsid w:val="00E0217D"/>
    <w:rsid w:val="00E03341"/>
    <w:rsid w:val="00E042A1"/>
    <w:rsid w:val="00E0507E"/>
    <w:rsid w:val="00E0516E"/>
    <w:rsid w:val="00E058AE"/>
    <w:rsid w:val="00E05F7F"/>
    <w:rsid w:val="00E06600"/>
    <w:rsid w:val="00E10047"/>
    <w:rsid w:val="00E10208"/>
    <w:rsid w:val="00E10C32"/>
    <w:rsid w:val="00E13165"/>
    <w:rsid w:val="00E13E9A"/>
    <w:rsid w:val="00E1480F"/>
    <w:rsid w:val="00E15557"/>
    <w:rsid w:val="00E15644"/>
    <w:rsid w:val="00E176ED"/>
    <w:rsid w:val="00E17D3A"/>
    <w:rsid w:val="00E21C51"/>
    <w:rsid w:val="00E2215F"/>
    <w:rsid w:val="00E22321"/>
    <w:rsid w:val="00E234C6"/>
    <w:rsid w:val="00E23928"/>
    <w:rsid w:val="00E2393D"/>
    <w:rsid w:val="00E240C3"/>
    <w:rsid w:val="00E25028"/>
    <w:rsid w:val="00E252CD"/>
    <w:rsid w:val="00E253F8"/>
    <w:rsid w:val="00E263B4"/>
    <w:rsid w:val="00E2675B"/>
    <w:rsid w:val="00E26A1C"/>
    <w:rsid w:val="00E270EA"/>
    <w:rsid w:val="00E27A02"/>
    <w:rsid w:val="00E31315"/>
    <w:rsid w:val="00E329B5"/>
    <w:rsid w:val="00E329DB"/>
    <w:rsid w:val="00E34E72"/>
    <w:rsid w:val="00E35032"/>
    <w:rsid w:val="00E356F5"/>
    <w:rsid w:val="00E4133B"/>
    <w:rsid w:val="00E41791"/>
    <w:rsid w:val="00E4241A"/>
    <w:rsid w:val="00E44E33"/>
    <w:rsid w:val="00E45AF2"/>
    <w:rsid w:val="00E462B6"/>
    <w:rsid w:val="00E463F3"/>
    <w:rsid w:val="00E47429"/>
    <w:rsid w:val="00E502CD"/>
    <w:rsid w:val="00E513C8"/>
    <w:rsid w:val="00E51B10"/>
    <w:rsid w:val="00E52D00"/>
    <w:rsid w:val="00E569E7"/>
    <w:rsid w:val="00E56D4E"/>
    <w:rsid w:val="00E57097"/>
    <w:rsid w:val="00E62AB0"/>
    <w:rsid w:val="00E63058"/>
    <w:rsid w:val="00E63A18"/>
    <w:rsid w:val="00E644AD"/>
    <w:rsid w:val="00E661F5"/>
    <w:rsid w:val="00E673BD"/>
    <w:rsid w:val="00E70B4E"/>
    <w:rsid w:val="00E717F1"/>
    <w:rsid w:val="00E74AE3"/>
    <w:rsid w:val="00E75292"/>
    <w:rsid w:val="00E76C65"/>
    <w:rsid w:val="00E77566"/>
    <w:rsid w:val="00E77F04"/>
    <w:rsid w:val="00E80126"/>
    <w:rsid w:val="00E8269D"/>
    <w:rsid w:val="00E829A4"/>
    <w:rsid w:val="00E82BF1"/>
    <w:rsid w:val="00E86195"/>
    <w:rsid w:val="00E86E81"/>
    <w:rsid w:val="00E8739A"/>
    <w:rsid w:val="00E87D80"/>
    <w:rsid w:val="00E913F6"/>
    <w:rsid w:val="00E9297D"/>
    <w:rsid w:val="00E92FC3"/>
    <w:rsid w:val="00E94EAB"/>
    <w:rsid w:val="00E95E20"/>
    <w:rsid w:val="00E97288"/>
    <w:rsid w:val="00E97312"/>
    <w:rsid w:val="00E97398"/>
    <w:rsid w:val="00EA04FA"/>
    <w:rsid w:val="00EA195B"/>
    <w:rsid w:val="00EA2CFA"/>
    <w:rsid w:val="00EA3A88"/>
    <w:rsid w:val="00EA3EB2"/>
    <w:rsid w:val="00EA57D0"/>
    <w:rsid w:val="00EA584C"/>
    <w:rsid w:val="00EA5E38"/>
    <w:rsid w:val="00EB0E94"/>
    <w:rsid w:val="00EB15EF"/>
    <w:rsid w:val="00EB188A"/>
    <w:rsid w:val="00EB2ED8"/>
    <w:rsid w:val="00EB54B0"/>
    <w:rsid w:val="00EB5774"/>
    <w:rsid w:val="00EB5A97"/>
    <w:rsid w:val="00EB5F4D"/>
    <w:rsid w:val="00EB7991"/>
    <w:rsid w:val="00EC1469"/>
    <w:rsid w:val="00EC187A"/>
    <w:rsid w:val="00EC18BB"/>
    <w:rsid w:val="00EC2A91"/>
    <w:rsid w:val="00EC3559"/>
    <w:rsid w:val="00EC358E"/>
    <w:rsid w:val="00EC49D3"/>
    <w:rsid w:val="00EC5448"/>
    <w:rsid w:val="00EC59F7"/>
    <w:rsid w:val="00EC5EDC"/>
    <w:rsid w:val="00EC636B"/>
    <w:rsid w:val="00EC694A"/>
    <w:rsid w:val="00EC723E"/>
    <w:rsid w:val="00EC7BF0"/>
    <w:rsid w:val="00ED0256"/>
    <w:rsid w:val="00ED3B4F"/>
    <w:rsid w:val="00ED3CE3"/>
    <w:rsid w:val="00ED3DBA"/>
    <w:rsid w:val="00ED3FAB"/>
    <w:rsid w:val="00ED5B90"/>
    <w:rsid w:val="00ED5EE8"/>
    <w:rsid w:val="00ED5F29"/>
    <w:rsid w:val="00ED64AE"/>
    <w:rsid w:val="00ED74C5"/>
    <w:rsid w:val="00ED7E95"/>
    <w:rsid w:val="00EE061A"/>
    <w:rsid w:val="00EE0F0D"/>
    <w:rsid w:val="00EE1ADF"/>
    <w:rsid w:val="00EE2E6D"/>
    <w:rsid w:val="00EE553D"/>
    <w:rsid w:val="00EE5F5A"/>
    <w:rsid w:val="00EE609B"/>
    <w:rsid w:val="00EE6AB5"/>
    <w:rsid w:val="00EE6AFA"/>
    <w:rsid w:val="00EE6E05"/>
    <w:rsid w:val="00EF2799"/>
    <w:rsid w:val="00EF2EEC"/>
    <w:rsid w:val="00EF4D0B"/>
    <w:rsid w:val="00EF549F"/>
    <w:rsid w:val="00EF5C75"/>
    <w:rsid w:val="00EF5EB2"/>
    <w:rsid w:val="00F00BE0"/>
    <w:rsid w:val="00F01D9A"/>
    <w:rsid w:val="00F02545"/>
    <w:rsid w:val="00F02BAB"/>
    <w:rsid w:val="00F03F82"/>
    <w:rsid w:val="00F04810"/>
    <w:rsid w:val="00F04CB0"/>
    <w:rsid w:val="00F06118"/>
    <w:rsid w:val="00F06C11"/>
    <w:rsid w:val="00F109ED"/>
    <w:rsid w:val="00F11079"/>
    <w:rsid w:val="00F11F44"/>
    <w:rsid w:val="00F14092"/>
    <w:rsid w:val="00F1598D"/>
    <w:rsid w:val="00F16748"/>
    <w:rsid w:val="00F17C08"/>
    <w:rsid w:val="00F2034B"/>
    <w:rsid w:val="00F2055F"/>
    <w:rsid w:val="00F20679"/>
    <w:rsid w:val="00F214DF"/>
    <w:rsid w:val="00F21D4D"/>
    <w:rsid w:val="00F2363B"/>
    <w:rsid w:val="00F244D7"/>
    <w:rsid w:val="00F24A25"/>
    <w:rsid w:val="00F24A2C"/>
    <w:rsid w:val="00F24EE8"/>
    <w:rsid w:val="00F2509D"/>
    <w:rsid w:val="00F25443"/>
    <w:rsid w:val="00F25535"/>
    <w:rsid w:val="00F25984"/>
    <w:rsid w:val="00F27661"/>
    <w:rsid w:val="00F306D9"/>
    <w:rsid w:val="00F30AE7"/>
    <w:rsid w:val="00F31016"/>
    <w:rsid w:val="00F316DC"/>
    <w:rsid w:val="00F325F6"/>
    <w:rsid w:val="00F33058"/>
    <w:rsid w:val="00F34F0E"/>
    <w:rsid w:val="00F354A0"/>
    <w:rsid w:val="00F35A44"/>
    <w:rsid w:val="00F36007"/>
    <w:rsid w:val="00F37E97"/>
    <w:rsid w:val="00F40EA2"/>
    <w:rsid w:val="00F4121D"/>
    <w:rsid w:val="00F455CC"/>
    <w:rsid w:val="00F45AA5"/>
    <w:rsid w:val="00F46874"/>
    <w:rsid w:val="00F47AEC"/>
    <w:rsid w:val="00F515B2"/>
    <w:rsid w:val="00F51782"/>
    <w:rsid w:val="00F520B1"/>
    <w:rsid w:val="00F528F5"/>
    <w:rsid w:val="00F5301E"/>
    <w:rsid w:val="00F5343E"/>
    <w:rsid w:val="00F534DA"/>
    <w:rsid w:val="00F534F0"/>
    <w:rsid w:val="00F54266"/>
    <w:rsid w:val="00F5429A"/>
    <w:rsid w:val="00F54966"/>
    <w:rsid w:val="00F54C19"/>
    <w:rsid w:val="00F54E3F"/>
    <w:rsid w:val="00F55F5E"/>
    <w:rsid w:val="00F56340"/>
    <w:rsid w:val="00F57E6C"/>
    <w:rsid w:val="00F6029E"/>
    <w:rsid w:val="00F61F25"/>
    <w:rsid w:val="00F62D97"/>
    <w:rsid w:val="00F6334E"/>
    <w:rsid w:val="00F63686"/>
    <w:rsid w:val="00F636BC"/>
    <w:rsid w:val="00F64A91"/>
    <w:rsid w:val="00F67C13"/>
    <w:rsid w:val="00F73C03"/>
    <w:rsid w:val="00F73F48"/>
    <w:rsid w:val="00F75A9C"/>
    <w:rsid w:val="00F7618F"/>
    <w:rsid w:val="00F76F9F"/>
    <w:rsid w:val="00F80F9A"/>
    <w:rsid w:val="00F81772"/>
    <w:rsid w:val="00F82005"/>
    <w:rsid w:val="00F84541"/>
    <w:rsid w:val="00F85366"/>
    <w:rsid w:val="00F85A84"/>
    <w:rsid w:val="00F90C39"/>
    <w:rsid w:val="00F91841"/>
    <w:rsid w:val="00F91B36"/>
    <w:rsid w:val="00F91CE9"/>
    <w:rsid w:val="00F922A3"/>
    <w:rsid w:val="00F927B7"/>
    <w:rsid w:val="00F92E13"/>
    <w:rsid w:val="00F93DCA"/>
    <w:rsid w:val="00F95094"/>
    <w:rsid w:val="00F96361"/>
    <w:rsid w:val="00F969C8"/>
    <w:rsid w:val="00FA0124"/>
    <w:rsid w:val="00FA03E3"/>
    <w:rsid w:val="00FA11EA"/>
    <w:rsid w:val="00FA1451"/>
    <w:rsid w:val="00FA1C65"/>
    <w:rsid w:val="00FA1DC3"/>
    <w:rsid w:val="00FA2685"/>
    <w:rsid w:val="00FA3664"/>
    <w:rsid w:val="00FA3B0D"/>
    <w:rsid w:val="00FA4D62"/>
    <w:rsid w:val="00FA566C"/>
    <w:rsid w:val="00FB29D5"/>
    <w:rsid w:val="00FB3A9E"/>
    <w:rsid w:val="00FB59B5"/>
    <w:rsid w:val="00FB6FDF"/>
    <w:rsid w:val="00FB7554"/>
    <w:rsid w:val="00FB7B5C"/>
    <w:rsid w:val="00FC2017"/>
    <w:rsid w:val="00FC3A13"/>
    <w:rsid w:val="00FC440E"/>
    <w:rsid w:val="00FC64FA"/>
    <w:rsid w:val="00FC68B1"/>
    <w:rsid w:val="00FC6ABC"/>
    <w:rsid w:val="00FC6D1C"/>
    <w:rsid w:val="00FC7992"/>
    <w:rsid w:val="00FD0BD1"/>
    <w:rsid w:val="00FD2237"/>
    <w:rsid w:val="00FD31F6"/>
    <w:rsid w:val="00FD397C"/>
    <w:rsid w:val="00FD45F4"/>
    <w:rsid w:val="00FD4D05"/>
    <w:rsid w:val="00FD5540"/>
    <w:rsid w:val="00FD765E"/>
    <w:rsid w:val="00FD7CEE"/>
    <w:rsid w:val="00FE0DA2"/>
    <w:rsid w:val="00FE117F"/>
    <w:rsid w:val="00FE1F26"/>
    <w:rsid w:val="00FE2258"/>
    <w:rsid w:val="00FE3430"/>
    <w:rsid w:val="00FE4FA9"/>
    <w:rsid w:val="00FE524E"/>
    <w:rsid w:val="00FE5317"/>
    <w:rsid w:val="00FE650D"/>
    <w:rsid w:val="00FE6740"/>
    <w:rsid w:val="00FE6FF6"/>
    <w:rsid w:val="00FF00A1"/>
    <w:rsid w:val="00FF1480"/>
    <w:rsid w:val="00FF2C6C"/>
    <w:rsid w:val="00FF3091"/>
    <w:rsid w:val="00FF36F0"/>
    <w:rsid w:val="00FF4951"/>
    <w:rsid w:val="00FF54E0"/>
    <w:rsid w:val="00FF615B"/>
    <w:rsid w:val="00FF7743"/>
    <w:rsid w:val="00FF7B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docId w15:val="{E812F853-70B7-483B-8D44-72F88135D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241A"/>
    <w:pPr>
      <w:spacing w:line="480" w:lineRule="auto"/>
      <w:jc w:val="both"/>
    </w:pPr>
    <w:rPr>
      <w:rFonts w:ascii="Arial" w:hAnsi="Arial"/>
      <w:sz w:val="22"/>
      <w:szCs w:val="24"/>
      <w:lang w:eastAsia="en-US"/>
    </w:rPr>
  </w:style>
  <w:style w:type="paragraph" w:styleId="Heading1">
    <w:name w:val="heading 1"/>
    <w:basedOn w:val="Normal"/>
    <w:next w:val="Normal"/>
    <w:qFormat/>
    <w:pPr>
      <w:keepNext/>
      <w:outlineLvl w:val="0"/>
    </w:pPr>
    <w:rPr>
      <w:b/>
      <w:bCs/>
      <w:sz w:val="28"/>
    </w:rPr>
  </w:style>
  <w:style w:type="paragraph" w:styleId="Heading2">
    <w:name w:val="heading 2"/>
    <w:basedOn w:val="Normal"/>
    <w:next w:val="Normal"/>
    <w:qFormat/>
    <w:pPr>
      <w:keepNext/>
      <w:outlineLvl w:val="1"/>
    </w:pPr>
    <w:rPr>
      <w:bCs/>
      <w:u w:val="single"/>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Cs w:val="22"/>
    </w:rPr>
  </w:style>
  <w:style w:type="paragraph" w:styleId="Heading7">
    <w:name w:val="heading 7"/>
    <w:basedOn w:val="Normal"/>
    <w:next w:val="Normal"/>
    <w:qFormat/>
    <w:pPr>
      <w:spacing w:before="240" w:after="60"/>
      <w:outlineLvl w:val="6"/>
    </w:pPr>
    <w:rPr>
      <w:sz w:val="24"/>
    </w:rPr>
  </w:style>
  <w:style w:type="paragraph" w:styleId="Heading8">
    <w:name w:val="heading 8"/>
    <w:basedOn w:val="Normal"/>
    <w:next w:val="Normal"/>
    <w:qFormat/>
    <w:pPr>
      <w:spacing w:before="240" w:after="60"/>
      <w:outlineLvl w:val="7"/>
    </w:pPr>
    <w:rPr>
      <w:i/>
      <w:iCs/>
      <w:sz w:val="24"/>
    </w:rPr>
  </w:style>
  <w:style w:type="paragraph" w:styleId="Heading9">
    <w:name w:val="heading 9"/>
    <w:basedOn w:val="Normal"/>
    <w:next w:val="Normal"/>
    <w:qFormat/>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LANNING">
    <w:name w:val="PLANNING"/>
    <w:basedOn w:val="Normal"/>
    <w:rsid w:val="00E86E81"/>
    <w:pPr>
      <w:spacing w:line="240" w:lineRule="auto"/>
      <w:ind w:left="720" w:hanging="720"/>
    </w:pPr>
  </w:style>
  <w:style w:type="paragraph" w:customStyle="1" w:styleId="POLICY">
    <w:name w:val="POLICY"/>
    <w:basedOn w:val="Normal"/>
  </w:style>
  <w:style w:type="paragraph" w:styleId="BodyText">
    <w:name w:val="Body Text"/>
    <w:basedOn w:val="Normal"/>
    <w:link w:val="BodyTextChar"/>
    <w:rsid w:val="00E644AD"/>
    <w:pPr>
      <w:suppressAutoHyphens/>
      <w:spacing w:after="220" w:line="180" w:lineRule="atLeast"/>
      <w:ind w:left="835"/>
    </w:pPr>
    <w:rPr>
      <w:rFonts w:cs="Arial"/>
      <w:color w:val="000000"/>
      <w:spacing w:val="-5"/>
      <w:kern w:val="1"/>
      <w:sz w:val="20"/>
      <w:szCs w:val="20"/>
      <w:lang w:eastAsia="ar-SA"/>
    </w:rPr>
  </w:style>
  <w:style w:type="character" w:customStyle="1" w:styleId="BodyTextChar">
    <w:name w:val="Body Text Char"/>
    <w:link w:val="BodyText"/>
    <w:rsid w:val="00E644AD"/>
    <w:rPr>
      <w:rFonts w:ascii="Arial" w:hAnsi="Arial" w:cs="Arial"/>
      <w:color w:val="000000"/>
      <w:spacing w:val="-5"/>
      <w:kern w:val="1"/>
      <w:lang w:eastAsia="ar-SA"/>
    </w:rPr>
  </w:style>
  <w:style w:type="paragraph" w:customStyle="1" w:styleId="Enclosure">
    <w:name w:val="Enclosure"/>
    <w:basedOn w:val="BodyText"/>
    <w:rsid w:val="00E644AD"/>
    <w:pPr>
      <w:keepLines/>
      <w:spacing w:before="220"/>
      <w:jc w:val="left"/>
    </w:pPr>
  </w:style>
  <w:style w:type="paragraph" w:customStyle="1" w:styleId="start">
    <w:name w:val="start"/>
    <w:basedOn w:val="Normal"/>
    <w:rsid w:val="00E644AD"/>
    <w:pPr>
      <w:suppressAutoHyphens/>
      <w:spacing w:line="316" w:lineRule="atLeast"/>
      <w:jc w:val="left"/>
    </w:pPr>
    <w:rPr>
      <w:rFonts w:ascii="Times New Roman" w:hAnsi="Times New Roman" w:cs="Arial"/>
      <w:color w:val="000000"/>
      <w:kern w:val="1"/>
      <w:sz w:val="24"/>
      <w:szCs w:val="20"/>
      <w:lang w:val="en-US" w:eastAsia="ar-SA"/>
    </w:rPr>
  </w:style>
  <w:style w:type="paragraph" w:styleId="ListParagraph">
    <w:name w:val="List Paragraph"/>
    <w:basedOn w:val="Normal"/>
    <w:uiPriority w:val="34"/>
    <w:qFormat/>
    <w:rsid w:val="00E644AD"/>
    <w:pPr>
      <w:suppressAutoHyphens/>
      <w:ind w:left="720"/>
    </w:pPr>
    <w:rPr>
      <w:rFonts w:cs="Arial"/>
      <w:color w:val="000000"/>
      <w:kern w:val="1"/>
      <w:sz w:val="24"/>
      <w:lang w:eastAsia="ar-SA"/>
    </w:rPr>
  </w:style>
  <w:style w:type="paragraph" w:customStyle="1" w:styleId="Default">
    <w:name w:val="Default"/>
    <w:rsid w:val="00764AA2"/>
    <w:pPr>
      <w:autoSpaceDE w:val="0"/>
      <w:autoSpaceDN w:val="0"/>
      <w:adjustRightInd w:val="0"/>
    </w:pPr>
    <w:rPr>
      <w:rFonts w:ascii="Arial" w:hAnsi="Arial" w:cs="Arial"/>
      <w:color w:val="000000"/>
      <w:sz w:val="24"/>
      <w:szCs w:val="24"/>
    </w:rPr>
  </w:style>
  <w:style w:type="paragraph" w:customStyle="1" w:styleId="bodytext0">
    <w:name w:val="bodytext"/>
    <w:basedOn w:val="Normal"/>
    <w:uiPriority w:val="99"/>
    <w:rsid w:val="00580B58"/>
    <w:pPr>
      <w:spacing w:line="240" w:lineRule="auto"/>
      <w:jc w:val="left"/>
    </w:pPr>
    <w:rPr>
      <w:rFonts w:eastAsia="Calibri" w:cs="Arial"/>
      <w:szCs w:val="22"/>
      <w:lang w:eastAsia="en-GB"/>
    </w:rPr>
  </w:style>
  <w:style w:type="character" w:styleId="Hyperlink">
    <w:name w:val="Hyperlink"/>
    <w:uiPriority w:val="99"/>
    <w:unhideWhenUsed/>
    <w:rsid w:val="00803382"/>
    <w:rPr>
      <w:color w:val="0000FF"/>
      <w:u w:val="single"/>
    </w:rPr>
  </w:style>
  <w:style w:type="paragraph" w:styleId="NormalWeb">
    <w:name w:val="Normal (Web)"/>
    <w:basedOn w:val="Normal"/>
    <w:uiPriority w:val="99"/>
    <w:unhideWhenUsed/>
    <w:rsid w:val="00FA11EA"/>
    <w:pPr>
      <w:spacing w:before="100" w:beforeAutospacing="1" w:after="119" w:line="240" w:lineRule="auto"/>
      <w:jc w:val="left"/>
    </w:pPr>
    <w:rPr>
      <w:rFonts w:ascii="Times New Roman" w:hAnsi="Times New Roman"/>
      <w:sz w:val="24"/>
      <w:lang w:eastAsia="en-GB"/>
    </w:rPr>
  </w:style>
  <w:style w:type="paragraph" w:styleId="BalloonText">
    <w:name w:val="Balloon Text"/>
    <w:basedOn w:val="Normal"/>
    <w:link w:val="BalloonTextChar"/>
    <w:semiHidden/>
    <w:unhideWhenUsed/>
    <w:rsid w:val="0086041D"/>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86041D"/>
    <w:rPr>
      <w:rFonts w:ascii="Tahoma" w:hAnsi="Tahoma" w:cs="Tahoma"/>
      <w:sz w:val="16"/>
      <w:szCs w:val="16"/>
      <w:lang w:eastAsia="en-US"/>
    </w:rPr>
  </w:style>
  <w:style w:type="paragraph" w:customStyle="1" w:styleId="PLANNING2">
    <w:name w:val="PLANNING 2"/>
    <w:basedOn w:val="PLANNING"/>
    <w:qFormat/>
    <w:rsid w:val="00DA41D9"/>
    <w:pPr>
      <w:ind w:left="1440"/>
    </w:pPr>
  </w:style>
  <w:style w:type="paragraph" w:customStyle="1" w:styleId="Style1">
    <w:name w:val="Style1"/>
    <w:basedOn w:val="PLANNING2"/>
    <w:qFormat/>
    <w:rsid w:val="00E86E81"/>
    <w:rPr>
      <w:rFonts w:eastAsia="Frutiger-Light"/>
    </w:rPr>
  </w:style>
  <w:style w:type="paragraph" w:styleId="Header">
    <w:name w:val="header"/>
    <w:basedOn w:val="Normal"/>
    <w:link w:val="HeaderChar"/>
    <w:rsid w:val="004572A0"/>
    <w:pPr>
      <w:tabs>
        <w:tab w:val="center" w:pos="4153"/>
        <w:tab w:val="right" w:pos="8306"/>
      </w:tabs>
      <w:overflowPunct w:val="0"/>
      <w:autoSpaceDE w:val="0"/>
      <w:autoSpaceDN w:val="0"/>
      <w:adjustRightInd w:val="0"/>
      <w:spacing w:line="240" w:lineRule="auto"/>
      <w:jc w:val="left"/>
      <w:textAlignment w:val="baseline"/>
    </w:pPr>
    <w:rPr>
      <w:szCs w:val="20"/>
    </w:rPr>
  </w:style>
  <w:style w:type="character" w:customStyle="1" w:styleId="HeaderChar">
    <w:name w:val="Header Char"/>
    <w:link w:val="Header"/>
    <w:rsid w:val="004572A0"/>
    <w:rPr>
      <w:rFonts w:ascii="Arial" w:hAnsi="Arial"/>
      <w:sz w:val="22"/>
      <w:lang w:eastAsia="en-US"/>
    </w:rPr>
  </w:style>
  <w:style w:type="paragraph" w:customStyle="1" w:styleId="ChristineIntent">
    <w:name w:val="Christine Intent"/>
    <w:basedOn w:val="Normal"/>
    <w:qFormat/>
    <w:rsid w:val="00A404D7"/>
    <w:pPr>
      <w:spacing w:before="240" w:after="240" w:line="240" w:lineRule="auto"/>
      <w:ind w:left="2160" w:hanging="461"/>
    </w:pPr>
    <w:rPr>
      <w:rFonts w:cs="Arial"/>
      <w:sz w:val="24"/>
    </w:rPr>
  </w:style>
  <w:style w:type="paragraph" w:customStyle="1" w:styleId="Indent1">
    <w:name w:val="Indent 1"/>
    <w:basedOn w:val="Normal"/>
    <w:rsid w:val="000166BE"/>
    <w:pPr>
      <w:overflowPunct w:val="0"/>
      <w:autoSpaceDE w:val="0"/>
      <w:autoSpaceDN w:val="0"/>
      <w:adjustRightInd w:val="0"/>
      <w:spacing w:line="360" w:lineRule="auto"/>
      <w:ind w:left="720" w:hanging="720"/>
      <w:textAlignment w:val="baseline"/>
    </w:pPr>
    <w:rPr>
      <w:szCs w:val="20"/>
    </w:rPr>
  </w:style>
  <w:style w:type="paragraph" w:customStyle="1" w:styleId="summary">
    <w:name w:val="summary"/>
    <w:basedOn w:val="Normal"/>
    <w:rsid w:val="00D324A5"/>
    <w:pPr>
      <w:spacing w:before="100" w:beforeAutospacing="1" w:after="100" w:afterAutospacing="1" w:line="240" w:lineRule="auto"/>
      <w:jc w:val="left"/>
    </w:pPr>
    <w:rPr>
      <w:rFonts w:ascii="Times New Roman" w:hAnsi="Times New Roman"/>
      <w:sz w:val="24"/>
      <w:lang w:eastAsia="en-GB"/>
    </w:rPr>
  </w:style>
  <w:style w:type="paragraph" w:customStyle="1" w:styleId="BodySingle">
    <w:name w:val="Body Single"/>
    <w:rsid w:val="0059474E"/>
    <w:rPr>
      <w:snapToGrid w:val="0"/>
      <w:color w:val="000000"/>
      <w:sz w:val="24"/>
      <w:lang w:eastAsia="en-US"/>
    </w:rPr>
  </w:style>
  <w:style w:type="table" w:styleId="TableGrid">
    <w:name w:val="Table Grid"/>
    <w:basedOn w:val="TableNormal"/>
    <w:uiPriority w:val="59"/>
    <w:rsid w:val="005D4B6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56A1"/>
    <w:pPr>
      <w:tabs>
        <w:tab w:val="center" w:pos="4513"/>
        <w:tab w:val="right" w:pos="9026"/>
      </w:tabs>
      <w:spacing w:line="240" w:lineRule="auto"/>
    </w:pPr>
  </w:style>
  <w:style w:type="character" w:customStyle="1" w:styleId="FooterChar">
    <w:name w:val="Footer Char"/>
    <w:basedOn w:val="DefaultParagraphFont"/>
    <w:link w:val="Footer"/>
    <w:uiPriority w:val="99"/>
    <w:rsid w:val="001F56A1"/>
    <w:rPr>
      <w:rFonts w:ascii="Arial" w:hAnsi="Arial"/>
      <w:sz w:val="22"/>
      <w:szCs w:val="24"/>
      <w:lang w:eastAsia="en-US"/>
    </w:rPr>
  </w:style>
  <w:style w:type="paragraph" w:customStyle="1" w:styleId="bodycopy">
    <w:name w:val="body copy"/>
    <w:basedOn w:val="Normal"/>
    <w:link w:val="bodycopyChar"/>
    <w:autoRedefine/>
    <w:rsid w:val="00C8726B"/>
    <w:pPr>
      <w:spacing w:after="240" w:line="276" w:lineRule="auto"/>
    </w:pPr>
    <w:rPr>
      <w:rFonts w:cs="Arial"/>
      <w:b/>
      <w:szCs w:val="22"/>
      <w:lang w:eastAsia="en-GB"/>
    </w:rPr>
  </w:style>
  <w:style w:type="character" w:customStyle="1" w:styleId="bodycopyChar">
    <w:name w:val="body copy Char"/>
    <w:link w:val="bodycopy"/>
    <w:rsid w:val="00C8726B"/>
    <w:rPr>
      <w:rFonts w:ascii="Arial" w:hAnsi="Arial" w:cs="Arial"/>
      <w:b/>
      <w:sz w:val="22"/>
      <w:szCs w:val="22"/>
    </w:rPr>
  </w:style>
  <w:style w:type="character" w:customStyle="1" w:styleId="boldcopygreen">
    <w:name w:val="bold copy green"/>
    <w:rsid w:val="00C8726B"/>
    <w:rPr>
      <w:rFonts w:ascii="Arial" w:hAnsi="Arial"/>
      <w:b/>
      <w:color w:val="455A21"/>
      <w:sz w:val="22"/>
    </w:rPr>
  </w:style>
  <w:style w:type="character" w:customStyle="1" w:styleId="tdgreyhighlightsmall">
    <w:name w:val="tdgreyhighlightsmall"/>
    <w:basedOn w:val="DefaultParagraphFont"/>
    <w:rsid w:val="00804ED9"/>
  </w:style>
  <w:style w:type="character" w:styleId="Strong">
    <w:name w:val="Strong"/>
    <w:basedOn w:val="DefaultParagraphFont"/>
    <w:uiPriority w:val="22"/>
    <w:qFormat/>
    <w:rsid w:val="00804ED9"/>
    <w:rPr>
      <w:b/>
      <w:bCs/>
    </w:rPr>
  </w:style>
  <w:style w:type="paragraph" w:customStyle="1" w:styleId="TableText">
    <w:name w:val="Table Text"/>
    <w:basedOn w:val="Normal"/>
    <w:rsid w:val="00D95802"/>
    <w:pPr>
      <w:overflowPunct w:val="0"/>
      <w:autoSpaceDE w:val="0"/>
      <w:autoSpaceDN w:val="0"/>
      <w:adjustRightInd w:val="0"/>
      <w:spacing w:line="240" w:lineRule="auto"/>
      <w:textAlignment w:val="baseline"/>
    </w:pPr>
    <w:rPr>
      <w:rFonts w:ascii="Times New Roman" w:hAnsi="Times New Roman"/>
      <w:szCs w:val="20"/>
    </w:rPr>
  </w:style>
  <w:style w:type="character" w:styleId="CommentReference">
    <w:name w:val="annotation reference"/>
    <w:basedOn w:val="DefaultParagraphFont"/>
    <w:uiPriority w:val="99"/>
    <w:semiHidden/>
    <w:unhideWhenUsed/>
    <w:rsid w:val="00585398"/>
    <w:rPr>
      <w:sz w:val="16"/>
      <w:szCs w:val="16"/>
    </w:rPr>
  </w:style>
  <w:style w:type="paragraph" w:styleId="CommentText">
    <w:name w:val="annotation text"/>
    <w:basedOn w:val="Normal"/>
    <w:link w:val="CommentTextChar"/>
    <w:uiPriority w:val="99"/>
    <w:unhideWhenUsed/>
    <w:rsid w:val="00585398"/>
    <w:pPr>
      <w:spacing w:line="240" w:lineRule="auto"/>
    </w:pPr>
    <w:rPr>
      <w:sz w:val="20"/>
      <w:szCs w:val="20"/>
    </w:rPr>
  </w:style>
  <w:style w:type="character" w:customStyle="1" w:styleId="CommentTextChar">
    <w:name w:val="Comment Text Char"/>
    <w:basedOn w:val="DefaultParagraphFont"/>
    <w:link w:val="CommentText"/>
    <w:uiPriority w:val="99"/>
    <w:rsid w:val="00585398"/>
    <w:rPr>
      <w:rFonts w:ascii="Arial" w:hAnsi="Arial"/>
      <w:lang w:eastAsia="en-US"/>
    </w:rPr>
  </w:style>
  <w:style w:type="paragraph" w:styleId="CommentSubject">
    <w:name w:val="annotation subject"/>
    <w:basedOn w:val="CommentText"/>
    <w:next w:val="CommentText"/>
    <w:link w:val="CommentSubjectChar"/>
    <w:uiPriority w:val="99"/>
    <w:semiHidden/>
    <w:unhideWhenUsed/>
    <w:rsid w:val="00585398"/>
    <w:rPr>
      <w:b/>
      <w:bCs/>
    </w:rPr>
  </w:style>
  <w:style w:type="character" w:customStyle="1" w:styleId="CommentSubjectChar">
    <w:name w:val="Comment Subject Char"/>
    <w:basedOn w:val="CommentTextChar"/>
    <w:link w:val="CommentSubject"/>
    <w:uiPriority w:val="99"/>
    <w:semiHidden/>
    <w:rsid w:val="00585398"/>
    <w:rPr>
      <w:rFonts w:ascii="Arial" w:hAnsi="Arial"/>
      <w:b/>
      <w:bCs/>
      <w:lang w:eastAsia="en-US"/>
    </w:rPr>
  </w:style>
  <w:style w:type="character" w:styleId="UnresolvedMention">
    <w:name w:val="Unresolved Mention"/>
    <w:basedOn w:val="DefaultParagraphFont"/>
    <w:uiPriority w:val="99"/>
    <w:semiHidden/>
    <w:unhideWhenUsed/>
    <w:rsid w:val="001A1F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62988">
      <w:bodyDiv w:val="1"/>
      <w:marLeft w:val="0"/>
      <w:marRight w:val="0"/>
      <w:marTop w:val="0"/>
      <w:marBottom w:val="0"/>
      <w:divBdr>
        <w:top w:val="none" w:sz="0" w:space="0" w:color="auto"/>
        <w:left w:val="none" w:sz="0" w:space="0" w:color="auto"/>
        <w:bottom w:val="none" w:sz="0" w:space="0" w:color="auto"/>
        <w:right w:val="none" w:sz="0" w:space="0" w:color="auto"/>
      </w:divBdr>
    </w:div>
    <w:div w:id="32118373">
      <w:bodyDiv w:val="1"/>
      <w:marLeft w:val="0"/>
      <w:marRight w:val="0"/>
      <w:marTop w:val="0"/>
      <w:marBottom w:val="0"/>
      <w:divBdr>
        <w:top w:val="none" w:sz="0" w:space="0" w:color="auto"/>
        <w:left w:val="none" w:sz="0" w:space="0" w:color="auto"/>
        <w:bottom w:val="none" w:sz="0" w:space="0" w:color="auto"/>
        <w:right w:val="none" w:sz="0" w:space="0" w:color="auto"/>
      </w:divBdr>
    </w:div>
    <w:div w:id="108399538">
      <w:bodyDiv w:val="1"/>
      <w:marLeft w:val="0"/>
      <w:marRight w:val="0"/>
      <w:marTop w:val="0"/>
      <w:marBottom w:val="0"/>
      <w:divBdr>
        <w:top w:val="none" w:sz="0" w:space="0" w:color="auto"/>
        <w:left w:val="none" w:sz="0" w:space="0" w:color="auto"/>
        <w:bottom w:val="none" w:sz="0" w:space="0" w:color="auto"/>
        <w:right w:val="none" w:sz="0" w:space="0" w:color="auto"/>
      </w:divBdr>
    </w:div>
    <w:div w:id="122777323">
      <w:bodyDiv w:val="1"/>
      <w:marLeft w:val="0"/>
      <w:marRight w:val="0"/>
      <w:marTop w:val="0"/>
      <w:marBottom w:val="0"/>
      <w:divBdr>
        <w:top w:val="none" w:sz="0" w:space="0" w:color="auto"/>
        <w:left w:val="none" w:sz="0" w:space="0" w:color="auto"/>
        <w:bottom w:val="none" w:sz="0" w:space="0" w:color="auto"/>
        <w:right w:val="none" w:sz="0" w:space="0" w:color="auto"/>
      </w:divBdr>
    </w:div>
    <w:div w:id="134611675">
      <w:bodyDiv w:val="1"/>
      <w:marLeft w:val="0"/>
      <w:marRight w:val="0"/>
      <w:marTop w:val="0"/>
      <w:marBottom w:val="0"/>
      <w:divBdr>
        <w:top w:val="none" w:sz="0" w:space="0" w:color="auto"/>
        <w:left w:val="none" w:sz="0" w:space="0" w:color="auto"/>
        <w:bottom w:val="none" w:sz="0" w:space="0" w:color="auto"/>
        <w:right w:val="none" w:sz="0" w:space="0" w:color="auto"/>
      </w:divBdr>
    </w:div>
    <w:div w:id="245654820">
      <w:bodyDiv w:val="1"/>
      <w:marLeft w:val="0"/>
      <w:marRight w:val="0"/>
      <w:marTop w:val="0"/>
      <w:marBottom w:val="0"/>
      <w:divBdr>
        <w:top w:val="none" w:sz="0" w:space="0" w:color="auto"/>
        <w:left w:val="none" w:sz="0" w:space="0" w:color="auto"/>
        <w:bottom w:val="none" w:sz="0" w:space="0" w:color="auto"/>
        <w:right w:val="none" w:sz="0" w:space="0" w:color="auto"/>
      </w:divBdr>
    </w:div>
    <w:div w:id="323363530">
      <w:bodyDiv w:val="1"/>
      <w:marLeft w:val="0"/>
      <w:marRight w:val="0"/>
      <w:marTop w:val="0"/>
      <w:marBottom w:val="0"/>
      <w:divBdr>
        <w:top w:val="none" w:sz="0" w:space="0" w:color="auto"/>
        <w:left w:val="none" w:sz="0" w:space="0" w:color="auto"/>
        <w:bottom w:val="none" w:sz="0" w:space="0" w:color="auto"/>
        <w:right w:val="none" w:sz="0" w:space="0" w:color="auto"/>
      </w:divBdr>
    </w:div>
    <w:div w:id="340201676">
      <w:bodyDiv w:val="1"/>
      <w:marLeft w:val="0"/>
      <w:marRight w:val="0"/>
      <w:marTop w:val="0"/>
      <w:marBottom w:val="0"/>
      <w:divBdr>
        <w:top w:val="none" w:sz="0" w:space="0" w:color="auto"/>
        <w:left w:val="none" w:sz="0" w:space="0" w:color="auto"/>
        <w:bottom w:val="none" w:sz="0" w:space="0" w:color="auto"/>
        <w:right w:val="none" w:sz="0" w:space="0" w:color="auto"/>
      </w:divBdr>
    </w:div>
    <w:div w:id="354353793">
      <w:bodyDiv w:val="1"/>
      <w:marLeft w:val="0"/>
      <w:marRight w:val="0"/>
      <w:marTop w:val="0"/>
      <w:marBottom w:val="0"/>
      <w:divBdr>
        <w:top w:val="none" w:sz="0" w:space="0" w:color="auto"/>
        <w:left w:val="none" w:sz="0" w:space="0" w:color="auto"/>
        <w:bottom w:val="none" w:sz="0" w:space="0" w:color="auto"/>
        <w:right w:val="none" w:sz="0" w:space="0" w:color="auto"/>
      </w:divBdr>
    </w:div>
    <w:div w:id="442647953">
      <w:bodyDiv w:val="1"/>
      <w:marLeft w:val="0"/>
      <w:marRight w:val="0"/>
      <w:marTop w:val="0"/>
      <w:marBottom w:val="0"/>
      <w:divBdr>
        <w:top w:val="none" w:sz="0" w:space="0" w:color="auto"/>
        <w:left w:val="none" w:sz="0" w:space="0" w:color="auto"/>
        <w:bottom w:val="none" w:sz="0" w:space="0" w:color="auto"/>
        <w:right w:val="none" w:sz="0" w:space="0" w:color="auto"/>
      </w:divBdr>
    </w:div>
    <w:div w:id="464737242">
      <w:bodyDiv w:val="1"/>
      <w:marLeft w:val="0"/>
      <w:marRight w:val="0"/>
      <w:marTop w:val="0"/>
      <w:marBottom w:val="0"/>
      <w:divBdr>
        <w:top w:val="none" w:sz="0" w:space="0" w:color="auto"/>
        <w:left w:val="none" w:sz="0" w:space="0" w:color="auto"/>
        <w:bottom w:val="none" w:sz="0" w:space="0" w:color="auto"/>
        <w:right w:val="none" w:sz="0" w:space="0" w:color="auto"/>
      </w:divBdr>
      <w:divsChild>
        <w:div w:id="1375812976">
          <w:marLeft w:val="0"/>
          <w:marRight w:val="0"/>
          <w:marTop w:val="0"/>
          <w:marBottom w:val="0"/>
          <w:divBdr>
            <w:top w:val="none" w:sz="0" w:space="0" w:color="auto"/>
            <w:left w:val="none" w:sz="0" w:space="0" w:color="auto"/>
            <w:bottom w:val="none" w:sz="0" w:space="0" w:color="auto"/>
            <w:right w:val="none" w:sz="0" w:space="0" w:color="auto"/>
          </w:divBdr>
          <w:divsChild>
            <w:div w:id="843741284">
              <w:marLeft w:val="0"/>
              <w:marRight w:val="0"/>
              <w:marTop w:val="0"/>
              <w:marBottom w:val="0"/>
              <w:divBdr>
                <w:top w:val="none" w:sz="0" w:space="0" w:color="auto"/>
                <w:left w:val="none" w:sz="0" w:space="0" w:color="auto"/>
                <w:bottom w:val="none" w:sz="0" w:space="0" w:color="auto"/>
                <w:right w:val="none" w:sz="0" w:space="0" w:color="auto"/>
              </w:divBdr>
              <w:divsChild>
                <w:div w:id="107437491">
                  <w:marLeft w:val="0"/>
                  <w:marRight w:val="0"/>
                  <w:marTop w:val="0"/>
                  <w:marBottom w:val="0"/>
                  <w:divBdr>
                    <w:top w:val="none" w:sz="0" w:space="0" w:color="auto"/>
                    <w:left w:val="none" w:sz="0" w:space="0" w:color="auto"/>
                    <w:bottom w:val="none" w:sz="0" w:space="0" w:color="auto"/>
                    <w:right w:val="none" w:sz="0" w:space="0" w:color="auto"/>
                  </w:divBdr>
                  <w:divsChild>
                    <w:div w:id="948973832">
                      <w:marLeft w:val="0"/>
                      <w:marRight w:val="0"/>
                      <w:marTop w:val="0"/>
                      <w:marBottom w:val="0"/>
                      <w:divBdr>
                        <w:top w:val="none" w:sz="0" w:space="0" w:color="auto"/>
                        <w:left w:val="none" w:sz="0" w:space="0" w:color="auto"/>
                        <w:bottom w:val="none" w:sz="0" w:space="0" w:color="auto"/>
                        <w:right w:val="none" w:sz="0" w:space="0" w:color="auto"/>
                      </w:divBdr>
                      <w:divsChild>
                        <w:div w:id="19915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9441657">
      <w:bodyDiv w:val="1"/>
      <w:marLeft w:val="0"/>
      <w:marRight w:val="0"/>
      <w:marTop w:val="0"/>
      <w:marBottom w:val="0"/>
      <w:divBdr>
        <w:top w:val="none" w:sz="0" w:space="0" w:color="auto"/>
        <w:left w:val="none" w:sz="0" w:space="0" w:color="auto"/>
        <w:bottom w:val="none" w:sz="0" w:space="0" w:color="auto"/>
        <w:right w:val="none" w:sz="0" w:space="0" w:color="auto"/>
      </w:divBdr>
    </w:div>
    <w:div w:id="611017396">
      <w:bodyDiv w:val="1"/>
      <w:marLeft w:val="0"/>
      <w:marRight w:val="0"/>
      <w:marTop w:val="0"/>
      <w:marBottom w:val="0"/>
      <w:divBdr>
        <w:top w:val="none" w:sz="0" w:space="0" w:color="auto"/>
        <w:left w:val="none" w:sz="0" w:space="0" w:color="auto"/>
        <w:bottom w:val="none" w:sz="0" w:space="0" w:color="auto"/>
        <w:right w:val="none" w:sz="0" w:space="0" w:color="auto"/>
      </w:divBdr>
    </w:div>
    <w:div w:id="710836222">
      <w:bodyDiv w:val="1"/>
      <w:marLeft w:val="0"/>
      <w:marRight w:val="0"/>
      <w:marTop w:val="0"/>
      <w:marBottom w:val="0"/>
      <w:divBdr>
        <w:top w:val="none" w:sz="0" w:space="0" w:color="auto"/>
        <w:left w:val="none" w:sz="0" w:space="0" w:color="auto"/>
        <w:bottom w:val="none" w:sz="0" w:space="0" w:color="auto"/>
        <w:right w:val="none" w:sz="0" w:space="0" w:color="auto"/>
      </w:divBdr>
    </w:div>
    <w:div w:id="716703029">
      <w:bodyDiv w:val="1"/>
      <w:marLeft w:val="0"/>
      <w:marRight w:val="0"/>
      <w:marTop w:val="0"/>
      <w:marBottom w:val="0"/>
      <w:divBdr>
        <w:top w:val="none" w:sz="0" w:space="0" w:color="auto"/>
        <w:left w:val="none" w:sz="0" w:space="0" w:color="auto"/>
        <w:bottom w:val="none" w:sz="0" w:space="0" w:color="auto"/>
        <w:right w:val="none" w:sz="0" w:space="0" w:color="auto"/>
      </w:divBdr>
      <w:divsChild>
        <w:div w:id="1334802391">
          <w:marLeft w:val="0"/>
          <w:marRight w:val="0"/>
          <w:marTop w:val="0"/>
          <w:marBottom w:val="0"/>
          <w:divBdr>
            <w:top w:val="none" w:sz="0" w:space="0" w:color="auto"/>
            <w:left w:val="none" w:sz="0" w:space="0" w:color="auto"/>
            <w:bottom w:val="none" w:sz="0" w:space="0" w:color="auto"/>
            <w:right w:val="none" w:sz="0" w:space="0" w:color="auto"/>
          </w:divBdr>
          <w:divsChild>
            <w:div w:id="366298622">
              <w:marLeft w:val="0"/>
              <w:marRight w:val="0"/>
              <w:marTop w:val="0"/>
              <w:marBottom w:val="0"/>
              <w:divBdr>
                <w:top w:val="none" w:sz="0" w:space="0" w:color="auto"/>
                <w:left w:val="none" w:sz="0" w:space="0" w:color="auto"/>
                <w:bottom w:val="none" w:sz="0" w:space="0" w:color="auto"/>
                <w:right w:val="none" w:sz="0" w:space="0" w:color="auto"/>
              </w:divBdr>
              <w:divsChild>
                <w:div w:id="572816567">
                  <w:marLeft w:val="0"/>
                  <w:marRight w:val="0"/>
                  <w:marTop w:val="0"/>
                  <w:marBottom w:val="0"/>
                  <w:divBdr>
                    <w:top w:val="none" w:sz="0" w:space="0" w:color="auto"/>
                    <w:left w:val="none" w:sz="0" w:space="0" w:color="auto"/>
                    <w:bottom w:val="none" w:sz="0" w:space="0" w:color="auto"/>
                    <w:right w:val="none" w:sz="0" w:space="0" w:color="auto"/>
                  </w:divBdr>
                  <w:divsChild>
                    <w:div w:id="1045832000">
                      <w:marLeft w:val="0"/>
                      <w:marRight w:val="0"/>
                      <w:marTop w:val="0"/>
                      <w:marBottom w:val="0"/>
                      <w:divBdr>
                        <w:top w:val="none" w:sz="0" w:space="0" w:color="auto"/>
                        <w:left w:val="none" w:sz="0" w:space="0" w:color="auto"/>
                        <w:bottom w:val="none" w:sz="0" w:space="0" w:color="auto"/>
                        <w:right w:val="none" w:sz="0" w:space="0" w:color="auto"/>
                      </w:divBdr>
                      <w:divsChild>
                        <w:div w:id="1522863874">
                          <w:marLeft w:val="0"/>
                          <w:marRight w:val="0"/>
                          <w:marTop w:val="0"/>
                          <w:marBottom w:val="0"/>
                          <w:divBdr>
                            <w:top w:val="none" w:sz="0" w:space="0" w:color="auto"/>
                            <w:left w:val="none" w:sz="0" w:space="0" w:color="auto"/>
                            <w:bottom w:val="none" w:sz="0" w:space="0" w:color="auto"/>
                            <w:right w:val="none" w:sz="0" w:space="0" w:color="auto"/>
                          </w:divBdr>
                          <w:divsChild>
                            <w:div w:id="1707438237">
                              <w:marLeft w:val="0"/>
                              <w:marRight w:val="0"/>
                              <w:marTop w:val="0"/>
                              <w:marBottom w:val="0"/>
                              <w:divBdr>
                                <w:top w:val="none" w:sz="0" w:space="0" w:color="auto"/>
                                <w:left w:val="none" w:sz="0" w:space="0" w:color="auto"/>
                                <w:bottom w:val="none" w:sz="0" w:space="0" w:color="auto"/>
                                <w:right w:val="none" w:sz="0" w:space="0" w:color="auto"/>
                              </w:divBdr>
                              <w:divsChild>
                                <w:div w:id="1974559940">
                                  <w:marLeft w:val="0"/>
                                  <w:marRight w:val="0"/>
                                  <w:marTop w:val="0"/>
                                  <w:marBottom w:val="0"/>
                                  <w:divBdr>
                                    <w:top w:val="none" w:sz="0" w:space="0" w:color="auto"/>
                                    <w:left w:val="none" w:sz="0" w:space="0" w:color="auto"/>
                                    <w:bottom w:val="none" w:sz="0" w:space="0" w:color="auto"/>
                                    <w:right w:val="none" w:sz="0" w:space="0" w:color="auto"/>
                                  </w:divBdr>
                                  <w:divsChild>
                                    <w:div w:id="1599867918">
                                      <w:marLeft w:val="0"/>
                                      <w:marRight w:val="0"/>
                                      <w:marTop w:val="0"/>
                                      <w:marBottom w:val="0"/>
                                      <w:divBdr>
                                        <w:top w:val="none" w:sz="0" w:space="0" w:color="auto"/>
                                        <w:left w:val="none" w:sz="0" w:space="0" w:color="auto"/>
                                        <w:bottom w:val="none" w:sz="0" w:space="0" w:color="auto"/>
                                        <w:right w:val="none" w:sz="0" w:space="0" w:color="auto"/>
                                      </w:divBdr>
                                      <w:divsChild>
                                        <w:div w:id="143011325">
                                          <w:marLeft w:val="0"/>
                                          <w:marRight w:val="0"/>
                                          <w:marTop w:val="0"/>
                                          <w:marBottom w:val="0"/>
                                          <w:divBdr>
                                            <w:top w:val="none" w:sz="0" w:space="0" w:color="auto"/>
                                            <w:left w:val="none" w:sz="0" w:space="0" w:color="auto"/>
                                            <w:bottom w:val="none" w:sz="0" w:space="0" w:color="auto"/>
                                            <w:right w:val="none" w:sz="0" w:space="0" w:color="auto"/>
                                          </w:divBdr>
                                          <w:divsChild>
                                            <w:div w:id="191046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2649533">
      <w:bodyDiv w:val="1"/>
      <w:marLeft w:val="0"/>
      <w:marRight w:val="0"/>
      <w:marTop w:val="0"/>
      <w:marBottom w:val="0"/>
      <w:divBdr>
        <w:top w:val="none" w:sz="0" w:space="0" w:color="auto"/>
        <w:left w:val="none" w:sz="0" w:space="0" w:color="auto"/>
        <w:bottom w:val="none" w:sz="0" w:space="0" w:color="auto"/>
        <w:right w:val="none" w:sz="0" w:space="0" w:color="auto"/>
      </w:divBdr>
    </w:div>
    <w:div w:id="822549077">
      <w:bodyDiv w:val="1"/>
      <w:marLeft w:val="0"/>
      <w:marRight w:val="0"/>
      <w:marTop w:val="0"/>
      <w:marBottom w:val="0"/>
      <w:divBdr>
        <w:top w:val="none" w:sz="0" w:space="0" w:color="auto"/>
        <w:left w:val="none" w:sz="0" w:space="0" w:color="auto"/>
        <w:bottom w:val="none" w:sz="0" w:space="0" w:color="auto"/>
        <w:right w:val="none" w:sz="0" w:space="0" w:color="auto"/>
      </w:divBdr>
      <w:divsChild>
        <w:div w:id="285083066">
          <w:marLeft w:val="0"/>
          <w:marRight w:val="0"/>
          <w:marTop w:val="0"/>
          <w:marBottom w:val="0"/>
          <w:divBdr>
            <w:top w:val="none" w:sz="0" w:space="0" w:color="auto"/>
            <w:left w:val="none" w:sz="0" w:space="0" w:color="auto"/>
            <w:bottom w:val="none" w:sz="0" w:space="0" w:color="auto"/>
            <w:right w:val="none" w:sz="0" w:space="0" w:color="auto"/>
          </w:divBdr>
          <w:divsChild>
            <w:div w:id="1791126426">
              <w:marLeft w:val="0"/>
              <w:marRight w:val="0"/>
              <w:marTop w:val="0"/>
              <w:marBottom w:val="0"/>
              <w:divBdr>
                <w:top w:val="none" w:sz="0" w:space="0" w:color="auto"/>
                <w:left w:val="none" w:sz="0" w:space="0" w:color="auto"/>
                <w:bottom w:val="none" w:sz="0" w:space="0" w:color="auto"/>
                <w:right w:val="none" w:sz="0" w:space="0" w:color="auto"/>
              </w:divBdr>
              <w:divsChild>
                <w:div w:id="1304432073">
                  <w:marLeft w:val="0"/>
                  <w:marRight w:val="0"/>
                  <w:marTop w:val="0"/>
                  <w:marBottom w:val="0"/>
                  <w:divBdr>
                    <w:top w:val="none" w:sz="0" w:space="0" w:color="auto"/>
                    <w:left w:val="none" w:sz="0" w:space="0" w:color="auto"/>
                    <w:bottom w:val="none" w:sz="0" w:space="0" w:color="auto"/>
                    <w:right w:val="none" w:sz="0" w:space="0" w:color="auto"/>
                  </w:divBdr>
                  <w:divsChild>
                    <w:div w:id="1800293016">
                      <w:marLeft w:val="0"/>
                      <w:marRight w:val="0"/>
                      <w:marTop w:val="0"/>
                      <w:marBottom w:val="0"/>
                      <w:divBdr>
                        <w:top w:val="none" w:sz="0" w:space="0" w:color="auto"/>
                        <w:left w:val="none" w:sz="0" w:space="0" w:color="auto"/>
                        <w:bottom w:val="none" w:sz="0" w:space="0" w:color="auto"/>
                        <w:right w:val="none" w:sz="0" w:space="0" w:color="auto"/>
                      </w:divBdr>
                      <w:divsChild>
                        <w:div w:id="106044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4462112">
      <w:bodyDiv w:val="1"/>
      <w:marLeft w:val="0"/>
      <w:marRight w:val="0"/>
      <w:marTop w:val="0"/>
      <w:marBottom w:val="0"/>
      <w:divBdr>
        <w:top w:val="none" w:sz="0" w:space="0" w:color="auto"/>
        <w:left w:val="none" w:sz="0" w:space="0" w:color="auto"/>
        <w:bottom w:val="none" w:sz="0" w:space="0" w:color="auto"/>
        <w:right w:val="none" w:sz="0" w:space="0" w:color="auto"/>
      </w:divBdr>
    </w:div>
    <w:div w:id="872350942">
      <w:bodyDiv w:val="1"/>
      <w:marLeft w:val="0"/>
      <w:marRight w:val="0"/>
      <w:marTop w:val="0"/>
      <w:marBottom w:val="0"/>
      <w:divBdr>
        <w:top w:val="none" w:sz="0" w:space="0" w:color="auto"/>
        <w:left w:val="none" w:sz="0" w:space="0" w:color="auto"/>
        <w:bottom w:val="none" w:sz="0" w:space="0" w:color="auto"/>
        <w:right w:val="none" w:sz="0" w:space="0" w:color="auto"/>
      </w:divBdr>
    </w:div>
    <w:div w:id="881744637">
      <w:bodyDiv w:val="1"/>
      <w:marLeft w:val="0"/>
      <w:marRight w:val="0"/>
      <w:marTop w:val="0"/>
      <w:marBottom w:val="0"/>
      <w:divBdr>
        <w:top w:val="none" w:sz="0" w:space="0" w:color="auto"/>
        <w:left w:val="none" w:sz="0" w:space="0" w:color="auto"/>
        <w:bottom w:val="none" w:sz="0" w:space="0" w:color="auto"/>
        <w:right w:val="none" w:sz="0" w:space="0" w:color="auto"/>
      </w:divBdr>
    </w:div>
    <w:div w:id="907034606">
      <w:bodyDiv w:val="1"/>
      <w:marLeft w:val="0"/>
      <w:marRight w:val="0"/>
      <w:marTop w:val="0"/>
      <w:marBottom w:val="0"/>
      <w:divBdr>
        <w:top w:val="none" w:sz="0" w:space="0" w:color="auto"/>
        <w:left w:val="none" w:sz="0" w:space="0" w:color="auto"/>
        <w:bottom w:val="none" w:sz="0" w:space="0" w:color="auto"/>
        <w:right w:val="none" w:sz="0" w:space="0" w:color="auto"/>
      </w:divBdr>
    </w:div>
    <w:div w:id="949824113">
      <w:bodyDiv w:val="1"/>
      <w:marLeft w:val="0"/>
      <w:marRight w:val="0"/>
      <w:marTop w:val="0"/>
      <w:marBottom w:val="0"/>
      <w:divBdr>
        <w:top w:val="none" w:sz="0" w:space="0" w:color="auto"/>
        <w:left w:val="none" w:sz="0" w:space="0" w:color="auto"/>
        <w:bottom w:val="none" w:sz="0" w:space="0" w:color="auto"/>
        <w:right w:val="none" w:sz="0" w:space="0" w:color="auto"/>
      </w:divBdr>
    </w:div>
    <w:div w:id="1024092866">
      <w:bodyDiv w:val="1"/>
      <w:marLeft w:val="0"/>
      <w:marRight w:val="0"/>
      <w:marTop w:val="0"/>
      <w:marBottom w:val="0"/>
      <w:divBdr>
        <w:top w:val="none" w:sz="0" w:space="0" w:color="auto"/>
        <w:left w:val="none" w:sz="0" w:space="0" w:color="auto"/>
        <w:bottom w:val="none" w:sz="0" w:space="0" w:color="auto"/>
        <w:right w:val="none" w:sz="0" w:space="0" w:color="auto"/>
      </w:divBdr>
    </w:div>
    <w:div w:id="1026718077">
      <w:bodyDiv w:val="1"/>
      <w:marLeft w:val="0"/>
      <w:marRight w:val="0"/>
      <w:marTop w:val="0"/>
      <w:marBottom w:val="0"/>
      <w:divBdr>
        <w:top w:val="none" w:sz="0" w:space="0" w:color="auto"/>
        <w:left w:val="none" w:sz="0" w:space="0" w:color="auto"/>
        <w:bottom w:val="none" w:sz="0" w:space="0" w:color="auto"/>
        <w:right w:val="none" w:sz="0" w:space="0" w:color="auto"/>
      </w:divBdr>
    </w:div>
    <w:div w:id="1059280161">
      <w:bodyDiv w:val="1"/>
      <w:marLeft w:val="0"/>
      <w:marRight w:val="0"/>
      <w:marTop w:val="0"/>
      <w:marBottom w:val="0"/>
      <w:divBdr>
        <w:top w:val="none" w:sz="0" w:space="0" w:color="auto"/>
        <w:left w:val="none" w:sz="0" w:space="0" w:color="auto"/>
        <w:bottom w:val="none" w:sz="0" w:space="0" w:color="auto"/>
        <w:right w:val="none" w:sz="0" w:space="0" w:color="auto"/>
      </w:divBdr>
    </w:div>
    <w:div w:id="1155103472">
      <w:bodyDiv w:val="1"/>
      <w:marLeft w:val="0"/>
      <w:marRight w:val="0"/>
      <w:marTop w:val="0"/>
      <w:marBottom w:val="0"/>
      <w:divBdr>
        <w:top w:val="none" w:sz="0" w:space="0" w:color="auto"/>
        <w:left w:val="none" w:sz="0" w:space="0" w:color="auto"/>
        <w:bottom w:val="none" w:sz="0" w:space="0" w:color="auto"/>
        <w:right w:val="none" w:sz="0" w:space="0" w:color="auto"/>
      </w:divBdr>
    </w:div>
    <w:div w:id="1185167938">
      <w:bodyDiv w:val="1"/>
      <w:marLeft w:val="0"/>
      <w:marRight w:val="0"/>
      <w:marTop w:val="0"/>
      <w:marBottom w:val="0"/>
      <w:divBdr>
        <w:top w:val="none" w:sz="0" w:space="0" w:color="auto"/>
        <w:left w:val="none" w:sz="0" w:space="0" w:color="auto"/>
        <w:bottom w:val="none" w:sz="0" w:space="0" w:color="auto"/>
        <w:right w:val="none" w:sz="0" w:space="0" w:color="auto"/>
      </w:divBdr>
    </w:div>
    <w:div w:id="1194883107">
      <w:bodyDiv w:val="1"/>
      <w:marLeft w:val="0"/>
      <w:marRight w:val="0"/>
      <w:marTop w:val="0"/>
      <w:marBottom w:val="0"/>
      <w:divBdr>
        <w:top w:val="none" w:sz="0" w:space="0" w:color="auto"/>
        <w:left w:val="none" w:sz="0" w:space="0" w:color="auto"/>
        <w:bottom w:val="none" w:sz="0" w:space="0" w:color="auto"/>
        <w:right w:val="none" w:sz="0" w:space="0" w:color="auto"/>
      </w:divBdr>
    </w:div>
    <w:div w:id="1233346006">
      <w:bodyDiv w:val="1"/>
      <w:marLeft w:val="0"/>
      <w:marRight w:val="0"/>
      <w:marTop w:val="0"/>
      <w:marBottom w:val="0"/>
      <w:divBdr>
        <w:top w:val="none" w:sz="0" w:space="0" w:color="auto"/>
        <w:left w:val="none" w:sz="0" w:space="0" w:color="auto"/>
        <w:bottom w:val="none" w:sz="0" w:space="0" w:color="auto"/>
        <w:right w:val="none" w:sz="0" w:space="0" w:color="auto"/>
      </w:divBdr>
    </w:div>
    <w:div w:id="1297375042">
      <w:bodyDiv w:val="1"/>
      <w:marLeft w:val="0"/>
      <w:marRight w:val="0"/>
      <w:marTop w:val="0"/>
      <w:marBottom w:val="0"/>
      <w:divBdr>
        <w:top w:val="none" w:sz="0" w:space="0" w:color="auto"/>
        <w:left w:val="none" w:sz="0" w:space="0" w:color="auto"/>
        <w:bottom w:val="none" w:sz="0" w:space="0" w:color="auto"/>
        <w:right w:val="none" w:sz="0" w:space="0" w:color="auto"/>
      </w:divBdr>
    </w:div>
    <w:div w:id="1335499975">
      <w:bodyDiv w:val="1"/>
      <w:marLeft w:val="0"/>
      <w:marRight w:val="0"/>
      <w:marTop w:val="0"/>
      <w:marBottom w:val="0"/>
      <w:divBdr>
        <w:top w:val="none" w:sz="0" w:space="0" w:color="auto"/>
        <w:left w:val="none" w:sz="0" w:space="0" w:color="auto"/>
        <w:bottom w:val="none" w:sz="0" w:space="0" w:color="auto"/>
        <w:right w:val="none" w:sz="0" w:space="0" w:color="auto"/>
      </w:divBdr>
    </w:div>
    <w:div w:id="1355155729">
      <w:bodyDiv w:val="1"/>
      <w:marLeft w:val="0"/>
      <w:marRight w:val="0"/>
      <w:marTop w:val="0"/>
      <w:marBottom w:val="0"/>
      <w:divBdr>
        <w:top w:val="none" w:sz="0" w:space="0" w:color="auto"/>
        <w:left w:val="none" w:sz="0" w:space="0" w:color="auto"/>
        <w:bottom w:val="none" w:sz="0" w:space="0" w:color="auto"/>
        <w:right w:val="none" w:sz="0" w:space="0" w:color="auto"/>
      </w:divBdr>
    </w:div>
    <w:div w:id="1356153437">
      <w:bodyDiv w:val="1"/>
      <w:marLeft w:val="0"/>
      <w:marRight w:val="0"/>
      <w:marTop w:val="0"/>
      <w:marBottom w:val="0"/>
      <w:divBdr>
        <w:top w:val="none" w:sz="0" w:space="0" w:color="auto"/>
        <w:left w:val="none" w:sz="0" w:space="0" w:color="auto"/>
        <w:bottom w:val="none" w:sz="0" w:space="0" w:color="auto"/>
        <w:right w:val="none" w:sz="0" w:space="0" w:color="auto"/>
      </w:divBdr>
    </w:div>
    <w:div w:id="1371102129">
      <w:bodyDiv w:val="1"/>
      <w:marLeft w:val="0"/>
      <w:marRight w:val="0"/>
      <w:marTop w:val="0"/>
      <w:marBottom w:val="0"/>
      <w:divBdr>
        <w:top w:val="none" w:sz="0" w:space="0" w:color="auto"/>
        <w:left w:val="none" w:sz="0" w:space="0" w:color="auto"/>
        <w:bottom w:val="none" w:sz="0" w:space="0" w:color="auto"/>
        <w:right w:val="none" w:sz="0" w:space="0" w:color="auto"/>
      </w:divBdr>
    </w:div>
    <w:div w:id="1472676137">
      <w:bodyDiv w:val="1"/>
      <w:marLeft w:val="0"/>
      <w:marRight w:val="0"/>
      <w:marTop w:val="0"/>
      <w:marBottom w:val="0"/>
      <w:divBdr>
        <w:top w:val="none" w:sz="0" w:space="0" w:color="auto"/>
        <w:left w:val="none" w:sz="0" w:space="0" w:color="auto"/>
        <w:bottom w:val="none" w:sz="0" w:space="0" w:color="auto"/>
        <w:right w:val="none" w:sz="0" w:space="0" w:color="auto"/>
      </w:divBdr>
    </w:div>
    <w:div w:id="1485511539">
      <w:bodyDiv w:val="1"/>
      <w:marLeft w:val="0"/>
      <w:marRight w:val="0"/>
      <w:marTop w:val="0"/>
      <w:marBottom w:val="0"/>
      <w:divBdr>
        <w:top w:val="none" w:sz="0" w:space="0" w:color="auto"/>
        <w:left w:val="none" w:sz="0" w:space="0" w:color="auto"/>
        <w:bottom w:val="none" w:sz="0" w:space="0" w:color="auto"/>
        <w:right w:val="none" w:sz="0" w:space="0" w:color="auto"/>
      </w:divBdr>
    </w:div>
    <w:div w:id="1607351217">
      <w:bodyDiv w:val="1"/>
      <w:marLeft w:val="0"/>
      <w:marRight w:val="0"/>
      <w:marTop w:val="0"/>
      <w:marBottom w:val="0"/>
      <w:divBdr>
        <w:top w:val="none" w:sz="0" w:space="0" w:color="auto"/>
        <w:left w:val="none" w:sz="0" w:space="0" w:color="auto"/>
        <w:bottom w:val="none" w:sz="0" w:space="0" w:color="auto"/>
        <w:right w:val="none" w:sz="0" w:space="0" w:color="auto"/>
      </w:divBdr>
    </w:div>
    <w:div w:id="1633712006">
      <w:bodyDiv w:val="1"/>
      <w:marLeft w:val="0"/>
      <w:marRight w:val="0"/>
      <w:marTop w:val="0"/>
      <w:marBottom w:val="0"/>
      <w:divBdr>
        <w:top w:val="none" w:sz="0" w:space="0" w:color="auto"/>
        <w:left w:val="none" w:sz="0" w:space="0" w:color="auto"/>
        <w:bottom w:val="none" w:sz="0" w:space="0" w:color="auto"/>
        <w:right w:val="none" w:sz="0" w:space="0" w:color="auto"/>
      </w:divBdr>
    </w:div>
    <w:div w:id="1638800802">
      <w:bodyDiv w:val="1"/>
      <w:marLeft w:val="0"/>
      <w:marRight w:val="0"/>
      <w:marTop w:val="0"/>
      <w:marBottom w:val="0"/>
      <w:divBdr>
        <w:top w:val="none" w:sz="0" w:space="0" w:color="auto"/>
        <w:left w:val="none" w:sz="0" w:space="0" w:color="auto"/>
        <w:bottom w:val="none" w:sz="0" w:space="0" w:color="auto"/>
        <w:right w:val="none" w:sz="0" w:space="0" w:color="auto"/>
      </w:divBdr>
    </w:div>
    <w:div w:id="1678073425">
      <w:bodyDiv w:val="1"/>
      <w:marLeft w:val="0"/>
      <w:marRight w:val="0"/>
      <w:marTop w:val="0"/>
      <w:marBottom w:val="0"/>
      <w:divBdr>
        <w:top w:val="none" w:sz="0" w:space="0" w:color="auto"/>
        <w:left w:val="none" w:sz="0" w:space="0" w:color="auto"/>
        <w:bottom w:val="none" w:sz="0" w:space="0" w:color="auto"/>
        <w:right w:val="none" w:sz="0" w:space="0" w:color="auto"/>
      </w:divBdr>
      <w:divsChild>
        <w:div w:id="1035934734">
          <w:marLeft w:val="0"/>
          <w:marRight w:val="0"/>
          <w:marTop w:val="180"/>
          <w:marBottom w:val="180"/>
          <w:divBdr>
            <w:top w:val="none" w:sz="0" w:space="0" w:color="auto"/>
            <w:left w:val="none" w:sz="0" w:space="0" w:color="auto"/>
            <w:bottom w:val="none" w:sz="0" w:space="0" w:color="auto"/>
            <w:right w:val="none" w:sz="0" w:space="0" w:color="auto"/>
          </w:divBdr>
          <w:divsChild>
            <w:div w:id="2049140912">
              <w:marLeft w:val="0"/>
              <w:marRight w:val="0"/>
              <w:marTop w:val="60"/>
              <w:marBottom w:val="0"/>
              <w:divBdr>
                <w:top w:val="single" w:sz="6" w:space="30" w:color="DDDDDD"/>
                <w:left w:val="none" w:sz="0" w:space="0" w:color="auto"/>
                <w:bottom w:val="single" w:sz="6" w:space="30" w:color="DDDDDD"/>
                <w:right w:val="none" w:sz="0" w:space="0" w:color="auto"/>
              </w:divBdr>
              <w:divsChild>
                <w:div w:id="1408457561">
                  <w:marLeft w:val="0"/>
                  <w:marRight w:val="0"/>
                  <w:marTop w:val="0"/>
                  <w:marBottom w:val="0"/>
                  <w:divBdr>
                    <w:top w:val="none" w:sz="0" w:space="0" w:color="auto"/>
                    <w:left w:val="none" w:sz="0" w:space="0" w:color="auto"/>
                    <w:bottom w:val="none" w:sz="0" w:space="0" w:color="auto"/>
                    <w:right w:val="none" w:sz="0" w:space="0" w:color="auto"/>
                  </w:divBdr>
                  <w:divsChild>
                    <w:div w:id="1155951265">
                      <w:marLeft w:val="0"/>
                      <w:marRight w:val="4"/>
                      <w:marTop w:val="0"/>
                      <w:marBottom w:val="0"/>
                      <w:divBdr>
                        <w:top w:val="none" w:sz="0" w:space="0" w:color="auto"/>
                        <w:left w:val="none" w:sz="0" w:space="0" w:color="auto"/>
                        <w:bottom w:val="none" w:sz="0" w:space="0" w:color="auto"/>
                        <w:right w:val="none" w:sz="0" w:space="0" w:color="auto"/>
                      </w:divBdr>
                      <w:divsChild>
                        <w:div w:id="1198275723">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8769381">
      <w:bodyDiv w:val="1"/>
      <w:marLeft w:val="0"/>
      <w:marRight w:val="0"/>
      <w:marTop w:val="0"/>
      <w:marBottom w:val="0"/>
      <w:divBdr>
        <w:top w:val="none" w:sz="0" w:space="0" w:color="auto"/>
        <w:left w:val="none" w:sz="0" w:space="0" w:color="auto"/>
        <w:bottom w:val="none" w:sz="0" w:space="0" w:color="auto"/>
        <w:right w:val="none" w:sz="0" w:space="0" w:color="auto"/>
      </w:divBdr>
    </w:div>
    <w:div w:id="1899631524">
      <w:bodyDiv w:val="1"/>
      <w:marLeft w:val="0"/>
      <w:marRight w:val="0"/>
      <w:marTop w:val="0"/>
      <w:marBottom w:val="0"/>
      <w:divBdr>
        <w:top w:val="none" w:sz="0" w:space="0" w:color="auto"/>
        <w:left w:val="none" w:sz="0" w:space="0" w:color="auto"/>
        <w:bottom w:val="none" w:sz="0" w:space="0" w:color="auto"/>
        <w:right w:val="none" w:sz="0" w:space="0" w:color="auto"/>
      </w:divBdr>
    </w:div>
    <w:div w:id="1975863512">
      <w:bodyDiv w:val="1"/>
      <w:marLeft w:val="0"/>
      <w:marRight w:val="0"/>
      <w:marTop w:val="0"/>
      <w:marBottom w:val="0"/>
      <w:divBdr>
        <w:top w:val="none" w:sz="0" w:space="0" w:color="auto"/>
        <w:left w:val="none" w:sz="0" w:space="0" w:color="auto"/>
        <w:bottom w:val="none" w:sz="0" w:space="0" w:color="auto"/>
        <w:right w:val="none" w:sz="0" w:space="0" w:color="auto"/>
      </w:divBdr>
    </w:div>
    <w:div w:id="1988977638">
      <w:bodyDiv w:val="1"/>
      <w:marLeft w:val="0"/>
      <w:marRight w:val="0"/>
      <w:marTop w:val="0"/>
      <w:marBottom w:val="0"/>
      <w:divBdr>
        <w:top w:val="none" w:sz="0" w:space="0" w:color="auto"/>
        <w:left w:val="none" w:sz="0" w:space="0" w:color="auto"/>
        <w:bottom w:val="none" w:sz="0" w:space="0" w:color="auto"/>
        <w:right w:val="none" w:sz="0" w:space="0" w:color="auto"/>
      </w:divBdr>
    </w:div>
    <w:div w:id="2006859735">
      <w:bodyDiv w:val="1"/>
      <w:marLeft w:val="0"/>
      <w:marRight w:val="0"/>
      <w:marTop w:val="0"/>
      <w:marBottom w:val="0"/>
      <w:divBdr>
        <w:top w:val="none" w:sz="0" w:space="0" w:color="auto"/>
        <w:left w:val="none" w:sz="0" w:space="0" w:color="auto"/>
        <w:bottom w:val="none" w:sz="0" w:space="0" w:color="auto"/>
        <w:right w:val="none" w:sz="0" w:space="0" w:color="auto"/>
      </w:divBdr>
    </w:div>
    <w:div w:id="2035224004">
      <w:bodyDiv w:val="1"/>
      <w:marLeft w:val="0"/>
      <w:marRight w:val="0"/>
      <w:marTop w:val="0"/>
      <w:marBottom w:val="0"/>
      <w:divBdr>
        <w:top w:val="none" w:sz="0" w:space="0" w:color="auto"/>
        <w:left w:val="none" w:sz="0" w:space="0" w:color="auto"/>
        <w:bottom w:val="none" w:sz="0" w:space="0" w:color="auto"/>
        <w:right w:val="none" w:sz="0" w:space="0" w:color="auto"/>
      </w:divBdr>
    </w:div>
    <w:div w:id="2042583684">
      <w:bodyDiv w:val="1"/>
      <w:marLeft w:val="0"/>
      <w:marRight w:val="0"/>
      <w:marTop w:val="0"/>
      <w:marBottom w:val="0"/>
      <w:divBdr>
        <w:top w:val="none" w:sz="0" w:space="0" w:color="auto"/>
        <w:left w:val="none" w:sz="0" w:space="0" w:color="auto"/>
        <w:bottom w:val="none" w:sz="0" w:space="0" w:color="auto"/>
        <w:right w:val="none" w:sz="0" w:space="0" w:color="auto"/>
      </w:divBdr>
    </w:div>
    <w:div w:id="2048721665">
      <w:bodyDiv w:val="1"/>
      <w:marLeft w:val="0"/>
      <w:marRight w:val="0"/>
      <w:marTop w:val="0"/>
      <w:marBottom w:val="0"/>
      <w:divBdr>
        <w:top w:val="none" w:sz="0" w:space="0" w:color="auto"/>
        <w:left w:val="none" w:sz="0" w:space="0" w:color="auto"/>
        <w:bottom w:val="none" w:sz="0" w:space="0" w:color="auto"/>
        <w:right w:val="none" w:sz="0" w:space="0" w:color="auto"/>
      </w:divBdr>
    </w:div>
    <w:div w:id="2124885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ribblevalley.gov.uk/site/scripts/planx_details.php?appNumber=3%2F2019%2F02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01BC25-9474-40B9-ABD3-05B387E50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7645</Words>
  <Characters>39970</Characters>
  <Application>Microsoft Office Word</Application>
  <DocSecurity>0</DocSecurity>
  <Lines>333</Lines>
  <Paragraphs>95</Paragraphs>
  <ScaleCrop>false</ScaleCrop>
  <HeadingPairs>
    <vt:vector size="2" baseType="variant">
      <vt:variant>
        <vt:lpstr>Title</vt:lpstr>
      </vt:variant>
      <vt:variant>
        <vt:i4>1</vt:i4>
      </vt:variant>
    </vt:vector>
  </HeadingPairs>
  <TitlesOfParts>
    <vt:vector size="1" baseType="lpstr">
      <vt:lpstr>~DDSUB</vt:lpstr>
    </vt:vector>
  </TitlesOfParts>
  <Company>Ribble Valley Borough Council</Company>
  <LinksUpToDate>false</LinksUpToDate>
  <CharactersWithSpaces>47520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~DDSUB</dc:title>
  <dc:creator>Daniela Ripa;Stephen Kilmartin</dc:creator>
  <cp:lastModifiedBy>Lesley Lund</cp:lastModifiedBy>
  <cp:revision>2</cp:revision>
  <cp:lastPrinted>2020-01-09T16:39:00Z</cp:lastPrinted>
  <dcterms:created xsi:type="dcterms:W3CDTF">2020-06-24T13:27:00Z</dcterms:created>
  <dcterms:modified xsi:type="dcterms:W3CDTF">2020-06-24T13:27:00Z</dcterms:modified>
</cp:coreProperties>
</file>