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3ADA" w:rsidRDefault="002F3ADA">
      <w:pPr>
        <w:pStyle w:val="PLANNING"/>
      </w:pPr>
      <w:bookmarkStart w:id="0" w:name="_GoBack"/>
      <w:bookmarkEnd w:id="0"/>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trPr>
          <w:cantSplit/>
        </w:trPr>
        <w:tc>
          <w:tcPr>
            <w:tcW w:w="6983" w:type="dxa"/>
            <w:gridSpan w:val="4"/>
          </w:tcPr>
          <w:p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tcPr>
          <w:p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C00AD7" w:rsidRPr="00DD62CA" w:rsidTr="00111C12">
        <w:trPr>
          <w:cantSplit/>
        </w:trPr>
        <w:tc>
          <w:tcPr>
            <w:tcW w:w="6983" w:type="dxa"/>
            <w:gridSpan w:val="4"/>
          </w:tcPr>
          <w:p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rsidR="00C00AD7" w:rsidRPr="00DD62CA" w:rsidRDefault="00C00AD7">
            <w:pPr>
              <w:rPr>
                <w:rFonts w:ascii="Calibri" w:hAnsi="Calibri"/>
                <w:sz w:val="24"/>
                <w:szCs w:val="24"/>
              </w:rPr>
            </w:pPr>
          </w:p>
        </w:tc>
        <w:tc>
          <w:tcPr>
            <w:tcW w:w="1713" w:type="dxa"/>
          </w:tcPr>
          <w:p w:rsidR="00C00AD7" w:rsidRPr="00DD62CA" w:rsidRDefault="00C00AD7">
            <w:pPr>
              <w:rPr>
                <w:rFonts w:ascii="Calibri" w:hAnsi="Calibri"/>
                <w:sz w:val="24"/>
                <w:szCs w:val="24"/>
              </w:rPr>
            </w:pPr>
          </w:p>
        </w:tc>
      </w:tr>
      <w:tr w:rsidR="00C00AD7" w:rsidRPr="00DD62CA" w:rsidTr="00111C12">
        <w:trPr>
          <w:cantSplit/>
        </w:trPr>
        <w:tc>
          <w:tcPr>
            <w:tcW w:w="8696" w:type="dxa"/>
            <w:gridSpan w:val="5"/>
            <w:tcBorders>
              <w:bottom w:val="single" w:sz="6" w:space="0" w:color="auto"/>
            </w:tcBorders>
          </w:tcPr>
          <w:p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Pr="00DD62CA">
              <w:rPr>
                <w:rFonts w:ascii="Calibri" w:hAnsi="Calibri"/>
                <w:sz w:val="24"/>
                <w:szCs w:val="24"/>
              </w:rPr>
              <w:t>Fax: 01200 414488</w:t>
            </w:r>
            <w:r>
              <w:rPr>
                <w:rFonts w:ascii="Calibri" w:hAnsi="Calibri"/>
                <w:sz w:val="24"/>
                <w:szCs w:val="24"/>
              </w:rPr>
              <w:t xml:space="preserve"> </w:t>
            </w:r>
            <w:r w:rsidRPr="00DD62CA">
              <w:rPr>
                <w:rFonts w:ascii="Calibri" w:hAnsi="Calibri"/>
                <w:sz w:val="24"/>
                <w:szCs w:val="24"/>
              </w:rPr>
              <w:t>Planning Fax: 01200 414487</w:t>
            </w:r>
          </w:p>
        </w:tc>
        <w:tc>
          <w:tcPr>
            <w:tcW w:w="1713" w:type="dxa"/>
            <w:tcBorders>
              <w:bottom w:val="single" w:sz="6" w:space="0" w:color="auto"/>
            </w:tcBorders>
          </w:tcPr>
          <w:p w:rsidR="00C00AD7" w:rsidRPr="00DD62CA" w:rsidRDefault="00C00AD7">
            <w:pPr>
              <w:rPr>
                <w:rFonts w:ascii="Calibri" w:hAnsi="Calibri"/>
                <w:sz w:val="24"/>
                <w:szCs w:val="24"/>
              </w:rPr>
            </w:pPr>
          </w:p>
        </w:tc>
      </w:tr>
      <w:tr w:rsidR="00C00AD7" w:rsidRPr="00DD62CA" w:rsidTr="00111C12">
        <w:trPr>
          <w:cantSplit/>
        </w:trPr>
        <w:tc>
          <w:tcPr>
            <w:tcW w:w="5579" w:type="dxa"/>
            <w:gridSpan w:val="3"/>
          </w:tcPr>
          <w:p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rsidR="00C00AD7" w:rsidRPr="00DD62CA" w:rsidRDefault="00C00AD7">
            <w:pPr>
              <w:rPr>
                <w:rFonts w:ascii="Calibri" w:hAnsi="Calibri"/>
                <w:sz w:val="24"/>
                <w:szCs w:val="24"/>
              </w:rPr>
            </w:pPr>
          </w:p>
        </w:tc>
        <w:tc>
          <w:tcPr>
            <w:tcW w:w="1713" w:type="dxa"/>
          </w:tcPr>
          <w:p w:rsidR="00C00AD7" w:rsidRPr="00DD62CA" w:rsidRDefault="00C00AD7">
            <w:pPr>
              <w:rPr>
                <w:rFonts w:ascii="Calibri" w:hAnsi="Calibri"/>
                <w:sz w:val="24"/>
                <w:szCs w:val="24"/>
              </w:rPr>
            </w:pPr>
          </w:p>
        </w:tc>
      </w:tr>
      <w:tr w:rsidR="002F3ADA" w:rsidRPr="00DD62CA">
        <w:trPr>
          <w:cantSplit/>
        </w:trPr>
        <w:tc>
          <w:tcPr>
            <w:tcW w:w="10409" w:type="dxa"/>
            <w:gridSpan w:val="6"/>
          </w:tcPr>
          <w:p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rsidR="002F3ADA" w:rsidRPr="00DD62CA" w:rsidRDefault="00FC1D96">
            <w:pPr>
              <w:pStyle w:val="addresses"/>
              <w:rPr>
                <w:rFonts w:ascii="Calibri" w:hAnsi="Calibri"/>
                <w:sz w:val="24"/>
                <w:szCs w:val="24"/>
              </w:rPr>
            </w:pPr>
            <w:r>
              <w:rPr>
                <w:rFonts w:ascii="Calibri" w:hAnsi="Calibri"/>
                <w:sz w:val="24"/>
                <w:szCs w:val="24"/>
              </w:rPr>
              <w:t>3/2020/0449</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rsidR="002F3ADA" w:rsidRPr="00DD62CA" w:rsidRDefault="00FC1D96">
            <w:pPr>
              <w:rPr>
                <w:rFonts w:ascii="Calibri" w:hAnsi="Calibri"/>
                <w:sz w:val="24"/>
                <w:szCs w:val="24"/>
              </w:rPr>
            </w:pPr>
            <w:r>
              <w:rPr>
                <w:rFonts w:ascii="Calibri" w:hAnsi="Calibri"/>
                <w:sz w:val="24"/>
                <w:szCs w:val="24"/>
              </w:rPr>
              <w:t>29 July 2020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rsidR="002F3ADA" w:rsidRPr="00DD62CA" w:rsidRDefault="00FC1D96">
            <w:pPr>
              <w:rPr>
                <w:rFonts w:ascii="Calibri" w:hAnsi="Calibri"/>
                <w:sz w:val="24"/>
                <w:szCs w:val="24"/>
              </w:rPr>
            </w:pPr>
            <w:r>
              <w:rPr>
                <w:rFonts w:ascii="Calibri" w:hAnsi="Calibri"/>
                <w:sz w:val="24"/>
                <w:szCs w:val="24"/>
              </w:rPr>
              <w:t>29/06/2020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10409" w:type="dxa"/>
            <w:gridSpan w:val="6"/>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vMerge w:val="restart"/>
            <w:tcBorders>
              <w:bottom w:val="single" w:sz="4" w:space="0" w:color="auto"/>
            </w:tcBorders>
          </w:tcPr>
          <w:p w:rsidR="002F3ADA" w:rsidRPr="00DD62CA" w:rsidRDefault="00FC1D96">
            <w:pPr>
              <w:rPr>
                <w:rFonts w:ascii="Calibri" w:hAnsi="Calibri"/>
                <w:sz w:val="24"/>
                <w:szCs w:val="24"/>
              </w:rPr>
            </w:pPr>
            <w:r>
              <w:rPr>
                <w:rFonts w:ascii="Calibri" w:hAnsi="Calibri"/>
                <w:sz w:val="24"/>
                <w:szCs w:val="24"/>
              </w:rPr>
              <w:t>Mr M Toms</w:t>
            </w:r>
          </w:p>
          <w:p w:rsidR="00FC1D96" w:rsidRDefault="00FC1D96">
            <w:pPr>
              <w:rPr>
                <w:rFonts w:ascii="Calibri" w:hAnsi="Calibri"/>
                <w:sz w:val="24"/>
                <w:szCs w:val="24"/>
              </w:rPr>
            </w:pPr>
            <w:r>
              <w:rPr>
                <w:rFonts w:ascii="Calibri" w:hAnsi="Calibri"/>
                <w:sz w:val="24"/>
                <w:szCs w:val="24"/>
              </w:rPr>
              <w:t>C/o Unit 2</w:t>
            </w:r>
          </w:p>
          <w:p w:rsidR="00FC1D96" w:rsidRDefault="00FC1D96">
            <w:pPr>
              <w:rPr>
                <w:rFonts w:ascii="Calibri" w:hAnsi="Calibri"/>
                <w:sz w:val="24"/>
                <w:szCs w:val="24"/>
              </w:rPr>
            </w:pPr>
            <w:r>
              <w:rPr>
                <w:rFonts w:ascii="Calibri" w:hAnsi="Calibri"/>
                <w:sz w:val="24"/>
                <w:szCs w:val="24"/>
              </w:rPr>
              <w:t>Boran Court</w:t>
            </w:r>
          </w:p>
          <w:p w:rsidR="00FC1D96" w:rsidRDefault="00FC1D96">
            <w:pPr>
              <w:rPr>
                <w:rFonts w:ascii="Calibri" w:hAnsi="Calibri"/>
                <w:sz w:val="24"/>
                <w:szCs w:val="24"/>
              </w:rPr>
            </w:pPr>
            <w:r>
              <w:rPr>
                <w:rFonts w:ascii="Calibri" w:hAnsi="Calibri"/>
                <w:sz w:val="24"/>
                <w:szCs w:val="24"/>
              </w:rPr>
              <w:t>Hapton</w:t>
            </w:r>
          </w:p>
          <w:p w:rsidR="00FC1D96" w:rsidRDefault="00FC1D96">
            <w:pPr>
              <w:rPr>
                <w:rFonts w:ascii="Calibri" w:hAnsi="Calibri"/>
                <w:sz w:val="24"/>
                <w:szCs w:val="24"/>
              </w:rPr>
            </w:pPr>
            <w:r>
              <w:rPr>
                <w:rFonts w:ascii="Calibri" w:hAnsi="Calibri"/>
                <w:sz w:val="24"/>
                <w:szCs w:val="24"/>
              </w:rPr>
              <w:t>Burnley</w:t>
            </w:r>
          </w:p>
          <w:p w:rsidR="002F3ADA" w:rsidRPr="00DD62CA" w:rsidRDefault="00FC1D96">
            <w:pPr>
              <w:rPr>
                <w:rFonts w:ascii="Calibri" w:hAnsi="Calibri"/>
                <w:sz w:val="24"/>
                <w:szCs w:val="24"/>
              </w:rPr>
            </w:pPr>
            <w:r>
              <w:rPr>
                <w:rFonts w:ascii="Calibri" w:hAnsi="Calibri"/>
                <w:sz w:val="24"/>
                <w:szCs w:val="24"/>
              </w:rPr>
              <w:t>BB11 5TH</w:t>
            </w:r>
          </w:p>
        </w:tc>
        <w:tc>
          <w:tcPr>
            <w:tcW w:w="1456" w:type="dxa"/>
          </w:tcPr>
          <w:p w:rsidR="002F3ADA" w:rsidRPr="00DD62CA" w:rsidRDefault="002F3ADA">
            <w:pPr>
              <w:rPr>
                <w:rFonts w:ascii="Calibri" w:hAnsi="Calibri"/>
                <w:sz w:val="24"/>
                <w:szCs w:val="24"/>
              </w:rPr>
            </w:pPr>
          </w:p>
        </w:tc>
        <w:tc>
          <w:tcPr>
            <w:tcW w:w="4830" w:type="dxa"/>
            <w:gridSpan w:val="3"/>
            <w:vMerge w:val="restart"/>
            <w:tcBorders>
              <w:bottom w:val="single" w:sz="4" w:space="0" w:color="auto"/>
            </w:tcBorders>
          </w:tcPr>
          <w:p w:rsidR="002F3ADA" w:rsidRPr="00DD62CA" w:rsidRDefault="00FC1D96">
            <w:pPr>
              <w:pStyle w:val="addresses"/>
              <w:rPr>
                <w:rFonts w:ascii="Calibri" w:hAnsi="Calibri"/>
                <w:sz w:val="24"/>
                <w:szCs w:val="24"/>
              </w:rPr>
            </w:pPr>
            <w:r>
              <w:rPr>
                <w:rFonts w:ascii="Calibri" w:hAnsi="Calibri"/>
                <w:sz w:val="24"/>
                <w:szCs w:val="24"/>
              </w:rPr>
              <w:t>Mr V Craven</w:t>
            </w:r>
          </w:p>
          <w:p w:rsidR="00FC1D96" w:rsidRDefault="00FC1D96">
            <w:pPr>
              <w:pStyle w:val="addresses"/>
              <w:rPr>
                <w:rFonts w:ascii="Calibri" w:hAnsi="Calibri"/>
                <w:sz w:val="24"/>
                <w:szCs w:val="24"/>
              </w:rPr>
            </w:pPr>
            <w:r>
              <w:rPr>
                <w:rFonts w:ascii="Calibri" w:hAnsi="Calibri"/>
                <w:sz w:val="24"/>
                <w:szCs w:val="24"/>
              </w:rPr>
              <w:t>Craven Design Partnership</w:t>
            </w:r>
          </w:p>
          <w:p w:rsidR="00FC1D96" w:rsidRDefault="00FC1D96">
            <w:pPr>
              <w:pStyle w:val="addresses"/>
              <w:rPr>
                <w:rFonts w:ascii="Calibri" w:hAnsi="Calibri"/>
                <w:sz w:val="24"/>
                <w:szCs w:val="24"/>
              </w:rPr>
            </w:pPr>
            <w:r>
              <w:rPr>
                <w:rFonts w:ascii="Calibri" w:hAnsi="Calibri"/>
                <w:sz w:val="24"/>
                <w:szCs w:val="24"/>
              </w:rPr>
              <w:t>Lairgilll Lodge</w:t>
            </w:r>
          </w:p>
          <w:p w:rsidR="00FC1D96" w:rsidRDefault="00FC1D96">
            <w:pPr>
              <w:pStyle w:val="addresses"/>
              <w:rPr>
                <w:rFonts w:ascii="Calibri" w:hAnsi="Calibri"/>
                <w:sz w:val="24"/>
                <w:szCs w:val="24"/>
              </w:rPr>
            </w:pPr>
            <w:r>
              <w:rPr>
                <w:rFonts w:ascii="Calibri" w:hAnsi="Calibri"/>
                <w:sz w:val="24"/>
                <w:szCs w:val="24"/>
              </w:rPr>
              <w:t>Mount Pleasant</w:t>
            </w:r>
          </w:p>
          <w:p w:rsidR="00FC1D96" w:rsidRDefault="00FC1D96">
            <w:pPr>
              <w:pStyle w:val="addresses"/>
              <w:rPr>
                <w:rFonts w:ascii="Calibri" w:hAnsi="Calibri"/>
                <w:sz w:val="24"/>
                <w:szCs w:val="24"/>
              </w:rPr>
            </w:pPr>
            <w:r>
              <w:rPr>
                <w:rFonts w:ascii="Calibri" w:hAnsi="Calibri"/>
                <w:sz w:val="24"/>
                <w:szCs w:val="24"/>
              </w:rPr>
              <w:t>High Bentham</w:t>
            </w:r>
          </w:p>
          <w:p w:rsidR="00FC1D96" w:rsidRDefault="00FC1D96">
            <w:pPr>
              <w:pStyle w:val="addresses"/>
              <w:rPr>
                <w:rFonts w:ascii="Calibri" w:hAnsi="Calibri"/>
                <w:sz w:val="24"/>
                <w:szCs w:val="24"/>
              </w:rPr>
            </w:pPr>
            <w:r>
              <w:rPr>
                <w:rFonts w:ascii="Calibri" w:hAnsi="Calibri"/>
                <w:sz w:val="24"/>
                <w:szCs w:val="24"/>
              </w:rPr>
              <w:t>Lancaster</w:t>
            </w:r>
          </w:p>
          <w:p w:rsidR="002F3ADA" w:rsidRPr="00DD62CA" w:rsidRDefault="00FC1D96">
            <w:pPr>
              <w:pStyle w:val="addresses"/>
              <w:rPr>
                <w:rFonts w:ascii="Calibri" w:hAnsi="Calibri"/>
                <w:sz w:val="24"/>
                <w:szCs w:val="24"/>
              </w:rPr>
            </w:pPr>
            <w:r>
              <w:rPr>
                <w:rFonts w:ascii="Calibri" w:hAnsi="Calibri"/>
                <w:sz w:val="24"/>
                <w:szCs w:val="24"/>
              </w:rPr>
              <w:t>LA2 7LA</w:t>
            </w: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Borders>
              <w:bottom w:val="single" w:sz="6" w:space="0" w:color="auto"/>
            </w:tcBorders>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bl>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trPr>
          <w:cantSplit/>
          <w:trHeight w:val="512"/>
        </w:trPr>
        <w:tc>
          <w:tcPr>
            <w:tcW w:w="1970" w:type="dxa"/>
            <w:gridSpan w:val="2"/>
          </w:tcPr>
          <w:p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rsidR="002F3ADA" w:rsidRPr="00DD62CA" w:rsidRDefault="00FC1D96">
            <w:pPr>
              <w:pStyle w:val="TableText"/>
              <w:rPr>
                <w:rFonts w:ascii="Calibri" w:hAnsi="Calibri"/>
                <w:sz w:val="24"/>
                <w:szCs w:val="24"/>
              </w:rPr>
            </w:pPr>
            <w:r>
              <w:rPr>
                <w:rFonts w:ascii="Calibri" w:hAnsi="Calibri"/>
                <w:sz w:val="24"/>
                <w:szCs w:val="24"/>
              </w:rPr>
              <w:t>Variation of condition 2 to allow variation to size of approved garage for plot 2 from application number 3/2019/1032.</w:t>
            </w:r>
          </w:p>
        </w:tc>
      </w:tr>
      <w:tr w:rsidR="002F3ADA" w:rsidRPr="00DD62CA">
        <w:trPr>
          <w:cantSplit/>
          <w:trHeight w:val="264"/>
        </w:trPr>
        <w:tc>
          <w:tcPr>
            <w:tcW w:w="988" w:type="dxa"/>
          </w:tcPr>
          <w:p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rsidR="002F3ADA" w:rsidRPr="00DD62CA" w:rsidRDefault="00FC1D96">
            <w:pPr>
              <w:pStyle w:val="TableText"/>
              <w:rPr>
                <w:rFonts w:ascii="Calibri" w:hAnsi="Calibri"/>
                <w:sz w:val="24"/>
                <w:szCs w:val="24"/>
              </w:rPr>
            </w:pPr>
            <w:r>
              <w:rPr>
                <w:rFonts w:ascii="Calibri" w:hAnsi="Calibri"/>
                <w:sz w:val="24"/>
                <w:szCs w:val="24"/>
              </w:rPr>
              <w:t>Plot 2 8 Hammond Drive Read BB12 7RE</w:t>
            </w:r>
          </w:p>
        </w:tc>
      </w:tr>
      <w:tr w:rsidR="002F3ADA" w:rsidRPr="00DD62CA">
        <w:trPr>
          <w:cantSplit/>
          <w:trHeight w:val="868"/>
        </w:trPr>
        <w:tc>
          <w:tcPr>
            <w:tcW w:w="10353" w:type="dxa"/>
            <w:gridSpan w:val="3"/>
          </w:tcPr>
          <w:p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rsidR="002F3ADA" w:rsidRPr="00DD62CA" w:rsidRDefault="002F3ADA">
            <w:pPr>
              <w:jc w:val="both"/>
              <w:rPr>
                <w:rFonts w:ascii="Calibri" w:hAnsi="Calibri"/>
                <w:sz w:val="24"/>
                <w:szCs w:val="24"/>
              </w:rPr>
            </w:pPr>
          </w:p>
        </w:tc>
      </w:tr>
      <w:tr w:rsidR="002F3ADA" w:rsidRPr="00DD62CA">
        <w:trPr>
          <w:cantSplit/>
          <w:trHeight w:val="527"/>
        </w:trPr>
        <w:tc>
          <w:tcPr>
            <w:tcW w:w="988" w:type="dxa"/>
          </w:tcPr>
          <w:p w:rsidR="002F3ADA" w:rsidRPr="00DD62CA" w:rsidRDefault="002F3ADA">
            <w:pPr>
              <w:pStyle w:val="TableText"/>
              <w:numPr>
                <w:ilvl w:val="0"/>
                <w:numId w:val="3"/>
              </w:numPr>
              <w:rPr>
                <w:rFonts w:ascii="Calibri" w:hAnsi="Calibri"/>
                <w:sz w:val="24"/>
                <w:szCs w:val="24"/>
              </w:rPr>
            </w:pPr>
            <w:bookmarkStart w:id="1" w:name="Conditions" w:colFirst="0" w:colLast="1"/>
          </w:p>
        </w:tc>
        <w:tc>
          <w:tcPr>
            <w:tcW w:w="9365" w:type="dxa"/>
            <w:gridSpan w:val="2"/>
          </w:tcPr>
          <w:p w:rsidR="00FC1D96" w:rsidRDefault="00FC1D96">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rsidR="00FC1D96" w:rsidRDefault="00FC1D96">
            <w:pPr>
              <w:pStyle w:val="TableText"/>
              <w:rPr>
                <w:rFonts w:ascii="Calibri" w:hAnsi="Calibri"/>
                <w:sz w:val="24"/>
                <w:szCs w:val="24"/>
              </w:rPr>
            </w:pPr>
          </w:p>
          <w:p w:rsidR="00FC1D96" w:rsidRDefault="00FC1D96">
            <w:pPr>
              <w:pStyle w:val="TableText"/>
              <w:rPr>
                <w:rFonts w:ascii="Calibri" w:hAnsi="Calibri"/>
                <w:sz w:val="24"/>
                <w:szCs w:val="24"/>
              </w:rPr>
            </w:pPr>
            <w:r>
              <w:rPr>
                <w:rFonts w:ascii="Calibri" w:hAnsi="Calibri"/>
                <w:sz w:val="24"/>
                <w:szCs w:val="24"/>
              </w:rPr>
              <w:t>Location Plan</w:t>
            </w:r>
          </w:p>
          <w:p w:rsidR="00FC1D96" w:rsidRDefault="00FC1D96">
            <w:pPr>
              <w:pStyle w:val="TableText"/>
              <w:rPr>
                <w:rFonts w:ascii="Calibri" w:hAnsi="Calibri"/>
                <w:sz w:val="24"/>
                <w:szCs w:val="24"/>
              </w:rPr>
            </w:pPr>
            <w:r>
              <w:rPr>
                <w:rFonts w:ascii="Calibri" w:hAnsi="Calibri"/>
                <w:sz w:val="24"/>
                <w:szCs w:val="24"/>
              </w:rPr>
              <w:t>1946/2/00A Site Layout and Sections (amended plan received 16.07.2020)</w:t>
            </w:r>
          </w:p>
          <w:p w:rsidR="00FC1D96" w:rsidRDefault="00FC1D96">
            <w:pPr>
              <w:pStyle w:val="TableText"/>
              <w:rPr>
                <w:rFonts w:ascii="Calibri" w:hAnsi="Calibri"/>
                <w:sz w:val="24"/>
                <w:szCs w:val="24"/>
              </w:rPr>
            </w:pPr>
            <w:r>
              <w:rPr>
                <w:rFonts w:ascii="Calibri" w:hAnsi="Calibri"/>
                <w:sz w:val="24"/>
                <w:szCs w:val="24"/>
              </w:rPr>
              <w:t>1946/2/11F Plot 2 Floor Plans</w:t>
            </w:r>
          </w:p>
          <w:p w:rsidR="00FC1D96" w:rsidRDefault="00FC1D96">
            <w:pPr>
              <w:pStyle w:val="TableText"/>
              <w:rPr>
                <w:rFonts w:ascii="Calibri" w:hAnsi="Calibri"/>
                <w:sz w:val="24"/>
                <w:szCs w:val="24"/>
              </w:rPr>
            </w:pPr>
            <w:r>
              <w:rPr>
                <w:rFonts w:ascii="Calibri" w:hAnsi="Calibri"/>
                <w:sz w:val="24"/>
                <w:szCs w:val="24"/>
              </w:rPr>
              <w:t>1946/2/12F Plot 2 Elevations</w:t>
            </w:r>
          </w:p>
          <w:p w:rsidR="00FC1D96" w:rsidRDefault="00FC1D96">
            <w:pPr>
              <w:pStyle w:val="TableText"/>
              <w:rPr>
                <w:rFonts w:ascii="Calibri" w:hAnsi="Calibri"/>
                <w:sz w:val="24"/>
                <w:szCs w:val="24"/>
              </w:rPr>
            </w:pPr>
          </w:p>
          <w:p w:rsidR="00FC1D96" w:rsidRDefault="00FC1D96">
            <w:pPr>
              <w:pStyle w:val="TableText"/>
              <w:rPr>
                <w:rFonts w:ascii="Calibri" w:hAnsi="Calibri"/>
                <w:sz w:val="24"/>
                <w:szCs w:val="24"/>
              </w:rPr>
            </w:pPr>
            <w:r>
              <w:rPr>
                <w:rFonts w:ascii="Calibri" w:hAnsi="Calibri"/>
                <w:sz w:val="24"/>
                <w:szCs w:val="24"/>
              </w:rPr>
              <w:t>Reason: For the avoidance of doubt and to ensure that the development is carried out in accordance with the submitted plans.</w:t>
            </w:r>
          </w:p>
          <w:p w:rsidR="002F3ADA" w:rsidRPr="00DD62CA" w:rsidRDefault="002F3ADA">
            <w:pPr>
              <w:pStyle w:val="TableText"/>
              <w:rPr>
                <w:rFonts w:ascii="Calibri" w:hAnsi="Calibri"/>
                <w:sz w:val="24"/>
                <w:szCs w:val="24"/>
              </w:rPr>
            </w:pPr>
          </w:p>
        </w:tc>
      </w:tr>
      <w:tr w:rsidR="00FC1D96" w:rsidRPr="00DD62CA">
        <w:trPr>
          <w:cantSplit/>
          <w:trHeight w:val="527"/>
        </w:trPr>
        <w:tc>
          <w:tcPr>
            <w:tcW w:w="988" w:type="dxa"/>
          </w:tcPr>
          <w:p w:rsidR="00FC1D96" w:rsidRPr="00DD62CA" w:rsidRDefault="00FC1D96">
            <w:pPr>
              <w:pStyle w:val="TableText"/>
              <w:numPr>
                <w:ilvl w:val="0"/>
                <w:numId w:val="3"/>
              </w:numPr>
              <w:rPr>
                <w:rFonts w:ascii="Calibri" w:hAnsi="Calibri"/>
                <w:sz w:val="24"/>
                <w:szCs w:val="24"/>
              </w:rPr>
            </w:pPr>
          </w:p>
        </w:tc>
        <w:tc>
          <w:tcPr>
            <w:tcW w:w="9365" w:type="dxa"/>
            <w:gridSpan w:val="2"/>
          </w:tcPr>
          <w:p w:rsidR="00FC1D96" w:rsidRDefault="00FC1D96">
            <w:pPr>
              <w:pStyle w:val="TableText"/>
              <w:rPr>
                <w:rFonts w:ascii="Calibri" w:hAnsi="Calibri"/>
                <w:sz w:val="24"/>
                <w:szCs w:val="24"/>
              </w:rPr>
            </w:pPr>
            <w:r>
              <w:rPr>
                <w:rFonts w:ascii="Calibri" w:hAnsi="Calibri"/>
                <w:sz w:val="24"/>
                <w:szCs w:val="24"/>
              </w:rPr>
              <w:t>Precise specifications or samples of walling and roofing materials and details of any surface materials to be used including their colour and texture shall have been submitted to and approved by the Local Planning Authority before their use in the proposed works.</w:t>
            </w:r>
          </w:p>
          <w:p w:rsidR="00FC1D96" w:rsidRDefault="00FC1D96">
            <w:pPr>
              <w:pStyle w:val="TableText"/>
              <w:rPr>
                <w:rFonts w:ascii="Calibri" w:hAnsi="Calibri"/>
                <w:sz w:val="24"/>
                <w:szCs w:val="24"/>
              </w:rPr>
            </w:pPr>
          </w:p>
          <w:p w:rsidR="00FC1D96" w:rsidRDefault="00FC1D96">
            <w:pPr>
              <w:pStyle w:val="TableText"/>
              <w:rPr>
                <w:rFonts w:ascii="Calibri" w:hAnsi="Calibri"/>
                <w:sz w:val="24"/>
                <w:szCs w:val="24"/>
              </w:rPr>
            </w:pPr>
            <w:r>
              <w:rPr>
                <w:rFonts w:ascii="Calibri" w:hAnsi="Calibri"/>
                <w:sz w:val="24"/>
                <w:szCs w:val="24"/>
              </w:rPr>
              <w:t>Reason: To ensure that the materials to be used are appropriate to the locality.</w:t>
            </w:r>
          </w:p>
          <w:p w:rsidR="00FC1D96" w:rsidRPr="00DD62CA" w:rsidRDefault="00FC1D96">
            <w:pPr>
              <w:pStyle w:val="TableText"/>
              <w:rPr>
                <w:rFonts w:ascii="Calibri" w:hAnsi="Calibri"/>
                <w:sz w:val="24"/>
                <w:szCs w:val="24"/>
              </w:rPr>
            </w:pPr>
          </w:p>
        </w:tc>
      </w:tr>
      <w:tr w:rsidR="00FC1D96" w:rsidRPr="00DD62CA">
        <w:trPr>
          <w:cantSplit/>
          <w:trHeight w:val="527"/>
        </w:trPr>
        <w:tc>
          <w:tcPr>
            <w:tcW w:w="988" w:type="dxa"/>
          </w:tcPr>
          <w:p w:rsidR="00FC1D96" w:rsidRPr="00DD62CA" w:rsidRDefault="00FC1D96">
            <w:pPr>
              <w:pStyle w:val="TableText"/>
              <w:numPr>
                <w:ilvl w:val="0"/>
                <w:numId w:val="3"/>
              </w:numPr>
              <w:rPr>
                <w:rFonts w:ascii="Calibri" w:hAnsi="Calibri"/>
                <w:sz w:val="24"/>
                <w:szCs w:val="24"/>
              </w:rPr>
            </w:pPr>
          </w:p>
        </w:tc>
        <w:tc>
          <w:tcPr>
            <w:tcW w:w="9365" w:type="dxa"/>
            <w:gridSpan w:val="2"/>
          </w:tcPr>
          <w:p w:rsidR="00FC1D96" w:rsidRDefault="00FC1D96">
            <w:pPr>
              <w:pStyle w:val="TableText"/>
              <w:rPr>
                <w:rFonts w:ascii="Calibri" w:hAnsi="Calibri"/>
                <w:sz w:val="24"/>
                <w:szCs w:val="24"/>
              </w:rPr>
            </w:pPr>
            <w:r>
              <w:rPr>
                <w:rFonts w:ascii="Calibri" w:hAnsi="Calibri"/>
                <w:sz w:val="24"/>
                <w:szCs w:val="24"/>
              </w:rPr>
              <w:t>The development shall be carried out in strict accordance with the Arboricultural Method Statement by Yew Tree (dated 24/06/2016) approved under discharge of condition application 3/2016/0615. The amended driveway shall be constructed in strict accordance with the specific working methods contained on page 5 of the Method Statement.</w:t>
            </w:r>
          </w:p>
          <w:p w:rsidR="00FC1D96" w:rsidRDefault="00FC1D96">
            <w:pPr>
              <w:pStyle w:val="TableText"/>
              <w:rPr>
                <w:rFonts w:ascii="Calibri" w:hAnsi="Calibri"/>
                <w:sz w:val="24"/>
                <w:szCs w:val="24"/>
              </w:rPr>
            </w:pPr>
          </w:p>
          <w:p w:rsidR="00FC1D96" w:rsidRDefault="00FC1D96">
            <w:pPr>
              <w:pStyle w:val="TableText"/>
              <w:rPr>
                <w:rFonts w:ascii="Calibri" w:hAnsi="Calibri"/>
                <w:sz w:val="24"/>
                <w:szCs w:val="24"/>
              </w:rPr>
            </w:pPr>
            <w:r>
              <w:rPr>
                <w:rFonts w:ascii="Calibri" w:hAnsi="Calibri"/>
                <w:sz w:val="24"/>
                <w:szCs w:val="24"/>
              </w:rPr>
              <w:t>All trees identified for retention shall be protected with a root protection area in accordance with the BS5837 [Trees in Relation to Construction]. No tree surgery or pruning works (other than that agreed within the approved details) shall be implemented without prior written permission of the Local Planning Authority, and such works shall only be granted when the Authority is satisfied that it is necessary, will be in accordance with BS3998 for tree work and will be carried out by an approved arboricultural contractor.</w:t>
            </w:r>
          </w:p>
          <w:p w:rsidR="00FC1D96" w:rsidRDefault="00FC1D96">
            <w:pPr>
              <w:pStyle w:val="TableText"/>
              <w:rPr>
                <w:rFonts w:ascii="Calibri" w:hAnsi="Calibri"/>
                <w:sz w:val="24"/>
                <w:szCs w:val="24"/>
              </w:rPr>
            </w:pPr>
            <w:r>
              <w:rPr>
                <w:rFonts w:ascii="Calibri" w:hAnsi="Calibri"/>
                <w:sz w:val="24"/>
                <w:szCs w:val="24"/>
              </w:rPr>
              <w:t xml:space="preserve"> </w:t>
            </w:r>
          </w:p>
          <w:p w:rsidR="00FC1D96" w:rsidRDefault="00FC1D96">
            <w:pPr>
              <w:pStyle w:val="TableText"/>
              <w:rPr>
                <w:rFonts w:ascii="Calibri" w:hAnsi="Calibri"/>
                <w:sz w:val="24"/>
                <w:szCs w:val="24"/>
              </w:rPr>
            </w:pPr>
            <w:r>
              <w:rPr>
                <w:rFonts w:ascii="Calibri" w:hAnsi="Calibri"/>
                <w:sz w:val="24"/>
                <w:szCs w:val="24"/>
              </w:rPr>
              <w:t>Reason: In order to ensure that the trees within the site that are to be retained are afforded maximum physical protection from the adverse effects of development.</w:t>
            </w:r>
          </w:p>
          <w:p w:rsidR="00FC1D96" w:rsidRPr="00DD62CA" w:rsidRDefault="00FC1D96">
            <w:pPr>
              <w:pStyle w:val="TableText"/>
              <w:rPr>
                <w:rFonts w:ascii="Calibri" w:hAnsi="Calibri"/>
                <w:sz w:val="24"/>
                <w:szCs w:val="24"/>
              </w:rPr>
            </w:pPr>
          </w:p>
        </w:tc>
      </w:tr>
      <w:tr w:rsidR="00FC1D96" w:rsidRPr="00DD62CA">
        <w:trPr>
          <w:cantSplit/>
          <w:trHeight w:val="527"/>
        </w:trPr>
        <w:tc>
          <w:tcPr>
            <w:tcW w:w="988" w:type="dxa"/>
          </w:tcPr>
          <w:p w:rsidR="00FC1D96" w:rsidRPr="00DD62CA" w:rsidRDefault="00FC1D96">
            <w:pPr>
              <w:pStyle w:val="TableText"/>
              <w:numPr>
                <w:ilvl w:val="0"/>
                <w:numId w:val="3"/>
              </w:numPr>
              <w:rPr>
                <w:rFonts w:ascii="Calibri" w:hAnsi="Calibri"/>
                <w:sz w:val="24"/>
                <w:szCs w:val="24"/>
              </w:rPr>
            </w:pPr>
          </w:p>
        </w:tc>
        <w:tc>
          <w:tcPr>
            <w:tcW w:w="9365" w:type="dxa"/>
            <w:gridSpan w:val="2"/>
          </w:tcPr>
          <w:p w:rsidR="00FC1D96" w:rsidRDefault="00FC1D96">
            <w:pPr>
              <w:pStyle w:val="TableText"/>
              <w:rPr>
                <w:rFonts w:ascii="Calibri" w:hAnsi="Calibri"/>
                <w:sz w:val="24"/>
                <w:szCs w:val="24"/>
              </w:rPr>
            </w:pPr>
            <w:r>
              <w:rPr>
                <w:rFonts w:ascii="Calibri" w:hAnsi="Calibri"/>
                <w:sz w:val="24"/>
                <w:szCs w:val="24"/>
              </w:rPr>
              <w:t>The approved landscaping scheme (dwg ref. Soft Landscaping - planting proposals (Version 3, dated 14/07/2020) shall be implemented in the first planting season following occupation or use of the development and shall be maintained thereafter for a period of not less than 5 years to the satisfaction of the Local Planning Authority. This maintenance shall include the replacement of any tree or shrub which is removed, or dies, or is seriously damaged, or becomes seriously diseased, by a species of similar size to those originally planted.</w:t>
            </w:r>
          </w:p>
          <w:p w:rsidR="00FC1D96" w:rsidRDefault="00FC1D96">
            <w:pPr>
              <w:pStyle w:val="TableText"/>
              <w:rPr>
                <w:rFonts w:ascii="Calibri" w:hAnsi="Calibri"/>
                <w:sz w:val="24"/>
                <w:szCs w:val="24"/>
              </w:rPr>
            </w:pPr>
          </w:p>
          <w:p w:rsidR="00FC1D96" w:rsidRDefault="00FC1D96">
            <w:pPr>
              <w:pStyle w:val="TableText"/>
              <w:rPr>
                <w:rFonts w:ascii="Calibri" w:hAnsi="Calibri"/>
                <w:sz w:val="24"/>
                <w:szCs w:val="24"/>
              </w:rPr>
            </w:pPr>
            <w:r>
              <w:rPr>
                <w:rFonts w:ascii="Calibri" w:hAnsi="Calibri"/>
                <w:sz w:val="24"/>
                <w:szCs w:val="24"/>
              </w:rPr>
              <w:t>Reason: In the interests of the amenity of the area.</w:t>
            </w:r>
          </w:p>
          <w:p w:rsidR="00FC1D96" w:rsidRPr="00DD62CA" w:rsidRDefault="00FC1D96">
            <w:pPr>
              <w:pStyle w:val="TableText"/>
              <w:rPr>
                <w:rFonts w:ascii="Calibri" w:hAnsi="Calibri"/>
                <w:sz w:val="24"/>
                <w:szCs w:val="24"/>
              </w:rPr>
            </w:pPr>
          </w:p>
        </w:tc>
      </w:tr>
      <w:tr w:rsidR="00FC1D96" w:rsidRPr="00DD62CA">
        <w:trPr>
          <w:cantSplit/>
          <w:trHeight w:val="527"/>
        </w:trPr>
        <w:tc>
          <w:tcPr>
            <w:tcW w:w="988" w:type="dxa"/>
          </w:tcPr>
          <w:p w:rsidR="00FC1D96" w:rsidRPr="00DD62CA" w:rsidRDefault="00FC1D96">
            <w:pPr>
              <w:pStyle w:val="TableText"/>
              <w:numPr>
                <w:ilvl w:val="0"/>
                <w:numId w:val="3"/>
              </w:numPr>
              <w:rPr>
                <w:rFonts w:ascii="Calibri" w:hAnsi="Calibri"/>
                <w:sz w:val="24"/>
                <w:szCs w:val="24"/>
              </w:rPr>
            </w:pPr>
          </w:p>
        </w:tc>
        <w:tc>
          <w:tcPr>
            <w:tcW w:w="9365" w:type="dxa"/>
            <w:gridSpan w:val="2"/>
          </w:tcPr>
          <w:p w:rsidR="00FC1D96" w:rsidRDefault="00FC1D96">
            <w:pPr>
              <w:pStyle w:val="TableText"/>
              <w:rPr>
                <w:rFonts w:ascii="Calibri" w:hAnsi="Calibri"/>
                <w:sz w:val="24"/>
                <w:szCs w:val="24"/>
              </w:rPr>
            </w:pPr>
            <w:r>
              <w:rPr>
                <w:rFonts w:ascii="Calibri" w:hAnsi="Calibri"/>
                <w:sz w:val="24"/>
                <w:szCs w:val="24"/>
              </w:rPr>
              <w:t xml:space="preserve">Notwithstanding the provisions of Classes A to H of Part 1 of the Town and Country Planning (General Permitted Development) (England) Order 2015, or any Order revoking and re-enacting that Order, the dwelling hereby permitted shall not be altered or extended, no new windows shall be inserted, and no buildings or structures shall be erected within the curtilage unless planning permission has first been granted by the Local Planning Authority. </w:t>
            </w:r>
          </w:p>
          <w:p w:rsidR="00FC1D96" w:rsidRDefault="00FC1D96">
            <w:pPr>
              <w:pStyle w:val="TableText"/>
              <w:rPr>
                <w:rFonts w:ascii="Calibri" w:hAnsi="Calibri"/>
                <w:sz w:val="24"/>
                <w:szCs w:val="24"/>
              </w:rPr>
            </w:pPr>
          </w:p>
          <w:p w:rsidR="00FC1D96" w:rsidRDefault="00FC1D96">
            <w:pPr>
              <w:pStyle w:val="TableText"/>
              <w:rPr>
                <w:rFonts w:ascii="Calibri" w:hAnsi="Calibri"/>
                <w:sz w:val="24"/>
                <w:szCs w:val="24"/>
              </w:rPr>
            </w:pPr>
            <w:r>
              <w:rPr>
                <w:rFonts w:ascii="Calibri" w:hAnsi="Calibri"/>
                <w:sz w:val="24"/>
                <w:szCs w:val="24"/>
              </w:rPr>
              <w:t>Reason: To enable the Local Planning Authority to exercise control over development which could materially harm the character and visual amenities of the development and locality.</w:t>
            </w:r>
          </w:p>
          <w:p w:rsidR="00FC1D96" w:rsidRPr="00DD62CA" w:rsidRDefault="00FC1D96">
            <w:pPr>
              <w:pStyle w:val="TableText"/>
              <w:rPr>
                <w:rFonts w:ascii="Calibri" w:hAnsi="Calibri"/>
                <w:sz w:val="24"/>
                <w:szCs w:val="24"/>
              </w:rPr>
            </w:pPr>
          </w:p>
        </w:tc>
      </w:tr>
      <w:tr w:rsidR="00FC1D96" w:rsidRPr="00DD62CA">
        <w:trPr>
          <w:cantSplit/>
          <w:trHeight w:val="527"/>
        </w:trPr>
        <w:tc>
          <w:tcPr>
            <w:tcW w:w="988" w:type="dxa"/>
          </w:tcPr>
          <w:p w:rsidR="00FC1D96" w:rsidRPr="00DD62CA" w:rsidRDefault="00FC1D96">
            <w:pPr>
              <w:pStyle w:val="TableText"/>
              <w:numPr>
                <w:ilvl w:val="0"/>
                <w:numId w:val="3"/>
              </w:numPr>
              <w:rPr>
                <w:rFonts w:ascii="Calibri" w:hAnsi="Calibri"/>
                <w:sz w:val="24"/>
                <w:szCs w:val="24"/>
              </w:rPr>
            </w:pPr>
          </w:p>
        </w:tc>
        <w:tc>
          <w:tcPr>
            <w:tcW w:w="9365" w:type="dxa"/>
            <w:gridSpan w:val="2"/>
          </w:tcPr>
          <w:p w:rsidR="00FC1D96" w:rsidRDefault="00FC1D96">
            <w:pPr>
              <w:pStyle w:val="TableText"/>
              <w:rPr>
                <w:rFonts w:ascii="Calibri" w:hAnsi="Calibri"/>
                <w:sz w:val="24"/>
                <w:szCs w:val="24"/>
              </w:rPr>
            </w:pPr>
            <w:r>
              <w:rPr>
                <w:rFonts w:ascii="Calibri" w:hAnsi="Calibri"/>
                <w:sz w:val="24"/>
                <w:szCs w:val="24"/>
              </w:rPr>
              <w:t>Notwithstanding the provisions of Class A Schedule 2 Part 2 of the Town and Country Planning (General Permitted Development) Order 2015, or any Order revoking and re-enacting that Order, no gates, walls, fences or other means of enclosure shall be erected within the curtilage of the dwelling unless planning permission has first been granted by the Local Planning Authority.</w:t>
            </w:r>
          </w:p>
          <w:p w:rsidR="00FC1D96" w:rsidRDefault="00FC1D96">
            <w:pPr>
              <w:pStyle w:val="TableText"/>
              <w:rPr>
                <w:rFonts w:ascii="Calibri" w:hAnsi="Calibri"/>
                <w:sz w:val="24"/>
                <w:szCs w:val="24"/>
              </w:rPr>
            </w:pPr>
          </w:p>
          <w:p w:rsidR="00FC1D96" w:rsidRDefault="00FC1D96">
            <w:pPr>
              <w:pStyle w:val="TableText"/>
              <w:rPr>
                <w:rFonts w:ascii="Calibri" w:hAnsi="Calibri"/>
                <w:sz w:val="24"/>
                <w:szCs w:val="24"/>
              </w:rPr>
            </w:pPr>
            <w:r>
              <w:rPr>
                <w:rFonts w:ascii="Calibri" w:hAnsi="Calibri"/>
                <w:sz w:val="24"/>
                <w:szCs w:val="24"/>
              </w:rPr>
              <w:t>Reason: To enable the Local Planning Authority to exercise control over development which could materially harm the character and visual amenities of the development and locality.</w:t>
            </w:r>
          </w:p>
          <w:p w:rsidR="00FC1D96" w:rsidRPr="00DD62CA" w:rsidRDefault="00FC1D96">
            <w:pPr>
              <w:pStyle w:val="TableText"/>
              <w:rPr>
                <w:rFonts w:ascii="Calibri" w:hAnsi="Calibri"/>
                <w:sz w:val="24"/>
                <w:szCs w:val="24"/>
              </w:rPr>
            </w:pPr>
          </w:p>
        </w:tc>
      </w:tr>
      <w:tr w:rsidR="00FC1D96" w:rsidRPr="00DD62CA">
        <w:trPr>
          <w:cantSplit/>
          <w:trHeight w:val="527"/>
        </w:trPr>
        <w:tc>
          <w:tcPr>
            <w:tcW w:w="988" w:type="dxa"/>
          </w:tcPr>
          <w:p w:rsidR="00FC1D96" w:rsidRPr="00DD62CA" w:rsidRDefault="00FC1D96">
            <w:pPr>
              <w:pStyle w:val="TableText"/>
              <w:numPr>
                <w:ilvl w:val="0"/>
                <w:numId w:val="3"/>
              </w:numPr>
              <w:rPr>
                <w:rFonts w:ascii="Calibri" w:hAnsi="Calibri"/>
                <w:sz w:val="24"/>
                <w:szCs w:val="24"/>
              </w:rPr>
            </w:pPr>
          </w:p>
        </w:tc>
        <w:tc>
          <w:tcPr>
            <w:tcW w:w="9365" w:type="dxa"/>
            <w:gridSpan w:val="2"/>
          </w:tcPr>
          <w:p w:rsidR="00FC1D96" w:rsidRDefault="00FC1D96">
            <w:pPr>
              <w:pStyle w:val="TableText"/>
              <w:rPr>
                <w:rFonts w:ascii="Calibri" w:hAnsi="Calibri"/>
                <w:sz w:val="24"/>
                <w:szCs w:val="24"/>
              </w:rPr>
            </w:pPr>
            <w:r>
              <w:rPr>
                <w:rFonts w:ascii="Calibri" w:hAnsi="Calibri"/>
                <w:sz w:val="24"/>
                <w:szCs w:val="24"/>
              </w:rPr>
              <w:t xml:space="preserve">The development hereby approved shall be carried out in complete accordance with the Construction Method Statement (Ref: 4285 - 11) approved under discharge of condition application 3/2016/0615. </w:t>
            </w:r>
          </w:p>
          <w:p w:rsidR="00FC1D96" w:rsidRDefault="00FC1D96">
            <w:pPr>
              <w:pStyle w:val="TableText"/>
              <w:rPr>
                <w:rFonts w:ascii="Calibri" w:hAnsi="Calibri"/>
                <w:sz w:val="24"/>
                <w:szCs w:val="24"/>
              </w:rPr>
            </w:pPr>
          </w:p>
          <w:p w:rsidR="00FC1D96" w:rsidRDefault="00FC1D96">
            <w:pPr>
              <w:pStyle w:val="TableText"/>
              <w:rPr>
                <w:rFonts w:ascii="Calibri" w:hAnsi="Calibri"/>
                <w:sz w:val="24"/>
                <w:szCs w:val="24"/>
              </w:rPr>
            </w:pPr>
            <w:r>
              <w:rPr>
                <w:rFonts w:ascii="Calibri" w:hAnsi="Calibri"/>
                <w:sz w:val="24"/>
                <w:szCs w:val="24"/>
              </w:rPr>
              <w:t xml:space="preserve">Reason: In order to ensure safe working practices on or near the highway in the interests of road safety and residential amenity. </w:t>
            </w:r>
          </w:p>
          <w:p w:rsidR="00FC1D96" w:rsidRPr="00DD62CA" w:rsidRDefault="00FC1D96">
            <w:pPr>
              <w:pStyle w:val="TableText"/>
              <w:rPr>
                <w:rFonts w:ascii="Calibri" w:hAnsi="Calibri"/>
                <w:sz w:val="24"/>
                <w:szCs w:val="24"/>
              </w:rPr>
            </w:pPr>
          </w:p>
        </w:tc>
      </w:tr>
      <w:tr w:rsidR="00FC1D96" w:rsidRPr="00DD62CA">
        <w:trPr>
          <w:cantSplit/>
          <w:trHeight w:val="527"/>
        </w:trPr>
        <w:tc>
          <w:tcPr>
            <w:tcW w:w="988" w:type="dxa"/>
          </w:tcPr>
          <w:p w:rsidR="00FC1D96" w:rsidRPr="00DD62CA" w:rsidRDefault="00FC1D96">
            <w:pPr>
              <w:pStyle w:val="TableText"/>
              <w:numPr>
                <w:ilvl w:val="0"/>
                <w:numId w:val="3"/>
              </w:numPr>
              <w:rPr>
                <w:rFonts w:ascii="Calibri" w:hAnsi="Calibri"/>
                <w:sz w:val="24"/>
                <w:szCs w:val="24"/>
              </w:rPr>
            </w:pPr>
          </w:p>
        </w:tc>
        <w:tc>
          <w:tcPr>
            <w:tcW w:w="9365" w:type="dxa"/>
            <w:gridSpan w:val="2"/>
          </w:tcPr>
          <w:p w:rsidR="00FC1D96" w:rsidRDefault="00FC1D96">
            <w:pPr>
              <w:pStyle w:val="TableText"/>
              <w:rPr>
                <w:rFonts w:ascii="Calibri" w:hAnsi="Calibri"/>
                <w:sz w:val="24"/>
                <w:szCs w:val="24"/>
              </w:rPr>
            </w:pPr>
            <w:r>
              <w:rPr>
                <w:rFonts w:ascii="Calibri" w:hAnsi="Calibri"/>
                <w:sz w:val="24"/>
                <w:szCs w:val="24"/>
              </w:rPr>
              <w:t>The existing stone wall on the northern boundary of the site to Hammond Drive shall not at any time be demolished in whole or in part, nor shall it be altered in any way, except for the purposes of widening the access in accordance with the approved plans.</w:t>
            </w:r>
          </w:p>
          <w:p w:rsidR="00FC1D96" w:rsidRDefault="00FC1D96">
            <w:pPr>
              <w:pStyle w:val="TableText"/>
              <w:rPr>
                <w:rFonts w:ascii="Calibri" w:hAnsi="Calibri"/>
                <w:sz w:val="24"/>
                <w:szCs w:val="24"/>
              </w:rPr>
            </w:pPr>
          </w:p>
          <w:p w:rsidR="00FC1D96" w:rsidRDefault="00FC1D96">
            <w:pPr>
              <w:pStyle w:val="TableText"/>
              <w:rPr>
                <w:rFonts w:ascii="Calibri" w:hAnsi="Calibri"/>
                <w:sz w:val="24"/>
                <w:szCs w:val="24"/>
              </w:rPr>
            </w:pPr>
            <w:r>
              <w:rPr>
                <w:rFonts w:ascii="Calibri" w:hAnsi="Calibri"/>
                <w:sz w:val="24"/>
                <w:szCs w:val="24"/>
              </w:rPr>
              <w:t>Reason: In order to ensure the protection of this historic feature of the locality, in the interests of visual amenity, the amenities of existing nearby residents and highway safety.</w:t>
            </w:r>
          </w:p>
          <w:p w:rsidR="00FC1D96" w:rsidRPr="00DD62CA" w:rsidRDefault="00FC1D96">
            <w:pPr>
              <w:pStyle w:val="TableText"/>
              <w:rPr>
                <w:rFonts w:ascii="Calibri" w:hAnsi="Calibri"/>
                <w:sz w:val="24"/>
                <w:szCs w:val="24"/>
              </w:rPr>
            </w:pPr>
          </w:p>
        </w:tc>
      </w:tr>
      <w:tr w:rsidR="00FC1D96" w:rsidRPr="00DD62CA">
        <w:trPr>
          <w:cantSplit/>
          <w:trHeight w:val="527"/>
        </w:trPr>
        <w:tc>
          <w:tcPr>
            <w:tcW w:w="988" w:type="dxa"/>
          </w:tcPr>
          <w:p w:rsidR="00FC1D96" w:rsidRPr="00DD62CA" w:rsidRDefault="00FC1D96">
            <w:pPr>
              <w:pStyle w:val="TableText"/>
              <w:numPr>
                <w:ilvl w:val="0"/>
                <w:numId w:val="3"/>
              </w:numPr>
              <w:rPr>
                <w:rFonts w:ascii="Calibri" w:hAnsi="Calibri"/>
                <w:sz w:val="24"/>
                <w:szCs w:val="24"/>
              </w:rPr>
            </w:pPr>
          </w:p>
        </w:tc>
        <w:tc>
          <w:tcPr>
            <w:tcW w:w="9365" w:type="dxa"/>
            <w:gridSpan w:val="2"/>
          </w:tcPr>
          <w:p w:rsidR="00FC1D96" w:rsidRDefault="00FC1D96">
            <w:pPr>
              <w:pStyle w:val="TableText"/>
              <w:rPr>
                <w:rFonts w:ascii="Calibri" w:hAnsi="Calibri"/>
                <w:sz w:val="24"/>
                <w:szCs w:val="24"/>
              </w:rPr>
            </w:pPr>
            <w:r>
              <w:rPr>
                <w:rFonts w:ascii="Calibri" w:hAnsi="Calibri"/>
                <w:sz w:val="24"/>
                <w:szCs w:val="24"/>
              </w:rPr>
              <w:t xml:space="preserve">The access, car parking and manoeuvring areas shall be laid out in accordance with the approved plan (1946/2/00A) before the dwelling hereby approved is first brought into use and shall be permanently maintained as such thereafter. </w:t>
            </w:r>
          </w:p>
          <w:p w:rsidR="00FC1D96" w:rsidRDefault="00FC1D96">
            <w:pPr>
              <w:pStyle w:val="TableText"/>
              <w:rPr>
                <w:rFonts w:ascii="Calibri" w:hAnsi="Calibri"/>
                <w:sz w:val="24"/>
                <w:szCs w:val="24"/>
              </w:rPr>
            </w:pPr>
          </w:p>
          <w:p w:rsidR="00FC1D96" w:rsidRDefault="00FC1D96">
            <w:pPr>
              <w:pStyle w:val="TableText"/>
              <w:rPr>
                <w:rFonts w:ascii="Calibri" w:hAnsi="Calibri"/>
                <w:sz w:val="24"/>
                <w:szCs w:val="24"/>
              </w:rPr>
            </w:pPr>
            <w:r>
              <w:rPr>
                <w:rFonts w:ascii="Calibri" w:hAnsi="Calibri"/>
                <w:sz w:val="24"/>
                <w:szCs w:val="24"/>
              </w:rPr>
              <w:t>Reason: To allow for the effective use of the parking areas.</w:t>
            </w:r>
          </w:p>
          <w:p w:rsidR="00FC1D96" w:rsidRPr="00DD62CA" w:rsidRDefault="00FC1D96">
            <w:pPr>
              <w:pStyle w:val="TableText"/>
              <w:rPr>
                <w:rFonts w:ascii="Calibri" w:hAnsi="Calibri"/>
                <w:sz w:val="24"/>
                <w:szCs w:val="24"/>
              </w:rPr>
            </w:pPr>
          </w:p>
        </w:tc>
      </w:tr>
      <w:tr w:rsidR="00FC1D96" w:rsidRPr="00DD62CA">
        <w:trPr>
          <w:cantSplit/>
          <w:trHeight w:val="527"/>
        </w:trPr>
        <w:tc>
          <w:tcPr>
            <w:tcW w:w="988" w:type="dxa"/>
          </w:tcPr>
          <w:p w:rsidR="00FC1D96" w:rsidRPr="00DD62CA" w:rsidRDefault="00FC1D96">
            <w:pPr>
              <w:pStyle w:val="TableText"/>
              <w:numPr>
                <w:ilvl w:val="0"/>
                <w:numId w:val="3"/>
              </w:numPr>
              <w:rPr>
                <w:rFonts w:ascii="Calibri" w:hAnsi="Calibri"/>
                <w:sz w:val="24"/>
                <w:szCs w:val="24"/>
              </w:rPr>
            </w:pPr>
          </w:p>
        </w:tc>
        <w:tc>
          <w:tcPr>
            <w:tcW w:w="9365" w:type="dxa"/>
            <w:gridSpan w:val="2"/>
          </w:tcPr>
          <w:p w:rsidR="00FC1D96" w:rsidRDefault="00FC1D96">
            <w:pPr>
              <w:pStyle w:val="TableText"/>
              <w:rPr>
                <w:rFonts w:ascii="Calibri" w:hAnsi="Calibri"/>
                <w:sz w:val="24"/>
                <w:szCs w:val="24"/>
              </w:rPr>
            </w:pPr>
            <w:r>
              <w:rPr>
                <w:rFonts w:ascii="Calibri" w:hAnsi="Calibri"/>
                <w:sz w:val="24"/>
                <w:szCs w:val="24"/>
              </w:rPr>
              <w:t>The proposed garaging shall not be used for any purpose (including any purpose ordinarily incidental to the enjoyment of the dwelling house as such) which would preclude its use for the parking of a private motor vehicle.</w:t>
            </w:r>
          </w:p>
          <w:p w:rsidR="00FC1D96" w:rsidRDefault="00FC1D96">
            <w:pPr>
              <w:pStyle w:val="TableText"/>
              <w:rPr>
                <w:rFonts w:ascii="Calibri" w:hAnsi="Calibri"/>
                <w:sz w:val="24"/>
                <w:szCs w:val="24"/>
              </w:rPr>
            </w:pPr>
          </w:p>
          <w:p w:rsidR="00FC1D96" w:rsidRDefault="00FC1D96">
            <w:pPr>
              <w:pStyle w:val="TableText"/>
              <w:rPr>
                <w:rFonts w:ascii="Calibri" w:hAnsi="Calibri"/>
                <w:sz w:val="24"/>
                <w:szCs w:val="24"/>
              </w:rPr>
            </w:pPr>
            <w:r>
              <w:rPr>
                <w:rFonts w:ascii="Calibri" w:hAnsi="Calibri"/>
                <w:sz w:val="24"/>
                <w:szCs w:val="24"/>
              </w:rPr>
              <w:t>Reason: In the interests of visual amenity and to facilitate adequate vehicle parking and/or turning facilities to serve the dwelling</w:t>
            </w:r>
          </w:p>
          <w:p w:rsidR="00FC1D96" w:rsidRPr="00DD62CA" w:rsidRDefault="00FC1D96">
            <w:pPr>
              <w:pStyle w:val="TableText"/>
              <w:rPr>
                <w:rFonts w:ascii="Calibri" w:hAnsi="Calibri"/>
                <w:sz w:val="24"/>
                <w:szCs w:val="24"/>
              </w:rPr>
            </w:pPr>
          </w:p>
        </w:tc>
      </w:tr>
      <w:tr w:rsidR="00FC1D96" w:rsidRPr="00DD62CA">
        <w:trPr>
          <w:cantSplit/>
          <w:trHeight w:val="527"/>
        </w:trPr>
        <w:tc>
          <w:tcPr>
            <w:tcW w:w="988" w:type="dxa"/>
          </w:tcPr>
          <w:p w:rsidR="00FC1D96" w:rsidRPr="00DD62CA" w:rsidRDefault="00FC1D96">
            <w:pPr>
              <w:pStyle w:val="TableText"/>
              <w:numPr>
                <w:ilvl w:val="0"/>
                <w:numId w:val="3"/>
              </w:numPr>
              <w:rPr>
                <w:rFonts w:ascii="Calibri" w:hAnsi="Calibri"/>
                <w:sz w:val="24"/>
                <w:szCs w:val="24"/>
              </w:rPr>
            </w:pPr>
          </w:p>
        </w:tc>
        <w:tc>
          <w:tcPr>
            <w:tcW w:w="9365" w:type="dxa"/>
            <w:gridSpan w:val="2"/>
          </w:tcPr>
          <w:p w:rsidR="00FC1D96" w:rsidRDefault="00FC1D96">
            <w:pPr>
              <w:pStyle w:val="TableText"/>
              <w:rPr>
                <w:rFonts w:ascii="Calibri" w:hAnsi="Calibri"/>
                <w:sz w:val="24"/>
                <w:szCs w:val="24"/>
              </w:rPr>
            </w:pPr>
            <w:r>
              <w:rPr>
                <w:rFonts w:ascii="Calibri" w:hAnsi="Calibri"/>
                <w:sz w:val="24"/>
                <w:szCs w:val="24"/>
              </w:rPr>
              <w:t>Before the access is used for vehicular purposes, that part of the access extending from the highway boundary for a minimum distance of 5m into the site shall be appropriately paved in permanent construction.</w:t>
            </w:r>
          </w:p>
          <w:p w:rsidR="00FC1D96" w:rsidRDefault="00FC1D96">
            <w:pPr>
              <w:pStyle w:val="TableText"/>
              <w:rPr>
                <w:rFonts w:ascii="Calibri" w:hAnsi="Calibri"/>
                <w:sz w:val="24"/>
                <w:szCs w:val="24"/>
              </w:rPr>
            </w:pPr>
          </w:p>
          <w:p w:rsidR="00FC1D96" w:rsidRDefault="00FC1D96">
            <w:pPr>
              <w:pStyle w:val="TableText"/>
              <w:rPr>
                <w:rFonts w:ascii="Calibri" w:hAnsi="Calibri"/>
                <w:sz w:val="24"/>
                <w:szCs w:val="24"/>
              </w:rPr>
            </w:pPr>
            <w:r>
              <w:rPr>
                <w:rFonts w:ascii="Calibri" w:hAnsi="Calibri"/>
                <w:sz w:val="24"/>
                <w:szCs w:val="24"/>
              </w:rPr>
              <w:t>Reason: To prevent loose surface material from being carried on to the public highway thus causing a potential source of danger to other road users.</w:t>
            </w:r>
          </w:p>
          <w:p w:rsidR="00FC1D96" w:rsidRPr="00DD62CA" w:rsidRDefault="00FC1D96">
            <w:pPr>
              <w:pStyle w:val="TableText"/>
              <w:rPr>
                <w:rFonts w:ascii="Calibri" w:hAnsi="Calibri"/>
                <w:sz w:val="24"/>
                <w:szCs w:val="24"/>
              </w:rPr>
            </w:pPr>
          </w:p>
        </w:tc>
      </w:tr>
      <w:tr w:rsidR="00FC1D96" w:rsidRPr="00DD62CA">
        <w:trPr>
          <w:cantSplit/>
          <w:trHeight w:val="527"/>
        </w:trPr>
        <w:tc>
          <w:tcPr>
            <w:tcW w:w="988" w:type="dxa"/>
          </w:tcPr>
          <w:p w:rsidR="00FC1D96" w:rsidRPr="00DD62CA" w:rsidRDefault="00FC1D96">
            <w:pPr>
              <w:pStyle w:val="TableText"/>
              <w:numPr>
                <w:ilvl w:val="0"/>
                <w:numId w:val="3"/>
              </w:numPr>
              <w:rPr>
                <w:rFonts w:ascii="Calibri" w:hAnsi="Calibri"/>
                <w:sz w:val="24"/>
                <w:szCs w:val="24"/>
              </w:rPr>
            </w:pPr>
          </w:p>
        </w:tc>
        <w:tc>
          <w:tcPr>
            <w:tcW w:w="9365" w:type="dxa"/>
            <w:gridSpan w:val="2"/>
          </w:tcPr>
          <w:p w:rsidR="00FC1D96" w:rsidRDefault="00FC1D96">
            <w:pPr>
              <w:pStyle w:val="TableText"/>
              <w:rPr>
                <w:rFonts w:ascii="Calibri" w:hAnsi="Calibri"/>
                <w:sz w:val="24"/>
                <w:szCs w:val="24"/>
              </w:rPr>
            </w:pPr>
            <w:r>
              <w:rPr>
                <w:rFonts w:ascii="Calibri" w:hAnsi="Calibri"/>
                <w:sz w:val="24"/>
                <w:szCs w:val="24"/>
              </w:rPr>
              <w:t>Notwithstanding the details shown on the approved plans, the fencing along the southern and western site boundaries shall be metal estate fencing not exceeding 1.2m in height and shall be erected prior to occupation of the dwelling and retained thereafter.</w:t>
            </w:r>
          </w:p>
          <w:p w:rsidR="00FC1D96" w:rsidRDefault="00FC1D96">
            <w:pPr>
              <w:pStyle w:val="TableText"/>
              <w:rPr>
                <w:rFonts w:ascii="Calibri" w:hAnsi="Calibri"/>
                <w:sz w:val="24"/>
                <w:szCs w:val="24"/>
              </w:rPr>
            </w:pPr>
          </w:p>
          <w:p w:rsidR="00FC1D96" w:rsidRDefault="00FC1D96">
            <w:pPr>
              <w:pStyle w:val="TableText"/>
              <w:rPr>
                <w:rFonts w:ascii="Calibri" w:hAnsi="Calibri"/>
                <w:sz w:val="24"/>
                <w:szCs w:val="24"/>
              </w:rPr>
            </w:pPr>
            <w:r>
              <w:rPr>
                <w:rFonts w:ascii="Calibri" w:hAnsi="Calibri"/>
                <w:sz w:val="24"/>
                <w:szCs w:val="24"/>
              </w:rPr>
              <w:t>Reason: To ensure that the materials to be used are appropriate to the locality.</w:t>
            </w:r>
          </w:p>
          <w:p w:rsidR="00FC1D96" w:rsidRPr="00DD62CA" w:rsidRDefault="00FC1D96">
            <w:pPr>
              <w:pStyle w:val="TableText"/>
              <w:rPr>
                <w:rFonts w:ascii="Calibri" w:hAnsi="Calibri"/>
                <w:sz w:val="24"/>
                <w:szCs w:val="24"/>
              </w:rPr>
            </w:pPr>
          </w:p>
        </w:tc>
      </w:tr>
      <w:tr w:rsidR="00FC1D96" w:rsidRPr="00DD62CA">
        <w:trPr>
          <w:cantSplit/>
          <w:trHeight w:val="527"/>
        </w:trPr>
        <w:tc>
          <w:tcPr>
            <w:tcW w:w="988" w:type="dxa"/>
          </w:tcPr>
          <w:p w:rsidR="00FC1D96" w:rsidRPr="00DD62CA" w:rsidRDefault="00FC1D96">
            <w:pPr>
              <w:pStyle w:val="TableText"/>
              <w:numPr>
                <w:ilvl w:val="0"/>
                <w:numId w:val="3"/>
              </w:numPr>
              <w:rPr>
                <w:rFonts w:ascii="Calibri" w:hAnsi="Calibri"/>
                <w:sz w:val="24"/>
                <w:szCs w:val="24"/>
              </w:rPr>
            </w:pPr>
          </w:p>
        </w:tc>
        <w:tc>
          <w:tcPr>
            <w:tcW w:w="9365" w:type="dxa"/>
            <w:gridSpan w:val="2"/>
          </w:tcPr>
          <w:p w:rsidR="00FC1D96" w:rsidRDefault="00FC1D96">
            <w:pPr>
              <w:pStyle w:val="TableText"/>
              <w:rPr>
                <w:rFonts w:ascii="Calibri" w:hAnsi="Calibri"/>
                <w:sz w:val="24"/>
                <w:szCs w:val="24"/>
              </w:rPr>
            </w:pPr>
            <w:r>
              <w:rPr>
                <w:rFonts w:ascii="Calibri" w:hAnsi="Calibri"/>
                <w:sz w:val="24"/>
                <w:szCs w:val="24"/>
              </w:rPr>
              <w:t xml:space="preserve">Full details of the alignment, height and appearance of all fences and walls and gates to be erected (notwithstanding any such detail shown on previously submitted plan(s)) shall have been submitted to and approved in writing by the Local Planning Authority.  </w:t>
            </w:r>
          </w:p>
          <w:p w:rsidR="00FC1D96" w:rsidRDefault="00FC1D96">
            <w:pPr>
              <w:pStyle w:val="TableText"/>
              <w:rPr>
                <w:rFonts w:ascii="Calibri" w:hAnsi="Calibri"/>
                <w:sz w:val="24"/>
                <w:szCs w:val="24"/>
              </w:rPr>
            </w:pPr>
          </w:p>
          <w:p w:rsidR="00FC1D96" w:rsidRDefault="00FC1D96">
            <w:pPr>
              <w:pStyle w:val="TableText"/>
              <w:rPr>
                <w:rFonts w:ascii="Calibri" w:hAnsi="Calibri"/>
                <w:sz w:val="24"/>
                <w:szCs w:val="24"/>
              </w:rPr>
            </w:pPr>
            <w:r>
              <w:rPr>
                <w:rFonts w:ascii="Calibri" w:hAnsi="Calibri"/>
                <w:sz w:val="24"/>
                <w:szCs w:val="24"/>
              </w:rPr>
              <w:t>The dwelling shall not be occupied until all fences and walls shown in the approved details to bound its plot have been erected in conformity with the approved details.</w:t>
            </w:r>
          </w:p>
          <w:p w:rsidR="00FC1D96" w:rsidRDefault="00FC1D96">
            <w:pPr>
              <w:pStyle w:val="TableText"/>
              <w:rPr>
                <w:rFonts w:ascii="Calibri" w:hAnsi="Calibri"/>
                <w:sz w:val="24"/>
                <w:szCs w:val="24"/>
              </w:rPr>
            </w:pPr>
          </w:p>
          <w:p w:rsidR="00FC1D96" w:rsidRDefault="00FC1D96">
            <w:pPr>
              <w:pStyle w:val="TableText"/>
              <w:rPr>
                <w:rFonts w:ascii="Calibri" w:hAnsi="Calibri"/>
                <w:sz w:val="24"/>
                <w:szCs w:val="24"/>
              </w:rPr>
            </w:pPr>
            <w:r>
              <w:rPr>
                <w:rFonts w:ascii="Calibri" w:hAnsi="Calibri"/>
                <w:sz w:val="24"/>
                <w:szCs w:val="24"/>
              </w:rPr>
              <w:t>Reason:  In the interests of the amenity of the area and to protect the amenities of occupiers of the adjacent dwellings.</w:t>
            </w:r>
          </w:p>
          <w:p w:rsidR="00FC1D96" w:rsidRPr="00DD62CA" w:rsidRDefault="00FC1D96">
            <w:pPr>
              <w:pStyle w:val="TableText"/>
              <w:rPr>
                <w:rFonts w:ascii="Calibri" w:hAnsi="Calibri"/>
                <w:sz w:val="24"/>
                <w:szCs w:val="24"/>
              </w:rPr>
            </w:pPr>
          </w:p>
        </w:tc>
      </w:tr>
      <w:tr w:rsidR="00FC1D96" w:rsidRPr="00DD62CA">
        <w:trPr>
          <w:cantSplit/>
          <w:trHeight w:val="527"/>
        </w:trPr>
        <w:tc>
          <w:tcPr>
            <w:tcW w:w="988" w:type="dxa"/>
          </w:tcPr>
          <w:p w:rsidR="00FC1D96" w:rsidRPr="00DD62CA" w:rsidRDefault="00FC1D96">
            <w:pPr>
              <w:pStyle w:val="TableText"/>
              <w:numPr>
                <w:ilvl w:val="0"/>
                <w:numId w:val="3"/>
              </w:numPr>
              <w:rPr>
                <w:rFonts w:ascii="Calibri" w:hAnsi="Calibri"/>
                <w:sz w:val="24"/>
                <w:szCs w:val="24"/>
              </w:rPr>
            </w:pPr>
          </w:p>
        </w:tc>
        <w:tc>
          <w:tcPr>
            <w:tcW w:w="9365" w:type="dxa"/>
            <w:gridSpan w:val="2"/>
          </w:tcPr>
          <w:p w:rsidR="00FC1D96" w:rsidRDefault="00FC1D96">
            <w:pPr>
              <w:pStyle w:val="TableText"/>
              <w:rPr>
                <w:rFonts w:ascii="Calibri" w:hAnsi="Calibri"/>
                <w:sz w:val="24"/>
                <w:szCs w:val="24"/>
              </w:rPr>
            </w:pPr>
            <w:r>
              <w:rPr>
                <w:rFonts w:ascii="Calibri" w:hAnsi="Calibri"/>
                <w:sz w:val="24"/>
                <w:szCs w:val="24"/>
              </w:rPr>
              <w:t>Foul and surface water shall be drained on separate systems.</w:t>
            </w:r>
          </w:p>
          <w:p w:rsidR="00FC1D96" w:rsidRDefault="00FC1D96">
            <w:pPr>
              <w:pStyle w:val="TableText"/>
              <w:rPr>
                <w:rFonts w:ascii="Calibri" w:hAnsi="Calibri"/>
                <w:sz w:val="24"/>
                <w:szCs w:val="24"/>
              </w:rPr>
            </w:pPr>
          </w:p>
          <w:p w:rsidR="00FC1D96" w:rsidRDefault="00FC1D96">
            <w:pPr>
              <w:pStyle w:val="TableText"/>
              <w:rPr>
                <w:rFonts w:ascii="Calibri" w:hAnsi="Calibri"/>
                <w:sz w:val="24"/>
                <w:szCs w:val="24"/>
              </w:rPr>
            </w:pPr>
            <w:r>
              <w:rPr>
                <w:rFonts w:ascii="Calibri" w:hAnsi="Calibri"/>
                <w:sz w:val="24"/>
                <w:szCs w:val="24"/>
              </w:rPr>
              <w:t>Reason: To secure proper drainage and to manage the risk of flooding and pollution.</w:t>
            </w:r>
          </w:p>
          <w:p w:rsidR="00FC1D96" w:rsidRPr="00DD62CA" w:rsidRDefault="00FC1D96">
            <w:pPr>
              <w:pStyle w:val="TableText"/>
              <w:rPr>
                <w:rFonts w:ascii="Calibri" w:hAnsi="Calibri"/>
                <w:sz w:val="24"/>
                <w:szCs w:val="24"/>
              </w:rPr>
            </w:pPr>
          </w:p>
        </w:tc>
      </w:tr>
      <w:bookmarkEnd w:id="1"/>
    </w:tbl>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tc>
          <w:tcPr>
            <w:tcW w:w="993" w:type="dxa"/>
          </w:tcPr>
          <w:p w:rsidR="0070149C" w:rsidRPr="00DD62CA" w:rsidRDefault="0070149C">
            <w:pPr>
              <w:pStyle w:val="TableText"/>
              <w:numPr>
                <w:ilvl w:val="0"/>
                <w:numId w:val="1"/>
              </w:numPr>
              <w:rPr>
                <w:rFonts w:ascii="Calibri" w:hAnsi="Calibri"/>
                <w:sz w:val="24"/>
                <w:szCs w:val="24"/>
              </w:rPr>
            </w:pPr>
          </w:p>
        </w:tc>
        <w:tc>
          <w:tcPr>
            <w:tcW w:w="9583" w:type="dxa"/>
          </w:tcPr>
          <w:p w:rsidR="0070149C" w:rsidRPr="00DD62CA" w:rsidRDefault="0070149C">
            <w:pPr>
              <w:pStyle w:val="TableText"/>
              <w:rPr>
                <w:rFonts w:ascii="Calibri" w:hAnsi="Calibri"/>
                <w:sz w:val="24"/>
                <w:szCs w:val="24"/>
              </w:rPr>
            </w:pPr>
            <w:r w:rsidRPr="00DD62CA">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tc>
      </w:tr>
    </w:tbl>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rsidTr="002C337D">
        <w:trPr>
          <w:cantSplit/>
        </w:trPr>
        <w:tc>
          <w:tcPr>
            <w:tcW w:w="10403" w:type="dxa"/>
          </w:tcPr>
          <w:p w:rsidR="0081123F" w:rsidRDefault="00E83FE1" w:rsidP="002C337D">
            <w:pPr>
              <w:rPr>
                <w:rFonts w:ascii="Calibri" w:hAnsi="Calibri"/>
                <w:b/>
                <w:sz w:val="24"/>
                <w:szCs w:val="24"/>
              </w:rPr>
            </w:pPr>
            <w:r>
              <w:rPr>
                <w:rFonts w:ascii="Calibri" w:hAnsi="Calibri"/>
                <w:b/>
                <w:sz w:val="24"/>
                <w:szCs w:val="24"/>
              </w:rPr>
              <w:t>NICOLA HOPKINS</w:t>
            </w:r>
          </w:p>
          <w:p w:rsidR="00E83FE1" w:rsidRPr="00641E0F" w:rsidRDefault="00E83FE1" w:rsidP="002C337D">
            <w:pPr>
              <w:rPr>
                <w:rFonts w:ascii="Calibri" w:hAnsi="Calibri"/>
                <w:b/>
                <w:bCs/>
                <w:sz w:val="24"/>
                <w:szCs w:val="24"/>
              </w:rPr>
            </w:pPr>
            <w:r>
              <w:rPr>
                <w:rFonts w:ascii="Calibri" w:hAnsi="Calibri"/>
                <w:b/>
                <w:sz w:val="24"/>
                <w:szCs w:val="24"/>
              </w:rPr>
              <w:t>DIRECTOR ECONOMIC DEVELOPMENT &amp; PLANNING</w:t>
            </w:r>
          </w:p>
        </w:tc>
      </w:tr>
    </w:tbl>
    <w:p w:rsidR="0081123F" w:rsidRDefault="0081123F" w:rsidP="0081123F">
      <w:pPr>
        <w:pStyle w:val="TableText"/>
      </w:pPr>
    </w:p>
    <w:p w:rsidR="002F3ADA" w:rsidRPr="00DD62CA" w:rsidRDefault="002F3ADA" w:rsidP="0081123F">
      <w:pPr>
        <w:tabs>
          <w:tab w:val="left" w:pos="2840"/>
        </w:tabs>
        <w:rPr>
          <w:rFonts w:ascii="Calibri" w:hAnsi="Calibri"/>
          <w:sz w:val="24"/>
          <w:szCs w:val="24"/>
        </w:rPr>
      </w:pPr>
    </w:p>
    <w:sectPr w:rsidR="002F3ADA" w:rsidRPr="00DD62CA">
      <w:headerReference w:type="default" r:id="rId7"/>
      <w:footerReference w:type="default" r:id="rId8"/>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1D96" w:rsidRDefault="00FC1D96">
      <w:r>
        <w:separator/>
      </w:r>
    </w:p>
  </w:endnote>
  <w:endnote w:type="continuationSeparator" w:id="0">
    <w:p w:rsidR="00FC1D96" w:rsidRDefault="00FC1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1D96" w:rsidRDefault="00FC1D96">
      <w:r>
        <w:separator/>
      </w:r>
    </w:p>
  </w:footnote>
  <w:footnote w:type="continuationSeparator" w:id="0">
    <w:p w:rsidR="00FC1D96" w:rsidRDefault="00FC1D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r>
      <w:t>RIBBLE VALLEY BOROUGH COUNCIL</w:t>
    </w:r>
  </w:p>
  <w:p w:rsidR="002F3ADA" w:rsidRDefault="002F3ADA">
    <w:pPr>
      <w:pStyle w:val="Heading1"/>
    </w:pPr>
    <w:r>
      <w:rPr>
        <w:b w:val="0"/>
        <w:bCs w:val="0"/>
      </w:rPr>
      <w:t>PLANNING PERMISSION CONTINUED</w:t>
    </w:r>
  </w:p>
  <w:p w:rsidR="002F3ADA" w:rsidRDefault="002F3ADA">
    <w:pPr>
      <w:pStyle w:val="addresses"/>
    </w:pPr>
  </w:p>
  <w:p w:rsidR="002F3ADA" w:rsidRDefault="002F3ADA">
    <w:pPr>
      <w:rPr>
        <w:b/>
        <w:bCs/>
      </w:rPr>
    </w:pPr>
    <w:r>
      <w:rPr>
        <w:b/>
        <w:bCs/>
      </w:rPr>
      <w:t xml:space="preserve">APPLICATION NO.  </w:t>
    </w:r>
    <w:r w:rsidR="00FC1D96">
      <w:rPr>
        <w:b/>
        <w:bCs/>
      </w:rPr>
      <w:t>3/2020/0449</w:t>
    </w:r>
    <w:r>
      <w:rPr>
        <w:b/>
        <w:bCs/>
      </w:rPr>
      <w:t xml:space="preserve">                                  DECISION DATE: </w:t>
    </w:r>
    <w:r w:rsidR="00FC1D96">
      <w:rPr>
        <w:b/>
        <w:bCs/>
      </w:rPr>
      <w:t>29/07/2020</w:t>
    </w:r>
  </w:p>
  <w:p w:rsidR="002F3ADA" w:rsidRDefault="002F3ADA">
    <w:pPr>
      <w:pBdr>
        <w:bottom w:val="single" w:sz="4" w:space="1" w:color="auto"/>
      </w:pBdr>
    </w:pPr>
  </w:p>
  <w:p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D96"/>
    <w:rsid w:val="00111C12"/>
    <w:rsid w:val="001613C3"/>
    <w:rsid w:val="00172E52"/>
    <w:rsid w:val="002C337D"/>
    <w:rsid w:val="002D5D44"/>
    <w:rsid w:val="002F3ADA"/>
    <w:rsid w:val="004B764D"/>
    <w:rsid w:val="0070149C"/>
    <w:rsid w:val="007C793E"/>
    <w:rsid w:val="0081123F"/>
    <w:rsid w:val="00AA358D"/>
    <w:rsid w:val="00C00AD7"/>
    <w:rsid w:val="00DD62CA"/>
    <w:rsid w:val="00E01248"/>
    <w:rsid w:val="00E83FE1"/>
    <w:rsid w:val="00E8780D"/>
    <w:rsid w:val="00FC1D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1F7D075-1EAB-4067-9515-A1CDF0463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styleId="BalloonText">
    <w:name w:val="Balloon Text"/>
    <w:basedOn w:val="Normal"/>
    <w:link w:val="BalloonTextChar"/>
    <w:uiPriority w:val="99"/>
    <w:semiHidden/>
    <w:unhideWhenUsed/>
    <w:rsid w:val="00FC1D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1D96"/>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joker\MVMLIVEapp\Planning\RVDEC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Template>
  <TotalTime>0</TotalTime>
  <Pages>4</Pages>
  <Words>1290</Words>
  <Characters>6986</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Tara Thompson</dc:creator>
  <cp:keywords/>
  <cp:lastModifiedBy>Tara Thompson</cp:lastModifiedBy>
  <cp:revision>2</cp:revision>
  <cp:lastPrinted>2020-07-29T09:29:00Z</cp:lastPrinted>
  <dcterms:created xsi:type="dcterms:W3CDTF">2020-07-29T09:31:00Z</dcterms:created>
  <dcterms:modified xsi:type="dcterms:W3CDTF">2020-07-29T09:31:00Z</dcterms:modified>
</cp:coreProperties>
</file>