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:rsidR="004936A6" w:rsidRPr="008C75E4" w:rsidRDefault="00461F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LE</w:t>
            </w: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:rsidR="004936A6" w:rsidRPr="008C75E4" w:rsidRDefault="00D6781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27.8.20</w:t>
            </w:r>
          </w:p>
        </w:tc>
        <w:tc>
          <w:tcPr>
            <w:tcW w:w="1098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:rsidR="00E06DFC" w:rsidRPr="008C75E4" w:rsidRDefault="00D6781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:rsidR="00E06DFC" w:rsidRPr="008C75E4" w:rsidRDefault="00D6781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:rsidR="004A5EA9" w:rsidRPr="008C75E4" w:rsidRDefault="00B559D3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3/2020/0482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150F5CC" wp14:editId="79F27BC8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:rsidR="004A5EA9" w:rsidRPr="008C75E4" w:rsidRDefault="00CF07FE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28.7.2020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:rsidR="004A5EA9" w:rsidRPr="00454754" w:rsidRDefault="00CF07FE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LE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:rsidR="00FD334A" w:rsidRPr="008C75E4" w:rsidRDefault="00CF07FE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REFUSE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:rsidR="004A5EA9" w:rsidRPr="008C75E4" w:rsidRDefault="00CF07FE">
            <w:pPr>
              <w:rPr>
                <w:rFonts w:ascii="Calibri" w:hAnsi="Calibri"/>
                <w:szCs w:val="22"/>
              </w:rPr>
            </w:pPr>
            <w:r w:rsidRPr="00CF07FE">
              <w:rPr>
                <w:rFonts w:ascii="Calibri" w:hAnsi="Calibri"/>
                <w:szCs w:val="22"/>
              </w:rPr>
              <w:t xml:space="preserve">Erection of new stable block and change of use of land for all-weather </w:t>
            </w:r>
            <w:proofErr w:type="spellStart"/>
            <w:r w:rsidRPr="00CF07FE">
              <w:rPr>
                <w:rFonts w:ascii="Calibri" w:hAnsi="Calibri"/>
                <w:szCs w:val="22"/>
              </w:rPr>
              <w:t>manege</w:t>
            </w:r>
            <w:proofErr w:type="spellEnd"/>
            <w:r w:rsidRPr="00CF07FE">
              <w:rPr>
                <w:rFonts w:ascii="Calibri" w:hAnsi="Calibri"/>
                <w:szCs w:val="22"/>
              </w:rPr>
              <w:t xml:space="preserve"> for private use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:rsidR="002A01CF" w:rsidRPr="008C75E4" w:rsidRDefault="00CF07FE" w:rsidP="00A42E82">
            <w:pPr>
              <w:rPr>
                <w:rFonts w:ascii="Calibri" w:hAnsi="Calibri"/>
                <w:szCs w:val="22"/>
              </w:rPr>
            </w:pPr>
            <w:r w:rsidRPr="00CF07FE">
              <w:rPr>
                <w:rFonts w:ascii="Calibri" w:hAnsi="Calibri"/>
                <w:szCs w:val="22"/>
              </w:rPr>
              <w:t xml:space="preserve">Kitchens Cross Lane </w:t>
            </w:r>
            <w:proofErr w:type="spellStart"/>
            <w:r w:rsidRPr="00CF07FE">
              <w:rPr>
                <w:rFonts w:ascii="Calibri" w:hAnsi="Calibri"/>
                <w:szCs w:val="22"/>
              </w:rPr>
              <w:t>Bashall</w:t>
            </w:r>
            <w:proofErr w:type="spellEnd"/>
            <w:r w:rsidRPr="00CF07FE">
              <w:rPr>
                <w:rFonts w:ascii="Calibri" w:hAnsi="Calibri"/>
                <w:szCs w:val="22"/>
              </w:rPr>
              <w:t xml:space="preserve"> Eaves BB7 3NA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455AEF" w:rsidRPr="009825FF" w:rsidRDefault="00383F60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response to date</w:t>
            </w:r>
            <w:r w:rsidR="00234D32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:rsidR="002A01CF" w:rsidRPr="00245773" w:rsidRDefault="00BF54B5" w:rsidP="006126D1">
            <w:pPr>
              <w:jc w:val="both"/>
              <w:rPr>
                <w:rFonts w:ascii="Calibri" w:hAnsi="Calibri"/>
                <w:szCs w:val="22"/>
              </w:rPr>
            </w:pPr>
            <w:r w:rsidRPr="00245773">
              <w:rPr>
                <w:rFonts w:ascii="Calibri" w:hAnsi="Calibri"/>
                <w:szCs w:val="22"/>
              </w:rPr>
              <w:t>Have a number of concerns</w:t>
            </w:r>
            <w:r w:rsidR="00810D22" w:rsidRPr="00245773">
              <w:rPr>
                <w:rFonts w:ascii="Calibri" w:hAnsi="Calibri"/>
                <w:szCs w:val="22"/>
              </w:rPr>
              <w:t xml:space="preserve"> discussed more below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5878FE" w:rsidRPr="00435FC9" w:rsidRDefault="00983A76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 received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  <w:p w:rsidR="006832A6" w:rsidRPr="008C75E4" w:rsidRDefault="006832A6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:rsidR="007F2560" w:rsidRDefault="007F2560" w:rsidP="007F2560">
            <w:r>
              <w:t xml:space="preserve">Policy DS1: Development Strategy </w:t>
            </w:r>
          </w:p>
          <w:p w:rsidR="007F2560" w:rsidRDefault="007F2560" w:rsidP="007F2560">
            <w:r>
              <w:t xml:space="preserve">Policy DS2: Sustainable Development </w:t>
            </w:r>
          </w:p>
          <w:p w:rsidR="007F2560" w:rsidRDefault="007F2560" w:rsidP="007F2560">
            <w:r>
              <w:t xml:space="preserve">Policy EN2: Landscape </w:t>
            </w:r>
          </w:p>
          <w:p w:rsidR="007F2560" w:rsidRDefault="007F2560" w:rsidP="007F2560">
            <w:r>
              <w:t xml:space="preserve">Policy DMI2: Transport Considerations </w:t>
            </w:r>
          </w:p>
          <w:p w:rsidR="007F2560" w:rsidRDefault="007F2560" w:rsidP="007F2560">
            <w:r>
              <w:t xml:space="preserve">Policy DMG1: General Considerations </w:t>
            </w:r>
          </w:p>
          <w:p w:rsidR="007F2560" w:rsidRDefault="007F2560" w:rsidP="007F2560">
            <w:r>
              <w:t xml:space="preserve">Policy DMG2: Strategic Considerations </w:t>
            </w:r>
          </w:p>
          <w:p w:rsidR="007F2560" w:rsidRDefault="007F2560" w:rsidP="007F2560">
            <w:r>
              <w:t xml:space="preserve">Policy DME1: Protecting Trees and Woodlands </w:t>
            </w:r>
          </w:p>
          <w:p w:rsidR="007F2560" w:rsidRDefault="007F2560" w:rsidP="007F2560">
            <w:r>
              <w:t xml:space="preserve">Policy DME2: Landscape and Townscape Protection </w:t>
            </w:r>
          </w:p>
          <w:p w:rsidR="007F2560" w:rsidRDefault="007F2560" w:rsidP="007F2560">
            <w:r>
              <w:t xml:space="preserve">Policy DME3: Site and Species Protection and Conservation </w:t>
            </w:r>
          </w:p>
          <w:p w:rsidR="001946E0" w:rsidRPr="008C75E4" w:rsidRDefault="001946E0" w:rsidP="00936D61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:rsidR="00101855" w:rsidRPr="001946E0" w:rsidRDefault="002B6323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None on this site. </w:t>
            </w:r>
          </w:p>
        </w:tc>
      </w:tr>
      <w:tr w:rsidR="008C75E4" w:rsidRPr="008C75E4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:rsidR="002B6323" w:rsidRPr="004655BE" w:rsidRDefault="002B6323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4655BE">
              <w:rPr>
                <w:rFonts w:ascii="Calibri" w:hAnsi="Calibri"/>
                <w:szCs w:val="22"/>
              </w:rPr>
              <w:t xml:space="preserve">The application site is an open field located adjacent to Cross Lane in </w:t>
            </w:r>
            <w:proofErr w:type="spellStart"/>
            <w:r w:rsidRPr="004655BE">
              <w:rPr>
                <w:rFonts w:ascii="Calibri" w:hAnsi="Calibri"/>
                <w:szCs w:val="22"/>
              </w:rPr>
              <w:t>Bashall</w:t>
            </w:r>
            <w:proofErr w:type="spellEnd"/>
            <w:r w:rsidRPr="004655BE">
              <w:rPr>
                <w:rFonts w:ascii="Calibri" w:hAnsi="Calibri"/>
                <w:szCs w:val="22"/>
              </w:rPr>
              <w:t xml:space="preserve"> Eaves. It is opposite </w:t>
            </w:r>
            <w:r w:rsidR="004655BE" w:rsidRPr="004655BE">
              <w:rPr>
                <w:rFonts w:ascii="Calibri" w:hAnsi="Calibri"/>
                <w:szCs w:val="22"/>
              </w:rPr>
              <w:t>two dwellings, Kitchens and Kitchens Cross Farm</w:t>
            </w:r>
            <w:r w:rsidR="004655BE">
              <w:rPr>
                <w:rFonts w:ascii="Calibri" w:hAnsi="Calibri"/>
                <w:szCs w:val="22"/>
              </w:rPr>
              <w:t xml:space="preserve">. Oakfield house lies approx. 100 metres to the West and </w:t>
            </w:r>
            <w:r w:rsidR="004655BE">
              <w:rPr>
                <w:rFonts w:ascii="Calibri" w:hAnsi="Calibri"/>
                <w:szCs w:val="22"/>
              </w:rPr>
              <w:lastRenderedPageBreak/>
              <w:t>Talbot Bridge House</w:t>
            </w:r>
            <w:r w:rsidR="007A2A93">
              <w:rPr>
                <w:rFonts w:ascii="Calibri" w:hAnsi="Calibri"/>
                <w:szCs w:val="22"/>
              </w:rPr>
              <w:t xml:space="preserve"> approx. 200m to the East. Other than these two the surrounding area is largely undeveloped. </w:t>
            </w:r>
            <w:r w:rsidR="00CF37E6">
              <w:rPr>
                <w:rFonts w:ascii="Calibri" w:hAnsi="Calibri"/>
                <w:szCs w:val="22"/>
              </w:rPr>
              <w:t xml:space="preserve">The site is within the AONB. </w:t>
            </w:r>
          </w:p>
        </w:tc>
      </w:tr>
      <w:tr w:rsidR="008C75E4" w:rsidRPr="008C75E4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:rsidR="00454754" w:rsidRPr="00F012FA" w:rsidRDefault="007A2A93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application seeks consent for an equestrian facility, consisting of an American barn to house 6 stables, tack room and feed room, 20m x 60m sand arena</w:t>
            </w:r>
            <w:r w:rsidR="00CF37E6">
              <w:rPr>
                <w:rFonts w:ascii="Calibri" w:hAnsi="Calibri"/>
                <w:szCs w:val="22"/>
              </w:rPr>
              <w:t>, muck storage</w:t>
            </w:r>
            <w:r>
              <w:rPr>
                <w:rFonts w:ascii="Calibri" w:hAnsi="Calibri"/>
                <w:szCs w:val="22"/>
              </w:rPr>
              <w:t xml:space="preserve"> and hardstanding suffi</w:t>
            </w:r>
            <w:r w:rsidR="00CF37E6">
              <w:rPr>
                <w:rFonts w:ascii="Calibri" w:hAnsi="Calibri"/>
                <w:szCs w:val="22"/>
              </w:rPr>
              <w:t>ci</w:t>
            </w:r>
            <w:r>
              <w:rPr>
                <w:rFonts w:ascii="Calibri" w:hAnsi="Calibri"/>
                <w:szCs w:val="22"/>
              </w:rPr>
              <w:t xml:space="preserve">ent to accommodate horse trailers and tractor access. </w:t>
            </w:r>
          </w:p>
        </w:tc>
      </w:tr>
      <w:tr w:rsidR="00C214A6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6D7624" w:rsidRP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t>Principle of Development:</w:t>
            </w:r>
          </w:p>
          <w:p w:rsidR="00D102D9" w:rsidRDefault="00BC236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BC2364">
              <w:rPr>
                <w:rFonts w:ascii="Calibri" w:hAnsi="Calibri"/>
                <w:szCs w:val="22"/>
              </w:rPr>
              <w:t>The site lies within open countryside</w:t>
            </w:r>
            <w:r w:rsidR="004C239C">
              <w:rPr>
                <w:rFonts w:ascii="Calibri" w:hAnsi="Calibri"/>
                <w:szCs w:val="22"/>
              </w:rPr>
              <w:t xml:space="preserve"> and the AONB.</w:t>
            </w:r>
            <w:r w:rsidRPr="00BC2364">
              <w:rPr>
                <w:rFonts w:ascii="Calibri" w:hAnsi="Calibri"/>
                <w:szCs w:val="22"/>
              </w:rPr>
              <w:t xml:space="preserve"> </w:t>
            </w:r>
            <w:r w:rsidR="004C239C">
              <w:rPr>
                <w:rFonts w:ascii="Calibri" w:hAnsi="Calibri"/>
                <w:szCs w:val="22"/>
              </w:rPr>
              <w:t>P</w:t>
            </w:r>
            <w:r w:rsidRPr="00BC2364">
              <w:rPr>
                <w:rFonts w:ascii="Calibri" w:hAnsi="Calibri"/>
                <w:szCs w:val="22"/>
              </w:rPr>
              <w:t>olicy DMG2 seeks to direct development towards the principle settlements and the more sustainable villages. Where development is outside the defined settlements or within the less sustainable “tier 2 villages” the proposal must meet certain exceptions</w:t>
            </w:r>
            <w:r w:rsidR="00207815">
              <w:rPr>
                <w:rFonts w:ascii="Calibri" w:hAnsi="Calibri"/>
                <w:szCs w:val="22"/>
              </w:rPr>
              <w:t xml:space="preserve"> on of which is small scal</w:t>
            </w:r>
            <w:r w:rsidR="00DD0130">
              <w:rPr>
                <w:rFonts w:ascii="Calibri" w:hAnsi="Calibri"/>
                <w:szCs w:val="22"/>
              </w:rPr>
              <w:t xml:space="preserve">e </w:t>
            </w:r>
            <w:r w:rsidR="00197EA1">
              <w:rPr>
                <w:rFonts w:ascii="Calibri" w:hAnsi="Calibri"/>
                <w:szCs w:val="22"/>
              </w:rPr>
              <w:t>recreation development</w:t>
            </w:r>
            <w:r w:rsidR="005A28E7">
              <w:rPr>
                <w:rFonts w:ascii="Calibri" w:hAnsi="Calibri"/>
                <w:szCs w:val="22"/>
              </w:rPr>
              <w:t xml:space="preserve"> appropriate to a rural area</w:t>
            </w:r>
            <w:r w:rsidR="004C239C">
              <w:rPr>
                <w:rFonts w:ascii="Calibri" w:hAnsi="Calibri"/>
                <w:szCs w:val="22"/>
              </w:rPr>
              <w:t xml:space="preserve">. </w:t>
            </w:r>
            <w:r w:rsidR="00123D2A">
              <w:rPr>
                <w:rFonts w:ascii="Calibri" w:hAnsi="Calibri"/>
                <w:szCs w:val="22"/>
              </w:rPr>
              <w:t xml:space="preserve"> However, it must be in keeping with the character of the landscape. </w:t>
            </w:r>
          </w:p>
          <w:p w:rsidR="00A91C35" w:rsidRDefault="00A91C3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:rsidR="00A91C35" w:rsidRDefault="004C239C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/>
                <w:szCs w:val="22"/>
              </w:rPr>
              <w:t>Furthermore</w:t>
            </w:r>
            <w:proofErr w:type="gramEnd"/>
            <w:r>
              <w:rPr>
                <w:rFonts w:ascii="Calibri" w:hAnsi="Calibri"/>
                <w:szCs w:val="22"/>
              </w:rPr>
              <w:t xml:space="preserve"> DMG2 states that the most important consideration when assessing applications within the AONB is the </w:t>
            </w:r>
            <w:r w:rsidR="0018577A">
              <w:rPr>
                <w:rFonts w:ascii="Calibri" w:hAnsi="Calibri"/>
                <w:szCs w:val="22"/>
              </w:rPr>
              <w:t>protection, conservation and enhancement of the landscape</w:t>
            </w:r>
            <w:r w:rsidR="00207815">
              <w:rPr>
                <w:rFonts w:ascii="Calibri" w:hAnsi="Calibri"/>
                <w:szCs w:val="22"/>
              </w:rPr>
              <w:t xml:space="preserve"> and character of the area and the avoidance of habitat fragmentation.</w:t>
            </w:r>
            <w:r w:rsidR="00E03520">
              <w:rPr>
                <w:rFonts w:ascii="Calibri" w:hAnsi="Calibri"/>
                <w:szCs w:val="22"/>
              </w:rPr>
              <w:t xml:space="preserve"> </w:t>
            </w:r>
            <w:r w:rsidR="001F6727">
              <w:rPr>
                <w:rFonts w:ascii="Calibri" w:hAnsi="Calibri"/>
                <w:szCs w:val="22"/>
              </w:rPr>
              <w:t>This reflects the NPPF which states that great weight should be given to the conservation and enhancement of AONB’s.</w:t>
            </w:r>
          </w:p>
          <w:p w:rsidR="004C239C" w:rsidRDefault="0020781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  <w:p w:rsidR="00123D2A" w:rsidRDefault="00A91C3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</w:t>
            </w:r>
            <w:r w:rsidR="008D78A9">
              <w:rPr>
                <w:rFonts w:ascii="Calibri" w:hAnsi="Calibri"/>
                <w:szCs w:val="22"/>
              </w:rPr>
              <w:t xml:space="preserve">planning statement </w:t>
            </w:r>
            <w:r>
              <w:rPr>
                <w:rFonts w:ascii="Calibri" w:hAnsi="Calibri"/>
                <w:szCs w:val="22"/>
              </w:rPr>
              <w:t>s</w:t>
            </w:r>
            <w:r w:rsidR="008D78A9">
              <w:rPr>
                <w:rFonts w:ascii="Calibri" w:hAnsi="Calibri"/>
                <w:szCs w:val="22"/>
              </w:rPr>
              <w:t>ays</w:t>
            </w:r>
            <w:r>
              <w:rPr>
                <w:rFonts w:ascii="Calibri" w:hAnsi="Calibri"/>
                <w:szCs w:val="22"/>
              </w:rPr>
              <w:t xml:space="preserve"> that the applicant has six horses on various livery yards and the proposal will allow them to be kept near to the house</w:t>
            </w:r>
            <w:r w:rsidR="001F6727">
              <w:rPr>
                <w:rFonts w:ascii="Calibri" w:hAnsi="Calibri"/>
                <w:szCs w:val="22"/>
              </w:rPr>
              <w:t xml:space="preserve">. It </w:t>
            </w:r>
            <w:r>
              <w:rPr>
                <w:rFonts w:ascii="Calibri" w:hAnsi="Calibri"/>
                <w:szCs w:val="22"/>
              </w:rPr>
              <w:t>also</w:t>
            </w:r>
            <w:r w:rsidR="001F6727">
              <w:rPr>
                <w:rFonts w:ascii="Calibri" w:hAnsi="Calibri"/>
                <w:szCs w:val="22"/>
              </w:rPr>
              <w:t xml:space="preserve"> states</w:t>
            </w:r>
            <w:r>
              <w:rPr>
                <w:rFonts w:ascii="Calibri" w:hAnsi="Calibri"/>
                <w:szCs w:val="22"/>
              </w:rPr>
              <w:t xml:space="preserve"> that the barn design looks like an agricultural building so it is in keeping with a rural area</w:t>
            </w:r>
            <w:r w:rsidR="008D78A9">
              <w:rPr>
                <w:rFonts w:ascii="Calibri" w:hAnsi="Calibri"/>
                <w:szCs w:val="22"/>
              </w:rPr>
              <w:t xml:space="preserve"> and is commensurate to the number of horses owned by the applicant. </w:t>
            </w:r>
            <w:r w:rsidR="006F2D80">
              <w:rPr>
                <w:rFonts w:ascii="Calibri" w:hAnsi="Calibri"/>
                <w:szCs w:val="22"/>
              </w:rPr>
              <w:t>It</w:t>
            </w:r>
            <w:r w:rsidR="008D78A9">
              <w:rPr>
                <w:rFonts w:ascii="Calibri" w:hAnsi="Calibri"/>
                <w:szCs w:val="22"/>
              </w:rPr>
              <w:t xml:space="preserve"> state</w:t>
            </w:r>
            <w:r w:rsidR="006F2D80">
              <w:rPr>
                <w:rFonts w:ascii="Calibri" w:hAnsi="Calibri"/>
                <w:szCs w:val="22"/>
              </w:rPr>
              <w:t>s that</w:t>
            </w:r>
            <w:r w:rsidR="008D78A9">
              <w:rPr>
                <w:rFonts w:ascii="Calibri" w:hAnsi="Calibri"/>
                <w:szCs w:val="22"/>
              </w:rPr>
              <w:t xml:space="preserve"> it is in accordance with Policy ENV2 although this is a local plan policy superseded by the current core strategy. </w:t>
            </w:r>
          </w:p>
          <w:p w:rsidR="00E03520" w:rsidRDefault="00E03520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:rsidR="00E03520" w:rsidRDefault="00E03520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development, whilst close to the applicant’s house is on a separate parcel of land on the opposite side of the road</w:t>
            </w:r>
            <w:r w:rsidR="00450464">
              <w:rPr>
                <w:rFonts w:ascii="Calibri" w:hAnsi="Calibri"/>
                <w:szCs w:val="22"/>
              </w:rPr>
              <w:t xml:space="preserve">. The site is completely open </w:t>
            </w:r>
            <w:r w:rsidR="001E1696">
              <w:rPr>
                <w:rFonts w:ascii="Calibri" w:hAnsi="Calibri"/>
                <w:szCs w:val="22"/>
              </w:rPr>
              <w:t xml:space="preserve">and </w:t>
            </w:r>
            <w:r w:rsidR="006F2D80">
              <w:rPr>
                <w:rFonts w:ascii="Calibri" w:hAnsi="Calibri"/>
                <w:szCs w:val="22"/>
              </w:rPr>
              <w:t xml:space="preserve">physically </w:t>
            </w:r>
            <w:r w:rsidR="00450464">
              <w:rPr>
                <w:rFonts w:ascii="Calibri" w:hAnsi="Calibri"/>
                <w:szCs w:val="22"/>
              </w:rPr>
              <w:t xml:space="preserve">detached from </w:t>
            </w:r>
            <w:r w:rsidR="006F2D80">
              <w:rPr>
                <w:rFonts w:ascii="Calibri" w:hAnsi="Calibri"/>
                <w:szCs w:val="22"/>
              </w:rPr>
              <w:t xml:space="preserve">the </w:t>
            </w:r>
            <w:r w:rsidR="004D678A">
              <w:rPr>
                <w:rFonts w:ascii="Calibri" w:hAnsi="Calibri"/>
                <w:szCs w:val="22"/>
              </w:rPr>
              <w:t>applicant’s</w:t>
            </w:r>
            <w:r w:rsidR="006F2D80">
              <w:rPr>
                <w:rFonts w:ascii="Calibri" w:hAnsi="Calibri"/>
                <w:szCs w:val="22"/>
              </w:rPr>
              <w:t xml:space="preserve"> house and </w:t>
            </w:r>
            <w:r w:rsidR="00450464">
              <w:rPr>
                <w:rFonts w:ascii="Calibri" w:hAnsi="Calibri"/>
                <w:szCs w:val="22"/>
              </w:rPr>
              <w:t>other clusters of buildings</w:t>
            </w:r>
            <w:r w:rsidR="006F2D80">
              <w:rPr>
                <w:rFonts w:ascii="Calibri" w:hAnsi="Calibri"/>
                <w:szCs w:val="22"/>
              </w:rPr>
              <w:t>; it is also</w:t>
            </w:r>
            <w:r w:rsidR="00450464">
              <w:rPr>
                <w:rFonts w:ascii="Calibri" w:hAnsi="Calibri"/>
                <w:szCs w:val="22"/>
              </w:rPr>
              <w:t xml:space="preserve"> devoid of any structures. The development </w:t>
            </w:r>
            <w:r>
              <w:rPr>
                <w:rFonts w:ascii="Calibri" w:hAnsi="Calibri"/>
                <w:szCs w:val="22"/>
              </w:rPr>
              <w:t xml:space="preserve">is not considered to be small scale and </w:t>
            </w:r>
            <w:r w:rsidR="00450464">
              <w:rPr>
                <w:rFonts w:ascii="Calibri" w:hAnsi="Calibri"/>
                <w:szCs w:val="22"/>
              </w:rPr>
              <w:t xml:space="preserve">will result in significant built form and associated paraphernalia in this sensitive landscape. </w:t>
            </w:r>
            <w:r>
              <w:rPr>
                <w:rFonts w:ascii="Calibri" w:hAnsi="Calibri"/>
                <w:szCs w:val="22"/>
              </w:rPr>
              <w:t xml:space="preserve"> Whilst it is a similar design to an agricultural building</w:t>
            </w:r>
            <w:r w:rsidR="00450464">
              <w:rPr>
                <w:rFonts w:ascii="Calibri" w:hAnsi="Calibri"/>
                <w:szCs w:val="22"/>
              </w:rPr>
              <w:t xml:space="preserve"> that would be found in rural areas</w:t>
            </w:r>
            <w:r w:rsidR="001E1696">
              <w:rPr>
                <w:rFonts w:ascii="Calibri" w:hAnsi="Calibri"/>
                <w:szCs w:val="22"/>
              </w:rPr>
              <w:t xml:space="preserve"> it is not needed for the purposes of agriculture and agricultural buildings should still be clustered with other buildings where possible. </w:t>
            </w:r>
            <w:r w:rsidR="00450464">
              <w:rPr>
                <w:rFonts w:ascii="Calibri" w:hAnsi="Calibri"/>
                <w:szCs w:val="22"/>
              </w:rPr>
              <w:t xml:space="preserve"> </w:t>
            </w:r>
            <w:r w:rsidR="001E1696">
              <w:rPr>
                <w:rFonts w:ascii="Calibri" w:hAnsi="Calibri"/>
                <w:szCs w:val="22"/>
              </w:rPr>
              <w:t xml:space="preserve">The development is for private use and there is no local need or benefit that would </w:t>
            </w:r>
            <w:r w:rsidR="00450464">
              <w:rPr>
                <w:rFonts w:ascii="Calibri" w:hAnsi="Calibri"/>
                <w:szCs w:val="22"/>
              </w:rPr>
              <w:t xml:space="preserve">justify </w:t>
            </w:r>
            <w:r w:rsidR="001E1696">
              <w:rPr>
                <w:rFonts w:ascii="Calibri" w:hAnsi="Calibri"/>
                <w:szCs w:val="22"/>
              </w:rPr>
              <w:t xml:space="preserve">it. </w:t>
            </w:r>
            <w:r w:rsidR="00450464">
              <w:rPr>
                <w:rFonts w:ascii="Calibri" w:hAnsi="Calibri"/>
                <w:szCs w:val="22"/>
              </w:rPr>
              <w:t xml:space="preserve"> </w:t>
            </w:r>
            <w:r w:rsidR="000A7314">
              <w:rPr>
                <w:rFonts w:ascii="Calibri" w:hAnsi="Calibri"/>
                <w:szCs w:val="22"/>
              </w:rPr>
              <w:t>Furthermore,</w:t>
            </w:r>
            <w:r w:rsidR="006F2D80">
              <w:rPr>
                <w:rFonts w:ascii="Calibri" w:hAnsi="Calibri"/>
                <w:szCs w:val="22"/>
              </w:rPr>
              <w:t xml:space="preserve"> the scale of the proposal would </w:t>
            </w:r>
            <w:r w:rsidR="004D678A">
              <w:rPr>
                <w:rFonts w:ascii="Calibri" w:hAnsi="Calibri"/>
                <w:szCs w:val="22"/>
              </w:rPr>
              <w:t xml:space="preserve">fail to conserve or enhance the character of the </w:t>
            </w:r>
            <w:r w:rsidR="006F2D80">
              <w:rPr>
                <w:rFonts w:ascii="Calibri" w:hAnsi="Calibri"/>
                <w:szCs w:val="22"/>
              </w:rPr>
              <w:t>AONB</w:t>
            </w:r>
            <w:r w:rsidR="005F7FB8">
              <w:rPr>
                <w:rFonts w:ascii="Calibri" w:hAnsi="Calibri"/>
                <w:szCs w:val="22"/>
              </w:rPr>
              <w:t>.</w:t>
            </w:r>
          </w:p>
          <w:p w:rsidR="005F7FB8" w:rsidRDefault="005F7FB8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:rsidR="005F7FB8" w:rsidRDefault="005F7FB8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</w:t>
            </w:r>
            <w:r w:rsidR="004D678A">
              <w:rPr>
                <w:rFonts w:ascii="Calibri" w:hAnsi="Calibri"/>
                <w:szCs w:val="22"/>
              </w:rPr>
              <w:t xml:space="preserve"> therefore</w:t>
            </w:r>
            <w:r>
              <w:rPr>
                <w:rFonts w:ascii="Calibri" w:hAnsi="Calibri"/>
                <w:szCs w:val="22"/>
              </w:rPr>
              <w:t xml:space="preserve"> considered to </w:t>
            </w:r>
            <w:r w:rsidR="004D678A">
              <w:rPr>
                <w:rFonts w:ascii="Calibri" w:hAnsi="Calibri"/>
                <w:szCs w:val="22"/>
              </w:rPr>
              <w:t xml:space="preserve">be unacceptable in principle. </w:t>
            </w:r>
          </w:p>
          <w:p w:rsidR="00BF54B5" w:rsidRDefault="00BF54B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:rsidR="00BF54B5" w:rsidRPr="006D7624" w:rsidRDefault="00BF54B5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:rsidR="00C6456D" w:rsidRPr="00D23470" w:rsidRDefault="004D678A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development is opposite</w:t>
            </w:r>
            <w:r w:rsidR="00470545">
              <w:rPr>
                <w:rFonts w:ascii="Calibri" w:hAnsi="Calibri"/>
                <w:szCs w:val="22"/>
              </w:rPr>
              <w:t xml:space="preserve"> the </w:t>
            </w:r>
            <w:r>
              <w:rPr>
                <w:rFonts w:ascii="Calibri" w:hAnsi="Calibri"/>
                <w:szCs w:val="22"/>
              </w:rPr>
              <w:t xml:space="preserve">applicants own dwelling and </w:t>
            </w:r>
            <w:r w:rsidR="000A7314">
              <w:rPr>
                <w:rFonts w:ascii="Calibri" w:hAnsi="Calibri"/>
                <w:szCs w:val="22"/>
              </w:rPr>
              <w:t>could potential</w:t>
            </w:r>
            <w:r w:rsidR="00547BDC">
              <w:rPr>
                <w:rFonts w:ascii="Calibri" w:hAnsi="Calibri"/>
                <w:szCs w:val="22"/>
              </w:rPr>
              <w:t>ly</w:t>
            </w:r>
            <w:r w:rsidR="000A7314">
              <w:rPr>
                <w:rFonts w:ascii="Calibri" w:hAnsi="Calibri"/>
                <w:szCs w:val="22"/>
              </w:rPr>
              <w:t xml:space="preserve"> be linked</w:t>
            </w:r>
            <w:r w:rsidR="00547BDC">
              <w:rPr>
                <w:rFonts w:ascii="Calibri" w:hAnsi="Calibri"/>
                <w:szCs w:val="22"/>
              </w:rPr>
              <w:t xml:space="preserve"> to it</w:t>
            </w:r>
            <w:r w:rsidR="000A7314">
              <w:rPr>
                <w:rFonts w:ascii="Calibri" w:hAnsi="Calibri"/>
                <w:szCs w:val="22"/>
              </w:rPr>
              <w:t xml:space="preserve"> with a planning condition. However,</w:t>
            </w:r>
            <w:r>
              <w:rPr>
                <w:rFonts w:ascii="Calibri" w:hAnsi="Calibri"/>
                <w:szCs w:val="22"/>
              </w:rPr>
              <w:t xml:space="preserve"> being on a </w:t>
            </w:r>
            <w:r w:rsidR="00470545">
              <w:rPr>
                <w:rFonts w:ascii="Calibri" w:hAnsi="Calibri"/>
                <w:szCs w:val="22"/>
              </w:rPr>
              <w:t>separate</w:t>
            </w:r>
            <w:r>
              <w:rPr>
                <w:rFonts w:ascii="Calibri" w:hAnsi="Calibri"/>
                <w:szCs w:val="22"/>
              </w:rPr>
              <w:t xml:space="preserve"> parcel of land </w:t>
            </w:r>
            <w:r w:rsidR="000D2968">
              <w:rPr>
                <w:rFonts w:ascii="Calibri" w:hAnsi="Calibri"/>
                <w:szCs w:val="22"/>
              </w:rPr>
              <w:t>there is potential for it to be severed in the future</w:t>
            </w:r>
            <w:r w:rsidR="000A7314">
              <w:rPr>
                <w:rFonts w:ascii="Calibri" w:hAnsi="Calibri"/>
                <w:szCs w:val="22"/>
              </w:rPr>
              <w:t xml:space="preserve"> if circumstances change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="00470545">
              <w:rPr>
                <w:rFonts w:ascii="Calibri" w:hAnsi="Calibri"/>
                <w:szCs w:val="22"/>
              </w:rPr>
              <w:t xml:space="preserve">Vehicular access is proposed for horse boxes and tractors as well as secure storage for tack etc. The premises would be self-contained and </w:t>
            </w:r>
            <w:proofErr w:type="spellStart"/>
            <w:r w:rsidR="00470545">
              <w:rPr>
                <w:rFonts w:ascii="Calibri" w:hAnsi="Calibri"/>
                <w:szCs w:val="22"/>
              </w:rPr>
              <w:t>unreliant</w:t>
            </w:r>
            <w:proofErr w:type="spellEnd"/>
            <w:r w:rsidR="00470545">
              <w:rPr>
                <w:rFonts w:ascii="Calibri" w:hAnsi="Calibri"/>
                <w:szCs w:val="22"/>
              </w:rPr>
              <w:t xml:space="preserve"> on the house. </w:t>
            </w:r>
            <w:r w:rsidR="000A7314">
              <w:rPr>
                <w:rFonts w:ascii="Calibri" w:hAnsi="Calibri"/>
                <w:szCs w:val="22"/>
              </w:rPr>
              <w:t>However,</w:t>
            </w:r>
            <w:r w:rsidR="000D2968">
              <w:rPr>
                <w:rFonts w:ascii="Calibri" w:hAnsi="Calibri"/>
                <w:szCs w:val="22"/>
              </w:rPr>
              <w:t xml:space="preserve"> the use of the site as described is unlikely to raise any issues with regards to residential amenity</w:t>
            </w:r>
            <w:r w:rsidR="000A7314">
              <w:rPr>
                <w:rFonts w:ascii="Calibri" w:hAnsi="Calibri"/>
                <w:szCs w:val="22"/>
              </w:rPr>
              <w:t xml:space="preserve"> and any future changes could be assessed on their own merits</w:t>
            </w:r>
            <w:r w:rsidR="000D2968">
              <w:rPr>
                <w:rFonts w:ascii="Calibri" w:hAnsi="Calibri"/>
                <w:szCs w:val="22"/>
              </w:rPr>
              <w:t xml:space="preserve">. 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</w:t>
            </w:r>
            <w:r w:rsidR="00547BDC">
              <w:rPr>
                <w:rFonts w:ascii="Calibri" w:hAnsi="Calibri"/>
                <w:b/>
                <w:szCs w:val="22"/>
              </w:rPr>
              <w:t xml:space="preserve"> / Landscape</w:t>
            </w:r>
            <w:r w:rsidRPr="00DF42DA">
              <w:rPr>
                <w:rFonts w:ascii="Calibri" w:hAnsi="Calibri"/>
                <w:b/>
                <w:szCs w:val="22"/>
              </w:rPr>
              <w:t>:</w:t>
            </w:r>
          </w:p>
          <w:p w:rsidR="00C43F8C" w:rsidRDefault="000A7314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47BDC">
              <w:rPr>
                <w:rFonts w:ascii="Calibri" w:hAnsi="Calibri"/>
                <w:szCs w:val="22"/>
              </w:rPr>
              <w:t xml:space="preserve">Notwithstanding the above matters of principle, although the building is a similar design to an </w:t>
            </w:r>
            <w:r w:rsidR="00547BDC" w:rsidRPr="00547BDC">
              <w:rPr>
                <w:rFonts w:ascii="Calibri" w:hAnsi="Calibri"/>
                <w:szCs w:val="22"/>
              </w:rPr>
              <w:t>agricultural</w:t>
            </w:r>
            <w:r w:rsidRPr="00547BDC">
              <w:rPr>
                <w:rFonts w:ascii="Calibri" w:hAnsi="Calibri"/>
                <w:szCs w:val="22"/>
              </w:rPr>
              <w:t xml:space="preserve"> building this does not justify inappropriate development in the open countryside and AONB. The development will result in significant built form in open countryside and the AONB and will have a </w:t>
            </w:r>
            <w:r w:rsidR="00547BDC" w:rsidRPr="00547BDC">
              <w:rPr>
                <w:rFonts w:ascii="Calibri" w:hAnsi="Calibri"/>
                <w:szCs w:val="22"/>
              </w:rPr>
              <w:t>detrimental</w:t>
            </w:r>
            <w:r w:rsidRPr="00547BDC">
              <w:rPr>
                <w:rFonts w:ascii="Calibri" w:hAnsi="Calibri"/>
                <w:szCs w:val="22"/>
              </w:rPr>
              <w:t xml:space="preserve"> impact of the vi</w:t>
            </w:r>
            <w:r w:rsidR="00547BDC" w:rsidRPr="00547BDC">
              <w:rPr>
                <w:rFonts w:ascii="Calibri" w:hAnsi="Calibri"/>
                <w:szCs w:val="22"/>
              </w:rPr>
              <w:t>sual quality of the area.</w:t>
            </w:r>
            <w:r w:rsidR="00547BDC">
              <w:rPr>
                <w:rFonts w:ascii="Calibri" w:hAnsi="Calibri"/>
                <w:szCs w:val="22"/>
              </w:rPr>
              <w:t xml:space="preserve"> The development is not in keeping with the </w:t>
            </w:r>
            <w:r w:rsidR="006B374E">
              <w:rPr>
                <w:rFonts w:ascii="Calibri" w:hAnsi="Calibri"/>
                <w:szCs w:val="22"/>
              </w:rPr>
              <w:t>open</w:t>
            </w:r>
            <w:r w:rsidR="00547BDC">
              <w:rPr>
                <w:rFonts w:ascii="Calibri" w:hAnsi="Calibri"/>
                <w:szCs w:val="22"/>
              </w:rPr>
              <w:t xml:space="preserve"> </w:t>
            </w:r>
            <w:r w:rsidR="00547BDC">
              <w:rPr>
                <w:rFonts w:ascii="Calibri" w:hAnsi="Calibri"/>
                <w:szCs w:val="22"/>
              </w:rPr>
              <w:lastRenderedPageBreak/>
              <w:t>undeveloped character of the AONB and</w:t>
            </w:r>
            <w:r w:rsidR="00547BDC" w:rsidRPr="00547BDC">
              <w:rPr>
                <w:rFonts w:ascii="Calibri" w:hAnsi="Calibri"/>
                <w:szCs w:val="22"/>
              </w:rPr>
              <w:t xml:space="preserve"> </w:t>
            </w:r>
            <w:r w:rsidR="00547BDC">
              <w:rPr>
                <w:rFonts w:ascii="Calibri" w:hAnsi="Calibri"/>
                <w:szCs w:val="22"/>
              </w:rPr>
              <w:t>i</w:t>
            </w:r>
            <w:r w:rsidR="00547BDC" w:rsidRPr="00547BDC">
              <w:rPr>
                <w:rFonts w:ascii="Calibri" w:hAnsi="Calibri"/>
                <w:szCs w:val="22"/>
              </w:rPr>
              <w:t>t would fail to conserve o</w:t>
            </w:r>
            <w:r w:rsidR="00547BDC">
              <w:rPr>
                <w:rFonts w:ascii="Calibri" w:hAnsi="Calibri"/>
                <w:szCs w:val="22"/>
              </w:rPr>
              <w:t xml:space="preserve">r </w:t>
            </w:r>
            <w:r w:rsidR="00547BDC" w:rsidRPr="00547BDC">
              <w:rPr>
                <w:rFonts w:ascii="Calibri" w:hAnsi="Calibri"/>
                <w:szCs w:val="22"/>
              </w:rPr>
              <w:t>enhance the special qualities of the landscape</w:t>
            </w:r>
            <w:r w:rsidR="00547BDC">
              <w:rPr>
                <w:rFonts w:ascii="Calibri" w:hAnsi="Calibri"/>
                <w:szCs w:val="22"/>
              </w:rPr>
              <w:t xml:space="preserve">. </w:t>
            </w:r>
          </w:p>
          <w:p w:rsidR="00C43F8C" w:rsidRDefault="00C43F8C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C43F8C" w:rsidRDefault="00C43F8C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Whilst it is acknowledged that equestrian uses are likely to be found in areas such as this, the development associated with them</w:t>
            </w:r>
            <w:r w:rsidR="00936D61">
              <w:rPr>
                <w:rFonts w:ascii="Calibri" w:hAnsi="Calibri"/>
                <w:szCs w:val="22"/>
              </w:rPr>
              <w:t xml:space="preserve"> if not done sensitively and in appropriate locations </w:t>
            </w:r>
            <w:r>
              <w:rPr>
                <w:rFonts w:ascii="Calibri" w:hAnsi="Calibri"/>
                <w:szCs w:val="22"/>
              </w:rPr>
              <w:t xml:space="preserve">will have a cumulative impact on the character of the landscape which makes the AONB special.  </w:t>
            </w:r>
          </w:p>
          <w:p w:rsidR="00DC4DFA" w:rsidRDefault="00DC4DFA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DC4DFA" w:rsidRDefault="00DC4DFA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DC4DFA">
              <w:rPr>
                <w:rFonts w:ascii="Calibri" w:hAnsi="Calibri"/>
                <w:szCs w:val="22"/>
              </w:rPr>
              <w:t>LCC’s highway officer has advised that amendments would need to be made</w:t>
            </w:r>
            <w:r w:rsidR="006B374E">
              <w:rPr>
                <w:rFonts w:ascii="Calibri" w:hAnsi="Calibri"/>
                <w:szCs w:val="22"/>
              </w:rPr>
              <w:t xml:space="preserve"> to the access</w:t>
            </w:r>
            <w:r w:rsidRPr="00DC4DFA">
              <w:rPr>
                <w:rFonts w:ascii="Calibri" w:hAnsi="Calibri"/>
                <w:szCs w:val="22"/>
              </w:rPr>
              <w:t xml:space="preserve"> in order for the proposal to be acceptable in highway terms</w:t>
            </w:r>
            <w:r>
              <w:rPr>
                <w:rFonts w:ascii="Calibri" w:hAnsi="Calibri"/>
                <w:szCs w:val="22"/>
              </w:rPr>
              <w:t>. These would include increasing the width, management of hedgerows and laying of metalled surfacing,</w:t>
            </w:r>
            <w:r w:rsidRPr="00DC4DFA">
              <w:rPr>
                <w:rFonts w:ascii="Calibri" w:hAnsi="Calibri"/>
                <w:szCs w:val="22"/>
              </w:rPr>
              <w:t xml:space="preserve"> it is likely</w:t>
            </w:r>
            <w:r>
              <w:rPr>
                <w:rFonts w:ascii="Calibri" w:hAnsi="Calibri"/>
                <w:szCs w:val="22"/>
              </w:rPr>
              <w:t xml:space="preserve"> that this would have a further urbanising impact on the site which would be unacceptable visually. </w:t>
            </w:r>
          </w:p>
          <w:p w:rsidR="00C43F8C" w:rsidRDefault="00C43F8C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0A7314" w:rsidRPr="00547BDC" w:rsidRDefault="00C43F8C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due to its scale and </w:t>
            </w:r>
            <w:r w:rsidR="00936D61">
              <w:rPr>
                <w:rFonts w:ascii="Calibri" w:hAnsi="Calibri"/>
                <w:szCs w:val="22"/>
              </w:rPr>
              <w:t>isolated position is</w:t>
            </w:r>
            <w:r w:rsidR="00547BDC" w:rsidRPr="00547BDC">
              <w:rPr>
                <w:rFonts w:ascii="Calibri" w:hAnsi="Calibri"/>
                <w:szCs w:val="22"/>
              </w:rPr>
              <w:t xml:space="preserve"> contrary to core strategy policies EN2, DMG1 and DME2</w:t>
            </w:r>
          </w:p>
          <w:p w:rsidR="00C50517" w:rsidRPr="00545D8C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547BDC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547BDC" w:rsidRDefault="00936D61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Biodiversity:</w:t>
            </w:r>
          </w:p>
          <w:p w:rsidR="00936D61" w:rsidRPr="00580AE0" w:rsidRDefault="00936D61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80AE0">
              <w:rPr>
                <w:rFonts w:ascii="Calibri" w:hAnsi="Calibri"/>
                <w:szCs w:val="22"/>
              </w:rPr>
              <w:t xml:space="preserve">The site is currently grazing land </w:t>
            </w:r>
            <w:r w:rsidR="00580AE0">
              <w:rPr>
                <w:rFonts w:ascii="Calibri" w:hAnsi="Calibri"/>
                <w:szCs w:val="22"/>
              </w:rPr>
              <w:t>with mature trees and hed</w:t>
            </w:r>
            <w:r w:rsidR="00DE5B96">
              <w:rPr>
                <w:rFonts w:ascii="Calibri" w:hAnsi="Calibri"/>
                <w:szCs w:val="22"/>
              </w:rPr>
              <w:t>ge</w:t>
            </w:r>
            <w:r w:rsidR="00580AE0">
              <w:rPr>
                <w:rFonts w:ascii="Calibri" w:hAnsi="Calibri"/>
                <w:szCs w:val="22"/>
              </w:rPr>
              <w:t>rows to the boundary</w:t>
            </w:r>
            <w:r w:rsidR="007B2D5D">
              <w:rPr>
                <w:rFonts w:ascii="Calibri" w:hAnsi="Calibri"/>
                <w:szCs w:val="22"/>
              </w:rPr>
              <w:t xml:space="preserve"> it adjoins </w:t>
            </w:r>
            <w:proofErr w:type="spellStart"/>
            <w:r w:rsidR="007B2D5D">
              <w:rPr>
                <w:rFonts w:ascii="Calibri" w:hAnsi="Calibri"/>
                <w:szCs w:val="22"/>
              </w:rPr>
              <w:t>Braddup</w:t>
            </w:r>
            <w:proofErr w:type="spellEnd"/>
            <w:r w:rsidR="007B2D5D">
              <w:rPr>
                <w:rFonts w:ascii="Calibri" w:hAnsi="Calibri"/>
                <w:szCs w:val="22"/>
              </w:rPr>
              <w:t xml:space="preserve"> Wood South which is a biological heritage </w:t>
            </w:r>
            <w:r w:rsidR="008D2725">
              <w:rPr>
                <w:rFonts w:ascii="Calibri" w:hAnsi="Calibri"/>
                <w:szCs w:val="22"/>
              </w:rPr>
              <w:t>site.</w:t>
            </w:r>
            <w:r w:rsidR="00580AE0">
              <w:rPr>
                <w:rFonts w:ascii="Calibri" w:hAnsi="Calibri"/>
                <w:szCs w:val="22"/>
              </w:rPr>
              <w:t xml:space="preserve"> The proposal will develop a </w:t>
            </w:r>
            <w:r w:rsidR="00DE5B96">
              <w:rPr>
                <w:rFonts w:ascii="Calibri" w:hAnsi="Calibri"/>
                <w:szCs w:val="22"/>
              </w:rPr>
              <w:t xml:space="preserve">corner of the site and form hardstandings and an arena. LCC’s highway officer has advised that </w:t>
            </w:r>
            <w:r w:rsidR="00DC4DFA">
              <w:rPr>
                <w:rFonts w:ascii="Calibri" w:hAnsi="Calibri"/>
                <w:szCs w:val="22"/>
              </w:rPr>
              <w:t>amendments</w:t>
            </w:r>
            <w:r w:rsidR="00DE5B96">
              <w:rPr>
                <w:rFonts w:ascii="Calibri" w:hAnsi="Calibri"/>
                <w:szCs w:val="22"/>
              </w:rPr>
              <w:t xml:space="preserve"> would need to be made in order for the proposal to be acceptable in highway </w:t>
            </w:r>
            <w:r w:rsidR="00DC4DFA">
              <w:rPr>
                <w:rFonts w:ascii="Calibri" w:hAnsi="Calibri"/>
                <w:szCs w:val="22"/>
              </w:rPr>
              <w:t xml:space="preserve">terms including widening of the </w:t>
            </w:r>
            <w:r w:rsidR="00A31DC4">
              <w:rPr>
                <w:rFonts w:ascii="Calibri" w:hAnsi="Calibri"/>
                <w:szCs w:val="22"/>
              </w:rPr>
              <w:t>access and</w:t>
            </w:r>
            <w:r w:rsidR="00DC4DFA">
              <w:rPr>
                <w:rFonts w:ascii="Calibri" w:hAnsi="Calibri"/>
                <w:szCs w:val="22"/>
              </w:rPr>
              <w:t xml:space="preserve"> hedgerow management </w:t>
            </w:r>
            <w:r w:rsidR="00DE5B96">
              <w:rPr>
                <w:rFonts w:ascii="Calibri" w:hAnsi="Calibri"/>
                <w:szCs w:val="22"/>
              </w:rPr>
              <w:t xml:space="preserve">and </w:t>
            </w:r>
            <w:r w:rsidR="007B2D5D">
              <w:rPr>
                <w:rFonts w:ascii="Calibri" w:hAnsi="Calibri"/>
                <w:szCs w:val="22"/>
              </w:rPr>
              <w:t>this may result</w:t>
            </w:r>
            <w:r w:rsidR="00DE5B96">
              <w:rPr>
                <w:rFonts w:ascii="Calibri" w:hAnsi="Calibri"/>
                <w:szCs w:val="22"/>
              </w:rPr>
              <w:t xml:space="preserve"> in the loss of hedgerows and result in habitat fragmentation.</w:t>
            </w:r>
            <w:r w:rsidR="007B2D5D">
              <w:rPr>
                <w:rFonts w:ascii="Calibri" w:hAnsi="Calibri"/>
                <w:szCs w:val="22"/>
              </w:rPr>
              <w:t xml:space="preserve"> </w:t>
            </w:r>
            <w:r w:rsidR="007B2D5D" w:rsidRPr="007B2D5D">
              <w:rPr>
                <w:rFonts w:ascii="Calibri" w:hAnsi="Calibri"/>
                <w:szCs w:val="22"/>
              </w:rPr>
              <w:t>The application fails to include a proper assessment of the proposal’s impact on biodiversity, proposed enhancement or how any losses would be mitigated</w:t>
            </w:r>
            <w:r w:rsidR="00DA4C9F">
              <w:rPr>
                <w:rFonts w:ascii="Calibri" w:hAnsi="Calibri"/>
                <w:szCs w:val="22"/>
              </w:rPr>
              <w:t xml:space="preserve">. 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Default="007C5713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:rsidR="00DC4DFA" w:rsidRPr="003061B3" w:rsidRDefault="00AA2988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3061B3">
              <w:rPr>
                <w:rFonts w:ascii="Calibri" w:hAnsi="Calibri"/>
                <w:szCs w:val="22"/>
              </w:rPr>
              <w:t xml:space="preserve">The highway officer </w:t>
            </w:r>
            <w:r w:rsidR="003061B3">
              <w:rPr>
                <w:rFonts w:ascii="Calibri" w:hAnsi="Calibri"/>
                <w:szCs w:val="22"/>
              </w:rPr>
              <w:t xml:space="preserve">acknowledges that this proposal is for private use but has still advises that </w:t>
            </w:r>
            <w:r w:rsidRPr="003061B3">
              <w:rPr>
                <w:rFonts w:ascii="Calibri" w:hAnsi="Calibri"/>
                <w:szCs w:val="22"/>
              </w:rPr>
              <w:t>a number of amendments would be required to make the proposal acceptable in terms of formalisation of the access. This would include</w:t>
            </w:r>
          </w:p>
          <w:p w:rsidR="00AA2988" w:rsidRPr="003061B3" w:rsidRDefault="00AA2988" w:rsidP="003061B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3061B3">
              <w:rPr>
                <w:rFonts w:ascii="Calibri" w:hAnsi="Calibri"/>
                <w:szCs w:val="22"/>
              </w:rPr>
              <w:t>Creation of an oversized length of accessway to allow two vehicles to pass unhindered accessing and egressing the public highway</w:t>
            </w:r>
          </w:p>
          <w:p w:rsidR="00AA2988" w:rsidRPr="003061B3" w:rsidRDefault="003061B3" w:rsidP="003061B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3061B3">
              <w:rPr>
                <w:rFonts w:ascii="Calibri" w:hAnsi="Calibri"/>
                <w:szCs w:val="22"/>
              </w:rPr>
              <w:t>Laying of metalled surfacing</w:t>
            </w:r>
          </w:p>
          <w:p w:rsidR="003061B3" w:rsidRPr="003061B3" w:rsidRDefault="003061B3" w:rsidP="003061B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3061B3">
              <w:rPr>
                <w:rFonts w:ascii="Calibri" w:hAnsi="Calibri"/>
                <w:szCs w:val="22"/>
              </w:rPr>
              <w:t>Creation of an appropriate view line envelope</w:t>
            </w:r>
          </w:p>
          <w:p w:rsidR="003061B3" w:rsidRDefault="003061B3" w:rsidP="003061B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3061B3">
              <w:rPr>
                <w:rFonts w:ascii="Calibri" w:hAnsi="Calibri"/>
                <w:szCs w:val="22"/>
              </w:rPr>
              <w:t>Vegetation and hedgerow management</w:t>
            </w:r>
          </w:p>
          <w:p w:rsidR="003061B3" w:rsidRDefault="003061B3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C50517" w:rsidRPr="002A7DF7" w:rsidRDefault="00471774" w:rsidP="003061B3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area is rural and accessed via narrow lanes with poor visibility. </w:t>
            </w:r>
            <w:r w:rsidR="003061B3">
              <w:rPr>
                <w:rFonts w:ascii="Calibri" w:hAnsi="Calibri"/>
                <w:szCs w:val="22"/>
              </w:rPr>
              <w:t>In its current form the proposed access to the site is inadequa</w:t>
            </w:r>
            <w:r>
              <w:rPr>
                <w:rFonts w:ascii="Calibri" w:hAnsi="Calibri"/>
                <w:szCs w:val="22"/>
              </w:rPr>
              <w:t xml:space="preserve">te and would require amendments to prevent conflict between vehicles using the site and other road users. </w:t>
            </w:r>
          </w:p>
        </w:tc>
      </w:tr>
      <w:tr w:rsidR="008C75E4" w:rsidRPr="008C75E4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:rsidR="00C44E40" w:rsidRPr="00BA2247" w:rsidRDefault="00471774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unaccep</w:t>
            </w:r>
            <w:r w:rsidR="001F6727">
              <w:rPr>
                <w:rFonts w:ascii="Calibri" w:hAnsi="Calibri"/>
                <w:szCs w:val="22"/>
              </w:rPr>
              <w:t xml:space="preserve">table in terms of local and national planning policy and for the reasons discussed above it is recommended accordingly. </w:t>
            </w:r>
          </w:p>
        </w:tc>
      </w:tr>
      <w:tr w:rsidR="00C0704D" w:rsidRPr="008C75E4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:rsidR="00C0704D" w:rsidRPr="008C75E4" w:rsidRDefault="0053146E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consent be refused. </w:t>
            </w:r>
          </w:p>
        </w:tc>
      </w:tr>
    </w:tbl>
    <w:p w:rsidR="0031197A" w:rsidRPr="008C75E4" w:rsidRDefault="00C567BD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A4C" w:rsidRDefault="00363A4C" w:rsidP="006D0B5F">
      <w:r>
        <w:separator/>
      </w:r>
    </w:p>
  </w:endnote>
  <w:endnote w:type="continuationSeparator" w:id="0">
    <w:p w:rsidR="00363A4C" w:rsidRDefault="00363A4C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A4C" w:rsidRDefault="00363A4C" w:rsidP="006D0B5F">
      <w:r>
        <w:separator/>
      </w:r>
    </w:p>
  </w:footnote>
  <w:footnote w:type="continuationSeparator" w:id="0">
    <w:p w:rsidR="00363A4C" w:rsidRDefault="00363A4C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38B4"/>
    <w:multiLevelType w:val="hybridMultilevel"/>
    <w:tmpl w:val="FBBE7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A7314"/>
    <w:rsid w:val="000B5CB5"/>
    <w:rsid w:val="000C7A57"/>
    <w:rsid w:val="000D2968"/>
    <w:rsid w:val="00101855"/>
    <w:rsid w:val="0010371E"/>
    <w:rsid w:val="00106932"/>
    <w:rsid w:val="00123D2A"/>
    <w:rsid w:val="00130035"/>
    <w:rsid w:val="00141512"/>
    <w:rsid w:val="0016428F"/>
    <w:rsid w:val="00174004"/>
    <w:rsid w:val="0018577A"/>
    <w:rsid w:val="001946E0"/>
    <w:rsid w:val="00196722"/>
    <w:rsid w:val="00197EA1"/>
    <w:rsid w:val="001B769B"/>
    <w:rsid w:val="001C1453"/>
    <w:rsid w:val="001D4F7A"/>
    <w:rsid w:val="001D5ADD"/>
    <w:rsid w:val="001E1696"/>
    <w:rsid w:val="001F6727"/>
    <w:rsid w:val="00203F50"/>
    <w:rsid w:val="00206E24"/>
    <w:rsid w:val="00207815"/>
    <w:rsid w:val="00234D32"/>
    <w:rsid w:val="00237DA1"/>
    <w:rsid w:val="00245773"/>
    <w:rsid w:val="00250879"/>
    <w:rsid w:val="00284480"/>
    <w:rsid w:val="0028751A"/>
    <w:rsid w:val="0029334A"/>
    <w:rsid w:val="002A01CF"/>
    <w:rsid w:val="002A7DF7"/>
    <w:rsid w:val="002B6323"/>
    <w:rsid w:val="002B7854"/>
    <w:rsid w:val="002C6277"/>
    <w:rsid w:val="002D4346"/>
    <w:rsid w:val="002E2952"/>
    <w:rsid w:val="002E7CC1"/>
    <w:rsid w:val="002F041D"/>
    <w:rsid w:val="002F2580"/>
    <w:rsid w:val="002F7502"/>
    <w:rsid w:val="003061B3"/>
    <w:rsid w:val="003137E0"/>
    <w:rsid w:val="00320A6F"/>
    <w:rsid w:val="00321B6E"/>
    <w:rsid w:val="003359D0"/>
    <w:rsid w:val="00340E02"/>
    <w:rsid w:val="00341E8D"/>
    <w:rsid w:val="00347F5E"/>
    <w:rsid w:val="003562A3"/>
    <w:rsid w:val="003634D9"/>
    <w:rsid w:val="00363A4C"/>
    <w:rsid w:val="0036759A"/>
    <w:rsid w:val="003825D5"/>
    <w:rsid w:val="00383F60"/>
    <w:rsid w:val="003A4376"/>
    <w:rsid w:val="003C28E1"/>
    <w:rsid w:val="003E2151"/>
    <w:rsid w:val="003F16AA"/>
    <w:rsid w:val="003F16B4"/>
    <w:rsid w:val="003F3DB5"/>
    <w:rsid w:val="003F481A"/>
    <w:rsid w:val="00404C72"/>
    <w:rsid w:val="00435FC9"/>
    <w:rsid w:val="0044039F"/>
    <w:rsid w:val="00440CB6"/>
    <w:rsid w:val="00450464"/>
    <w:rsid w:val="00454754"/>
    <w:rsid w:val="00455AEF"/>
    <w:rsid w:val="00461F9B"/>
    <w:rsid w:val="004654DD"/>
    <w:rsid w:val="004655BE"/>
    <w:rsid w:val="00470545"/>
    <w:rsid w:val="00471774"/>
    <w:rsid w:val="004854EC"/>
    <w:rsid w:val="004936A6"/>
    <w:rsid w:val="004947BB"/>
    <w:rsid w:val="004A5EA9"/>
    <w:rsid w:val="004C239C"/>
    <w:rsid w:val="004C2434"/>
    <w:rsid w:val="004D678A"/>
    <w:rsid w:val="004D6FC7"/>
    <w:rsid w:val="004E58E3"/>
    <w:rsid w:val="004F0649"/>
    <w:rsid w:val="004F1043"/>
    <w:rsid w:val="004F1E99"/>
    <w:rsid w:val="0050432D"/>
    <w:rsid w:val="00504440"/>
    <w:rsid w:val="00510DBF"/>
    <w:rsid w:val="00510FA2"/>
    <w:rsid w:val="00510FE3"/>
    <w:rsid w:val="00521ABA"/>
    <w:rsid w:val="00525341"/>
    <w:rsid w:val="00527A31"/>
    <w:rsid w:val="0053146E"/>
    <w:rsid w:val="00534611"/>
    <w:rsid w:val="00545D8C"/>
    <w:rsid w:val="00547BDC"/>
    <w:rsid w:val="00556ECD"/>
    <w:rsid w:val="005631B3"/>
    <w:rsid w:val="005633B0"/>
    <w:rsid w:val="005635FF"/>
    <w:rsid w:val="00573B90"/>
    <w:rsid w:val="00580AE0"/>
    <w:rsid w:val="005878FE"/>
    <w:rsid w:val="00593040"/>
    <w:rsid w:val="005A28E7"/>
    <w:rsid w:val="005B0A0E"/>
    <w:rsid w:val="005D3432"/>
    <w:rsid w:val="005E1C6C"/>
    <w:rsid w:val="005E65DF"/>
    <w:rsid w:val="005F7FB8"/>
    <w:rsid w:val="006126D1"/>
    <w:rsid w:val="006326A2"/>
    <w:rsid w:val="00651AAD"/>
    <w:rsid w:val="00665C24"/>
    <w:rsid w:val="006832A6"/>
    <w:rsid w:val="00690EC3"/>
    <w:rsid w:val="00692B60"/>
    <w:rsid w:val="00695F88"/>
    <w:rsid w:val="006A71AD"/>
    <w:rsid w:val="006B374E"/>
    <w:rsid w:val="006C126E"/>
    <w:rsid w:val="006C2BFA"/>
    <w:rsid w:val="006D0B5F"/>
    <w:rsid w:val="006D4E58"/>
    <w:rsid w:val="006D7624"/>
    <w:rsid w:val="006F137D"/>
    <w:rsid w:val="006F2D80"/>
    <w:rsid w:val="006F4D38"/>
    <w:rsid w:val="0070054B"/>
    <w:rsid w:val="00706480"/>
    <w:rsid w:val="00710DBB"/>
    <w:rsid w:val="00725F1C"/>
    <w:rsid w:val="007430C8"/>
    <w:rsid w:val="007547AD"/>
    <w:rsid w:val="00755FCC"/>
    <w:rsid w:val="00776AE2"/>
    <w:rsid w:val="007921CD"/>
    <w:rsid w:val="007A2A93"/>
    <w:rsid w:val="007B2D5D"/>
    <w:rsid w:val="007C5713"/>
    <w:rsid w:val="007C791C"/>
    <w:rsid w:val="007D6D02"/>
    <w:rsid w:val="007D7DF4"/>
    <w:rsid w:val="007E0D23"/>
    <w:rsid w:val="007F196D"/>
    <w:rsid w:val="007F2560"/>
    <w:rsid w:val="00805895"/>
    <w:rsid w:val="008075CB"/>
    <w:rsid w:val="00810D22"/>
    <w:rsid w:val="00811771"/>
    <w:rsid w:val="008154DD"/>
    <w:rsid w:val="008542DE"/>
    <w:rsid w:val="008638DE"/>
    <w:rsid w:val="00891182"/>
    <w:rsid w:val="008A28C8"/>
    <w:rsid w:val="008C75E4"/>
    <w:rsid w:val="008D2725"/>
    <w:rsid w:val="008D78A9"/>
    <w:rsid w:val="008F6B58"/>
    <w:rsid w:val="0090282C"/>
    <w:rsid w:val="00906D0C"/>
    <w:rsid w:val="00934B34"/>
    <w:rsid w:val="00936D61"/>
    <w:rsid w:val="00946515"/>
    <w:rsid w:val="009565F5"/>
    <w:rsid w:val="009825FF"/>
    <w:rsid w:val="00983A76"/>
    <w:rsid w:val="00985097"/>
    <w:rsid w:val="00994EF1"/>
    <w:rsid w:val="009C4BCF"/>
    <w:rsid w:val="009C7F61"/>
    <w:rsid w:val="009E6A8B"/>
    <w:rsid w:val="00A04A96"/>
    <w:rsid w:val="00A31DC4"/>
    <w:rsid w:val="00A40070"/>
    <w:rsid w:val="00A42E82"/>
    <w:rsid w:val="00A46EE9"/>
    <w:rsid w:val="00A55E83"/>
    <w:rsid w:val="00A579BB"/>
    <w:rsid w:val="00A63D55"/>
    <w:rsid w:val="00A8441B"/>
    <w:rsid w:val="00A9088C"/>
    <w:rsid w:val="00A9168C"/>
    <w:rsid w:val="00A91C35"/>
    <w:rsid w:val="00A95D89"/>
    <w:rsid w:val="00AA2988"/>
    <w:rsid w:val="00AB3243"/>
    <w:rsid w:val="00AB5232"/>
    <w:rsid w:val="00B14DDC"/>
    <w:rsid w:val="00B30A5E"/>
    <w:rsid w:val="00B31505"/>
    <w:rsid w:val="00B559D3"/>
    <w:rsid w:val="00B6269C"/>
    <w:rsid w:val="00B74C73"/>
    <w:rsid w:val="00B93EB5"/>
    <w:rsid w:val="00B96F5A"/>
    <w:rsid w:val="00BA2247"/>
    <w:rsid w:val="00BA5D97"/>
    <w:rsid w:val="00BA6B19"/>
    <w:rsid w:val="00BB1C52"/>
    <w:rsid w:val="00BB2A50"/>
    <w:rsid w:val="00BC1E48"/>
    <w:rsid w:val="00BC2364"/>
    <w:rsid w:val="00BD3F03"/>
    <w:rsid w:val="00BF54B5"/>
    <w:rsid w:val="00C0704D"/>
    <w:rsid w:val="00C214A6"/>
    <w:rsid w:val="00C24A51"/>
    <w:rsid w:val="00C25722"/>
    <w:rsid w:val="00C43F8C"/>
    <w:rsid w:val="00C44E40"/>
    <w:rsid w:val="00C50517"/>
    <w:rsid w:val="00C567BD"/>
    <w:rsid w:val="00C618DB"/>
    <w:rsid w:val="00C6456D"/>
    <w:rsid w:val="00C93384"/>
    <w:rsid w:val="00CA28BA"/>
    <w:rsid w:val="00CA33F6"/>
    <w:rsid w:val="00CD1729"/>
    <w:rsid w:val="00CD2E03"/>
    <w:rsid w:val="00CD38B1"/>
    <w:rsid w:val="00CF07FE"/>
    <w:rsid w:val="00CF37E6"/>
    <w:rsid w:val="00D102D9"/>
    <w:rsid w:val="00D1063F"/>
    <w:rsid w:val="00D11007"/>
    <w:rsid w:val="00D1420C"/>
    <w:rsid w:val="00D23470"/>
    <w:rsid w:val="00D2449B"/>
    <w:rsid w:val="00D54384"/>
    <w:rsid w:val="00D54E67"/>
    <w:rsid w:val="00D54F48"/>
    <w:rsid w:val="00D632BB"/>
    <w:rsid w:val="00D67816"/>
    <w:rsid w:val="00D80310"/>
    <w:rsid w:val="00D9608A"/>
    <w:rsid w:val="00D96DF7"/>
    <w:rsid w:val="00D97AA3"/>
    <w:rsid w:val="00DA27B6"/>
    <w:rsid w:val="00DA4C9F"/>
    <w:rsid w:val="00DC3C8A"/>
    <w:rsid w:val="00DC4DFA"/>
    <w:rsid w:val="00DD0130"/>
    <w:rsid w:val="00DD62F6"/>
    <w:rsid w:val="00DD7E97"/>
    <w:rsid w:val="00DE5B96"/>
    <w:rsid w:val="00DE740E"/>
    <w:rsid w:val="00DF42DA"/>
    <w:rsid w:val="00E03520"/>
    <w:rsid w:val="00E03AFD"/>
    <w:rsid w:val="00E0485E"/>
    <w:rsid w:val="00E06DFC"/>
    <w:rsid w:val="00E23FB0"/>
    <w:rsid w:val="00E270CB"/>
    <w:rsid w:val="00E3317F"/>
    <w:rsid w:val="00E46243"/>
    <w:rsid w:val="00E66534"/>
    <w:rsid w:val="00E719D1"/>
    <w:rsid w:val="00E71A35"/>
    <w:rsid w:val="00E72F6C"/>
    <w:rsid w:val="00E80113"/>
    <w:rsid w:val="00EA09F9"/>
    <w:rsid w:val="00EA1673"/>
    <w:rsid w:val="00EB7D74"/>
    <w:rsid w:val="00EC23C7"/>
    <w:rsid w:val="00ED00B7"/>
    <w:rsid w:val="00EF1341"/>
    <w:rsid w:val="00EF44E6"/>
    <w:rsid w:val="00F012FA"/>
    <w:rsid w:val="00F055D3"/>
    <w:rsid w:val="00F10BC4"/>
    <w:rsid w:val="00F129DD"/>
    <w:rsid w:val="00F16D0F"/>
    <w:rsid w:val="00F32789"/>
    <w:rsid w:val="00F71D53"/>
    <w:rsid w:val="00F731F5"/>
    <w:rsid w:val="00F75F59"/>
    <w:rsid w:val="00F8201E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8559-F1C3-4741-8094-C4F00512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Laura Eastwood</cp:lastModifiedBy>
  <cp:revision>2</cp:revision>
  <cp:lastPrinted>2020-08-28T11:36:00Z</cp:lastPrinted>
  <dcterms:created xsi:type="dcterms:W3CDTF">2020-08-28T13:51:00Z</dcterms:created>
  <dcterms:modified xsi:type="dcterms:W3CDTF">2020-08-28T13:51:00Z</dcterms:modified>
</cp:coreProperties>
</file>