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D3" w:rsidRDefault="005522D3">
      <w:pPr>
        <w:pStyle w:val="PLANNING"/>
      </w:pPr>
      <w:bookmarkStart w:id="0" w:name="_GoBack"/>
      <w:bookmarkEnd w:id="0"/>
    </w:p>
    <w:p w:rsidR="00441735" w:rsidRDefault="00500F20" w:rsidP="000C3E7C">
      <w:pPr>
        <w:pStyle w:val="PLANNING"/>
        <w:jc w:val="center"/>
      </w:pPr>
      <w:r>
        <w:rPr>
          <w:noProof/>
        </w:rPr>
        <w:drawing>
          <wp:inline distT="0" distB="0" distL="0" distR="0">
            <wp:extent cx="1390650" cy="2133600"/>
            <wp:effectExtent l="0" t="0" r="0" b="0"/>
            <wp:docPr id="1" name="Picture 1" descr="RVBC_Portrait_Mo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C_Portrait_Mono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rsidR="00441735" w:rsidRDefault="00441735">
      <w:pPr>
        <w:pStyle w:val="PLANNING"/>
      </w:pPr>
    </w:p>
    <w:p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Default="000C3E7C" w:rsidP="000C3E7C">
      <w:pPr>
        <w:jc w:val="right"/>
        <w:rPr>
          <w:rFonts w:ascii="Calibri" w:hAnsi="Calibri"/>
          <w:noProof/>
          <w:sz w:val="18"/>
        </w:rPr>
      </w:pPr>
    </w:p>
    <w:p w:rsidR="000C3E7C" w:rsidRPr="00894ED2" w:rsidRDefault="000C3E7C" w:rsidP="000C3E7C">
      <w:pPr>
        <w:rPr>
          <w:rFonts w:ascii="Calibri" w:hAnsi="Calibri"/>
          <w:noProof/>
        </w:rPr>
      </w:pPr>
      <w:r w:rsidRPr="00894ED2">
        <w:rPr>
          <w:rFonts w:ascii="Calibri" w:hAnsi="Calibri"/>
          <w:noProof/>
        </w:rPr>
        <w:t xml:space="preserve">My reference: </w:t>
      </w:r>
      <w:r w:rsidR="00500F20">
        <w:rPr>
          <w:rFonts w:ascii="Calibri" w:hAnsi="Calibri"/>
          <w:noProof/>
        </w:rPr>
        <w:t>3/2020/0517</w:t>
      </w:r>
    </w:p>
    <w:p w:rsidR="000C3E7C" w:rsidRPr="00894ED2" w:rsidRDefault="000C3E7C" w:rsidP="000C3E7C">
      <w:pPr>
        <w:rPr>
          <w:rFonts w:ascii="Calibri" w:hAnsi="Calibri"/>
          <w:noProof/>
          <w:sz w:val="20"/>
        </w:rPr>
      </w:pPr>
      <w:r w:rsidRPr="00894ED2">
        <w:rPr>
          <w:rFonts w:ascii="Calibri" w:hAnsi="Calibri"/>
          <w:noProof/>
        </w:rPr>
        <w:t>Direct Dial: (01200) 425111</w:t>
      </w:r>
    </w:p>
    <w:p w:rsidR="000C3E7C" w:rsidRPr="00894ED2" w:rsidRDefault="000C3E7C" w:rsidP="000C3E7C">
      <w:pPr>
        <w:rPr>
          <w:rFonts w:ascii="Calibri" w:hAnsi="Calibri"/>
          <w:noProof/>
        </w:rPr>
      </w:pPr>
      <w:r w:rsidRPr="00894ED2">
        <w:rPr>
          <w:rFonts w:ascii="Calibri" w:hAnsi="Calibri"/>
          <w:noProof/>
        </w:rPr>
        <w:t>Fax: (01200) 414487</w:t>
      </w:r>
    </w:p>
    <w:p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E7234B">
        <w:rPr>
          <w:rFonts w:ascii="Calibri" w:hAnsi="Calibri"/>
          <w:noProof/>
        </w:rPr>
        <w:t>10 August 2020</w:t>
      </w:r>
      <w:r w:rsidRPr="00894ED2">
        <w:rPr>
          <w:rFonts w:ascii="Calibri" w:hAnsi="Calibri"/>
          <w:noProof/>
        </w:rPr>
        <w:fldChar w:fldCharType="end"/>
      </w:r>
    </w:p>
    <w:p w:rsidR="000C3E7C" w:rsidRDefault="000C3E7C" w:rsidP="000C3E7C">
      <w:pPr>
        <w:rPr>
          <w:rFonts w:ascii="Arial" w:hAnsi="Arial"/>
          <w:noProof/>
          <w:sz w:val="16"/>
        </w:rPr>
      </w:pPr>
    </w:p>
    <w:p w:rsidR="00441735" w:rsidRDefault="00441735">
      <w:pPr>
        <w:pStyle w:val="PLANNING"/>
      </w:pPr>
    </w:p>
    <w:p w:rsidR="00441735" w:rsidRDefault="00441735">
      <w:pPr>
        <w:pStyle w:val="PLANNING"/>
      </w:pPr>
    </w:p>
    <w:p w:rsidR="00500F20" w:rsidRDefault="000C3E7C" w:rsidP="000C3E7C">
      <w:pPr>
        <w:rPr>
          <w:rFonts w:ascii="Calibri" w:hAnsi="Calibri"/>
          <w:sz w:val="24"/>
          <w:szCs w:val="24"/>
        </w:rPr>
      </w:pPr>
      <w:r w:rsidRPr="00344823">
        <w:rPr>
          <w:rFonts w:ascii="Calibri" w:hAnsi="Calibri" w:cs="Calibri"/>
          <w:color w:val="000000"/>
        </w:rPr>
        <w:t xml:space="preserve">Location: </w:t>
      </w:r>
      <w:r w:rsidR="00500F20">
        <w:rPr>
          <w:rFonts w:ascii="Calibri" w:hAnsi="Calibri"/>
          <w:sz w:val="24"/>
          <w:szCs w:val="24"/>
        </w:rPr>
        <w:t>Pendle View Primrose Lane Mellor BB2 7EQ</w:t>
      </w:r>
    </w:p>
    <w:p w:rsidR="000C3E7C" w:rsidRDefault="000C3E7C" w:rsidP="000C3E7C">
      <w:pPr>
        <w:rPr>
          <w:rFonts w:ascii="Calibri" w:hAnsi="Calibri" w:cs="Calibri"/>
          <w:color w:val="000000"/>
        </w:rPr>
      </w:pPr>
    </w:p>
    <w:p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500F20">
        <w:rPr>
          <w:rFonts w:ascii="Calibri" w:hAnsi="Calibri"/>
          <w:sz w:val="24"/>
          <w:szCs w:val="24"/>
        </w:rPr>
        <w:t>Discharge of condition 8 (lighting), 9 (landscaping), 11 (construction), 15 (construction method statement) and 17 (site management plan) of application 3/2019/0894).</w:t>
      </w:r>
    </w:p>
    <w:p w:rsidR="000C3E7C" w:rsidRDefault="000C3E7C" w:rsidP="000C3E7C">
      <w:pPr>
        <w:rPr>
          <w:rFonts w:ascii="Calibri" w:hAnsi="Calibri" w:cs="Calibri"/>
          <w:color w:val="000000"/>
        </w:rPr>
      </w:pPr>
    </w:p>
    <w:p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500F20">
        <w:rPr>
          <w:rFonts w:ascii="Calibri" w:hAnsi="Calibri" w:cs="Calibri"/>
          <w:color w:val="000000"/>
        </w:rPr>
        <w:t>3/2020/0517</w:t>
      </w:r>
    </w:p>
    <w:p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trPr>
          <w:cantSplit/>
        </w:trPr>
        <w:tc>
          <w:tcPr>
            <w:tcW w:w="9414" w:type="dxa"/>
            <w:tcBorders>
              <w:left w:val="nil"/>
            </w:tcBorders>
          </w:tcPr>
          <w:p w:rsidR="00500F20" w:rsidRDefault="00500F20">
            <w:pPr>
              <w:pStyle w:val="TableText"/>
              <w:rPr>
                <w:rFonts w:ascii="Calibri" w:hAnsi="Calibri"/>
                <w:sz w:val="24"/>
                <w:szCs w:val="24"/>
              </w:rPr>
            </w:pPr>
            <w:r>
              <w:rPr>
                <w:rFonts w:ascii="Calibri" w:hAnsi="Calibri"/>
                <w:sz w:val="24"/>
                <w:szCs w:val="24"/>
              </w:rPr>
              <w:t>Condition 8 (lighting) can be discharged insofar that the submitted details are agreed by the Local Planning Authority. The Sitar Outdoor Post Anthracite IP65 LED bollard lights and their distribution on site as shown on drawing no. Monk/924/2864/01B are considered acceptable and would not impact negatively on the visual amenity of the area or protected species and/ or species of conservation concern. The lighting shall be installed in accordance with the approved details.</w:t>
            </w:r>
          </w:p>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00F20" w:rsidRDefault="00500F20">
            <w:pPr>
              <w:pStyle w:val="TableText"/>
              <w:rPr>
                <w:rFonts w:ascii="Calibri" w:hAnsi="Calibri"/>
                <w:sz w:val="24"/>
                <w:szCs w:val="24"/>
              </w:rPr>
            </w:pPr>
            <w:r>
              <w:rPr>
                <w:rFonts w:ascii="Calibri" w:hAnsi="Calibri"/>
                <w:sz w:val="24"/>
                <w:szCs w:val="24"/>
              </w:rPr>
              <w:lastRenderedPageBreak/>
              <w:t>Condition 9 (landscaping) can be discharged insofar that the submitted details (drawing no. Monk/924/2864/01B) are agreed by the Local Planning Authority. The proposed Lancashire mix hedgerow planting around the perimeter of the site would aid in screening views into the development site and would provide biodiversity enhancement. The landscaping shall be carried out in accordance with the approved details within the first planting and seeding seasons following the occupation of any buildings or the completion of the development, whichever is the sooner, and any trees or plants which within a period of 5 years from the completion of the development die, are removed or become seriously damaged or diseased shall be replaced in the next planting season with others of similar size and species.</w:t>
            </w:r>
          </w:p>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00F20" w:rsidRDefault="00500F20">
            <w:pPr>
              <w:pStyle w:val="TableText"/>
              <w:rPr>
                <w:rFonts w:ascii="Calibri" w:hAnsi="Calibri"/>
                <w:sz w:val="24"/>
                <w:szCs w:val="24"/>
              </w:rPr>
            </w:pPr>
            <w:r>
              <w:rPr>
                <w:rFonts w:ascii="Calibri" w:hAnsi="Calibri"/>
                <w:sz w:val="24"/>
                <w:szCs w:val="24"/>
              </w:rPr>
              <w:t>Condition 11 (site access) can be discharged insofar that the submitted details (drawing no. Monk/924/2864/01B are agreed by the Local Planning Authority. The site access shall be constructed in accordance with the approved details before the holiday lodges are first brought into use.</w:t>
            </w:r>
          </w:p>
          <w:p w:rsidR="005F71C3" w:rsidRPr="00641E0F" w:rsidRDefault="005F71C3">
            <w:pPr>
              <w:pStyle w:val="TableText"/>
              <w:rPr>
                <w:rFonts w:ascii="Calibri" w:hAnsi="Calibri"/>
                <w:sz w:val="24"/>
                <w:szCs w:val="24"/>
              </w:rPr>
            </w:pPr>
          </w:p>
        </w:tc>
      </w:tr>
      <w:tr w:rsidR="005F71C3" w:rsidRPr="00641E0F">
        <w:trPr>
          <w:cantSplit/>
        </w:trPr>
        <w:tc>
          <w:tcPr>
            <w:tcW w:w="9414" w:type="dxa"/>
            <w:tcBorders>
              <w:left w:val="nil"/>
            </w:tcBorders>
          </w:tcPr>
          <w:p w:rsidR="00500F20" w:rsidRDefault="00500F20">
            <w:pPr>
              <w:pStyle w:val="TableText"/>
              <w:rPr>
                <w:rFonts w:ascii="Calibri" w:hAnsi="Calibri"/>
                <w:sz w:val="24"/>
                <w:szCs w:val="24"/>
              </w:rPr>
            </w:pPr>
            <w:r>
              <w:rPr>
                <w:rFonts w:ascii="Calibri" w:hAnsi="Calibri"/>
                <w:sz w:val="24"/>
                <w:szCs w:val="24"/>
              </w:rPr>
              <w:t>Condition 15 (construction method statement) can be discharged insofar that the submitted details contained within the Construction Method Statement (including Appendix 1) dated 30 June 2020 are agreed by the Local Planning Authority. The condition requires that the development be carried out in complete accordance with the approved details.</w:t>
            </w:r>
          </w:p>
          <w:p w:rsidR="005F71C3" w:rsidRPr="00641E0F" w:rsidRDefault="005F71C3">
            <w:pPr>
              <w:pStyle w:val="TableText"/>
              <w:rPr>
                <w:rFonts w:ascii="Calibri" w:hAnsi="Calibri"/>
                <w:sz w:val="24"/>
                <w:szCs w:val="24"/>
              </w:rPr>
            </w:pPr>
          </w:p>
        </w:tc>
      </w:tr>
      <w:tr w:rsidR="005F71C3">
        <w:trPr>
          <w:cantSplit/>
        </w:trPr>
        <w:tc>
          <w:tcPr>
            <w:tcW w:w="9414" w:type="dxa"/>
            <w:tcBorders>
              <w:left w:val="nil"/>
            </w:tcBorders>
          </w:tcPr>
          <w:p w:rsidR="00500F20" w:rsidRDefault="00500F20">
            <w:pPr>
              <w:pStyle w:val="TableText"/>
              <w:rPr>
                <w:rFonts w:ascii="Calibri" w:hAnsi="Calibri"/>
                <w:b/>
                <w:bCs/>
                <w:sz w:val="24"/>
                <w:szCs w:val="24"/>
              </w:rPr>
            </w:pPr>
            <w:bookmarkStart w:id="1" w:name="Informatives_table"/>
            <w:bookmarkEnd w:id="1"/>
            <w:r>
              <w:rPr>
                <w:rFonts w:ascii="Calibri" w:hAnsi="Calibri"/>
                <w:b/>
                <w:bCs/>
                <w:sz w:val="24"/>
                <w:szCs w:val="24"/>
              </w:rPr>
              <w:t>Condition 17 (site management plan) can be discharged insofar that the submitted Site Management Plan (June 2020) is considered acceptable by the Local Planning Authority. The condition requires that the site be operated in strict accordance with the Site Management Plan.</w:t>
            </w:r>
          </w:p>
          <w:p w:rsidR="005F71C3" w:rsidRPr="00641E0F" w:rsidRDefault="005F71C3">
            <w:pPr>
              <w:pStyle w:val="TableText"/>
              <w:rPr>
                <w:rFonts w:ascii="Calibri" w:hAnsi="Calibri"/>
                <w:b/>
                <w:bCs/>
                <w:sz w:val="24"/>
                <w:szCs w:val="24"/>
              </w:rPr>
            </w:pPr>
          </w:p>
        </w:tc>
      </w:tr>
      <w:tr w:rsidR="00500F20">
        <w:trPr>
          <w:cantSplit/>
        </w:trPr>
        <w:tc>
          <w:tcPr>
            <w:tcW w:w="9414" w:type="dxa"/>
            <w:tcBorders>
              <w:left w:val="nil"/>
            </w:tcBorders>
          </w:tcPr>
          <w:p w:rsidR="00500F20" w:rsidRDefault="00500F20">
            <w:pPr>
              <w:pStyle w:val="TableText"/>
              <w:rPr>
                <w:rFonts w:ascii="Calibri" w:hAnsi="Calibri"/>
                <w:sz w:val="24"/>
                <w:szCs w:val="24"/>
              </w:rPr>
            </w:pPr>
          </w:p>
          <w:p w:rsidR="00500F20" w:rsidRPr="00641E0F" w:rsidRDefault="00500F20">
            <w:pPr>
              <w:pStyle w:val="TableText"/>
              <w:rPr>
                <w:rFonts w:ascii="Calibri" w:hAnsi="Calibri"/>
                <w:sz w:val="24"/>
                <w:szCs w:val="24"/>
              </w:rPr>
            </w:pPr>
          </w:p>
        </w:tc>
      </w:tr>
    </w:tbl>
    <w:p w:rsidR="00EC3181" w:rsidRDefault="00EC3181" w:rsidP="00EC3181">
      <w:pPr>
        <w:jc w:val="both"/>
        <w:textAlignment w:val="auto"/>
        <w:rPr>
          <w:rFonts w:ascii="Calibri" w:hAnsi="Calibri"/>
          <w:b/>
          <w:sz w:val="24"/>
          <w:szCs w:val="24"/>
        </w:rPr>
      </w:pPr>
      <w:r>
        <w:rPr>
          <w:rFonts w:ascii="Calibri" w:hAnsi="Calibri"/>
          <w:b/>
          <w:sz w:val="24"/>
          <w:szCs w:val="24"/>
        </w:rPr>
        <w:t>NICOLA HOPKINS</w:t>
      </w:r>
    </w:p>
    <w:p w:rsidR="00EC3181" w:rsidRPr="005E7776" w:rsidRDefault="00EC3181" w:rsidP="00EC3181">
      <w:pPr>
        <w:rPr>
          <w:rFonts w:ascii="Calibri" w:hAnsi="Calibri"/>
          <w:b/>
          <w:sz w:val="24"/>
          <w:szCs w:val="24"/>
        </w:rPr>
      </w:pPr>
      <w:r w:rsidRPr="005E7776">
        <w:rPr>
          <w:rFonts w:ascii="Calibri" w:hAnsi="Calibri"/>
          <w:b/>
          <w:sz w:val="24"/>
          <w:szCs w:val="24"/>
        </w:rPr>
        <w:t>DIRECTOR OF ECONOMIC DEVELOPMENT AND PLANNING</w:t>
      </w:r>
    </w:p>
    <w:p w:rsidR="00E92439" w:rsidRDefault="00E92439" w:rsidP="00EC3181">
      <w:pPr>
        <w:pStyle w:val="TableText"/>
        <w:rPr>
          <w:rFonts w:ascii="Arial" w:hAnsi="Arial" w:cs="Arial"/>
          <w:b/>
        </w:rPr>
      </w:pPr>
    </w:p>
    <w:p w:rsidR="009F3984" w:rsidRDefault="009F3984" w:rsidP="00EC3181">
      <w:pPr>
        <w:pStyle w:val="TableText"/>
        <w:rPr>
          <w:rFonts w:ascii="Arial" w:hAnsi="Arial" w:cs="Arial"/>
          <w:b/>
        </w:rPr>
      </w:pPr>
    </w:p>
    <w:p w:rsidR="009F3984" w:rsidRPr="00DD62CA" w:rsidRDefault="00500F20" w:rsidP="009F3984">
      <w:pPr>
        <w:rPr>
          <w:rFonts w:ascii="Calibri" w:hAnsi="Calibri"/>
          <w:sz w:val="24"/>
          <w:szCs w:val="24"/>
        </w:rPr>
      </w:pPr>
      <w:r>
        <w:rPr>
          <w:rFonts w:ascii="Calibri" w:hAnsi="Calibri"/>
          <w:sz w:val="24"/>
          <w:szCs w:val="24"/>
        </w:rPr>
        <w:t>Mrs L Monk</w:t>
      </w:r>
    </w:p>
    <w:p w:rsidR="00500F20" w:rsidRDefault="00500F20" w:rsidP="009F3984">
      <w:pPr>
        <w:pStyle w:val="TableText"/>
        <w:rPr>
          <w:rFonts w:ascii="Calibri" w:hAnsi="Calibri"/>
          <w:sz w:val="24"/>
          <w:szCs w:val="24"/>
        </w:rPr>
      </w:pPr>
      <w:r>
        <w:rPr>
          <w:rFonts w:ascii="Calibri" w:hAnsi="Calibri"/>
          <w:sz w:val="24"/>
          <w:szCs w:val="24"/>
        </w:rPr>
        <w:t>The Farmhouse</w:t>
      </w:r>
    </w:p>
    <w:p w:rsidR="00500F20" w:rsidRDefault="00500F20" w:rsidP="009F3984">
      <w:pPr>
        <w:pStyle w:val="TableText"/>
        <w:rPr>
          <w:rFonts w:ascii="Calibri" w:hAnsi="Calibri"/>
          <w:sz w:val="24"/>
          <w:szCs w:val="24"/>
        </w:rPr>
      </w:pPr>
      <w:r>
        <w:rPr>
          <w:rFonts w:ascii="Calibri" w:hAnsi="Calibri"/>
          <w:sz w:val="24"/>
          <w:szCs w:val="24"/>
        </w:rPr>
        <w:t>Cunliffe Moss Farm</w:t>
      </w:r>
    </w:p>
    <w:p w:rsidR="00500F20" w:rsidRDefault="00500F20" w:rsidP="009F3984">
      <w:pPr>
        <w:pStyle w:val="TableText"/>
        <w:rPr>
          <w:rFonts w:ascii="Calibri" w:hAnsi="Calibri"/>
          <w:sz w:val="24"/>
          <w:szCs w:val="24"/>
        </w:rPr>
      </w:pPr>
      <w:r>
        <w:rPr>
          <w:rFonts w:ascii="Calibri" w:hAnsi="Calibri"/>
          <w:sz w:val="24"/>
          <w:szCs w:val="24"/>
        </w:rPr>
        <w:t xml:space="preserve">Saccary Lane </w:t>
      </w:r>
    </w:p>
    <w:p w:rsidR="00500F20" w:rsidRDefault="00500F20" w:rsidP="009F3984">
      <w:pPr>
        <w:pStyle w:val="TableText"/>
        <w:rPr>
          <w:rFonts w:ascii="Calibri" w:hAnsi="Calibri"/>
          <w:sz w:val="24"/>
          <w:szCs w:val="24"/>
        </w:rPr>
      </w:pPr>
      <w:r>
        <w:rPr>
          <w:rFonts w:ascii="Calibri" w:hAnsi="Calibri"/>
          <w:sz w:val="24"/>
          <w:szCs w:val="24"/>
        </w:rPr>
        <w:t>Mellor</w:t>
      </w:r>
    </w:p>
    <w:p w:rsidR="009F3984" w:rsidRDefault="00500F20" w:rsidP="009F3984">
      <w:pPr>
        <w:pStyle w:val="TableText"/>
        <w:rPr>
          <w:rFonts w:ascii="Calibri" w:hAnsi="Calibri"/>
          <w:sz w:val="24"/>
          <w:szCs w:val="24"/>
        </w:rPr>
      </w:pPr>
      <w:r>
        <w:rPr>
          <w:rFonts w:ascii="Calibri" w:hAnsi="Calibri"/>
          <w:sz w:val="24"/>
          <w:szCs w:val="24"/>
        </w:rPr>
        <w:t>BB1 9DL</w:t>
      </w:r>
    </w:p>
    <w:p w:rsidR="009F3984" w:rsidRDefault="009F3984" w:rsidP="009F3984">
      <w:pPr>
        <w:pStyle w:val="TableText"/>
        <w:rPr>
          <w:rFonts w:ascii="Calibri" w:hAnsi="Calibri"/>
          <w:sz w:val="24"/>
          <w:szCs w:val="24"/>
        </w:rPr>
      </w:pPr>
    </w:p>
    <w:p w:rsidR="009F3984" w:rsidRDefault="009F3984" w:rsidP="009F3984">
      <w:pPr>
        <w:pStyle w:val="TableText"/>
        <w:rPr>
          <w:rFonts w:ascii="Calibri" w:hAnsi="Calibri"/>
          <w:sz w:val="24"/>
          <w:szCs w:val="24"/>
        </w:rPr>
      </w:pPr>
      <w:bookmarkStart w:id="2" w:name="Agent"/>
      <w:r>
        <w:rPr>
          <w:rFonts w:ascii="Calibri" w:hAnsi="Calibri"/>
          <w:sz w:val="24"/>
          <w:szCs w:val="24"/>
        </w:rPr>
        <w:t>Agent</w:t>
      </w:r>
    </w:p>
    <w:bookmarkEnd w:id="2"/>
    <w:p w:rsidR="00500F20" w:rsidRDefault="00500F20" w:rsidP="009F3984">
      <w:pPr>
        <w:pStyle w:val="TableText"/>
        <w:rPr>
          <w:rFonts w:ascii="Calibri" w:hAnsi="Calibri"/>
          <w:sz w:val="24"/>
          <w:szCs w:val="24"/>
        </w:rPr>
      </w:pPr>
      <w:r>
        <w:rPr>
          <w:rFonts w:ascii="Calibri" w:hAnsi="Calibri"/>
          <w:sz w:val="24"/>
          <w:szCs w:val="24"/>
        </w:rPr>
        <w:t>Gary Hoerty Associates</w:t>
      </w:r>
    </w:p>
    <w:p w:rsidR="00500F20" w:rsidRDefault="00500F20" w:rsidP="009F3984">
      <w:pPr>
        <w:pStyle w:val="TableText"/>
        <w:rPr>
          <w:rFonts w:ascii="Calibri" w:hAnsi="Calibri"/>
          <w:sz w:val="24"/>
          <w:szCs w:val="24"/>
        </w:rPr>
      </w:pPr>
      <w:r>
        <w:rPr>
          <w:rFonts w:ascii="Calibri" w:hAnsi="Calibri"/>
          <w:sz w:val="24"/>
          <w:szCs w:val="24"/>
        </w:rPr>
        <w:t>Suite 9</w:t>
      </w:r>
    </w:p>
    <w:p w:rsidR="00500F20" w:rsidRDefault="00500F20" w:rsidP="009F3984">
      <w:pPr>
        <w:pStyle w:val="TableText"/>
        <w:rPr>
          <w:rFonts w:ascii="Calibri" w:hAnsi="Calibri"/>
          <w:sz w:val="24"/>
          <w:szCs w:val="24"/>
        </w:rPr>
      </w:pPr>
      <w:r>
        <w:rPr>
          <w:rFonts w:ascii="Calibri" w:hAnsi="Calibri"/>
          <w:sz w:val="24"/>
          <w:szCs w:val="24"/>
        </w:rPr>
        <w:t>Grindleton Business Centre</w:t>
      </w:r>
    </w:p>
    <w:p w:rsidR="00500F20" w:rsidRDefault="00500F20" w:rsidP="009F3984">
      <w:pPr>
        <w:pStyle w:val="TableText"/>
        <w:rPr>
          <w:rFonts w:ascii="Calibri" w:hAnsi="Calibri"/>
          <w:sz w:val="24"/>
          <w:szCs w:val="24"/>
        </w:rPr>
      </w:pPr>
      <w:r>
        <w:rPr>
          <w:rFonts w:ascii="Calibri" w:hAnsi="Calibri"/>
          <w:sz w:val="24"/>
          <w:szCs w:val="24"/>
        </w:rPr>
        <w:t>The Spinney</w:t>
      </w:r>
    </w:p>
    <w:p w:rsidR="00500F20" w:rsidRDefault="00500F20" w:rsidP="009F3984">
      <w:pPr>
        <w:pStyle w:val="TableText"/>
        <w:rPr>
          <w:rFonts w:ascii="Calibri" w:hAnsi="Calibri"/>
          <w:sz w:val="24"/>
          <w:szCs w:val="24"/>
        </w:rPr>
      </w:pPr>
      <w:r>
        <w:rPr>
          <w:rFonts w:ascii="Calibri" w:hAnsi="Calibri"/>
          <w:sz w:val="24"/>
          <w:szCs w:val="24"/>
        </w:rPr>
        <w:t xml:space="preserve">Grindleton </w:t>
      </w:r>
    </w:p>
    <w:p w:rsidR="00500F20" w:rsidRDefault="00500F20" w:rsidP="009F3984">
      <w:pPr>
        <w:pStyle w:val="TableText"/>
        <w:rPr>
          <w:rFonts w:ascii="Calibri" w:hAnsi="Calibri"/>
          <w:sz w:val="24"/>
          <w:szCs w:val="24"/>
        </w:rPr>
      </w:pPr>
      <w:r>
        <w:rPr>
          <w:rFonts w:ascii="Calibri" w:hAnsi="Calibri"/>
          <w:sz w:val="24"/>
          <w:szCs w:val="24"/>
        </w:rPr>
        <w:t>Clitheroe</w:t>
      </w:r>
    </w:p>
    <w:p w:rsidR="009F3984" w:rsidRPr="009F3984" w:rsidRDefault="00500F20" w:rsidP="009F3984">
      <w:pPr>
        <w:pStyle w:val="TableText"/>
        <w:rPr>
          <w:rFonts w:ascii="Calibri" w:hAnsi="Calibri"/>
          <w:sz w:val="24"/>
          <w:szCs w:val="24"/>
        </w:rPr>
      </w:pPr>
      <w:r>
        <w:rPr>
          <w:rFonts w:ascii="Calibri" w:hAnsi="Calibri"/>
          <w:sz w:val="24"/>
          <w:szCs w:val="24"/>
        </w:rPr>
        <w:t>BB7 4DH</w:t>
      </w:r>
    </w:p>
    <w:sectPr w:rsidR="009F3984" w:rsidRPr="009F3984">
      <w:headerReference w:type="default" r:id="rId8"/>
      <w:footerReference w:type="default" r:id="rId9"/>
      <w:headerReference w:type="firs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F20" w:rsidRDefault="00500F20">
      <w:r>
        <w:separator/>
      </w:r>
    </w:p>
  </w:endnote>
  <w:endnote w:type="continuationSeparator" w:id="0">
    <w:p w:rsidR="00500F20" w:rsidRDefault="0050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F20" w:rsidRDefault="00500F20">
      <w:r>
        <w:separator/>
      </w:r>
    </w:p>
  </w:footnote>
  <w:footnote w:type="continuationSeparator" w:id="0">
    <w:p w:rsidR="00500F20" w:rsidRDefault="00500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2D3" w:rsidRPr="00641E0F" w:rsidRDefault="005522D3">
    <w:pPr>
      <w:rPr>
        <w:rFonts w:ascii="Calibri" w:hAnsi="Calibri"/>
        <w:sz w:val="24"/>
        <w:szCs w:val="24"/>
      </w:rPr>
    </w:pPr>
    <w:r w:rsidRPr="00641E0F">
      <w:rPr>
        <w:rFonts w:ascii="Calibri" w:hAnsi="Calibri"/>
        <w:sz w:val="24"/>
        <w:szCs w:val="24"/>
      </w:rPr>
      <w:t>RIBBLE VALLEY BOROUGH COUNCIL</w:t>
    </w:r>
  </w:p>
  <w:p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rsidR="005522D3" w:rsidRPr="00641E0F" w:rsidRDefault="005522D3">
    <w:pPr>
      <w:pStyle w:val="addresses"/>
      <w:rPr>
        <w:rFonts w:ascii="Calibri" w:hAnsi="Calibri"/>
        <w:sz w:val="24"/>
        <w:szCs w:val="24"/>
      </w:rPr>
    </w:pPr>
  </w:p>
  <w:p w:rsidR="005522D3" w:rsidRPr="00641E0F" w:rsidRDefault="005522D3">
    <w:pPr>
      <w:rPr>
        <w:rFonts w:ascii="Calibri" w:hAnsi="Calibri"/>
        <w:b/>
        <w:bCs/>
        <w:sz w:val="24"/>
        <w:szCs w:val="24"/>
      </w:rPr>
    </w:pPr>
    <w:r w:rsidRPr="00641E0F">
      <w:rPr>
        <w:rFonts w:ascii="Calibri" w:hAnsi="Calibri"/>
        <w:b/>
        <w:bCs/>
        <w:sz w:val="24"/>
        <w:szCs w:val="24"/>
      </w:rPr>
      <w:t xml:space="preserve">APPLICATION NO.                                                                         DECISION DATE: </w:t>
    </w:r>
    <w:r w:rsidR="00500F20">
      <w:rPr>
        <w:rFonts w:ascii="Calibri" w:hAnsi="Calibri"/>
        <w:b/>
        <w:bCs/>
        <w:sz w:val="24"/>
        <w:szCs w:val="24"/>
      </w:rPr>
      <w:t>10/08/2020</w:t>
    </w:r>
  </w:p>
  <w:p w:rsidR="005522D3" w:rsidRDefault="005522D3">
    <w:pPr>
      <w:pBdr>
        <w:bottom w:val="single" w:sz="4" w:space="1" w:color="auto"/>
      </w:pBdr>
    </w:pPr>
  </w:p>
  <w:p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1C3" w:rsidRPr="005F71C3" w:rsidRDefault="005F71C3" w:rsidP="005F71C3">
    <w:pPr>
      <w:pStyle w:val="Header"/>
      <w:jc w:val="center"/>
      <w:rPr>
        <w:rFonts w:ascii="Calibri" w:hAnsi="Calibri"/>
      </w:rPr>
    </w:pPr>
    <w:r w:rsidRPr="005F71C3">
      <w:rPr>
        <w:rFonts w:ascii="Calibri" w:hAnsi="Calibri"/>
      </w:rPr>
      <w:t>Chief Executive : Marshal Scott CPFA</w:t>
    </w:r>
  </w:p>
  <w:p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20"/>
    <w:rsid w:val="000C3E7C"/>
    <w:rsid w:val="001A0F1B"/>
    <w:rsid w:val="0025344E"/>
    <w:rsid w:val="00297B24"/>
    <w:rsid w:val="00441735"/>
    <w:rsid w:val="00500F20"/>
    <w:rsid w:val="005522D3"/>
    <w:rsid w:val="00566271"/>
    <w:rsid w:val="00577DC1"/>
    <w:rsid w:val="005F71C3"/>
    <w:rsid w:val="00641E0F"/>
    <w:rsid w:val="007526EC"/>
    <w:rsid w:val="007A7F6F"/>
    <w:rsid w:val="00851E6F"/>
    <w:rsid w:val="009F3984"/>
    <w:rsid w:val="00D93F8F"/>
    <w:rsid w:val="00DE6561"/>
    <w:rsid w:val="00E7234B"/>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B84C29-DEE8-4260-8F1D-51C8ACE1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439</Words>
  <Characters>2722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3155</CharactersWithSpaces>
  <SharedDoc>false</SharedDoc>
  <HLinks>
    <vt:vector size="6" baseType="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2020-08-10T11:07:00Z</cp:lastPrinted>
  <dcterms:created xsi:type="dcterms:W3CDTF">2020-08-10T11:10:00Z</dcterms:created>
  <dcterms:modified xsi:type="dcterms:W3CDTF">2020-08-10T11:10:00Z</dcterms:modified>
</cp:coreProperties>
</file>