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1635BB">
            <w:pPr>
              <w:pStyle w:val="addresses"/>
              <w:rPr>
                <w:rFonts w:ascii="Calibri" w:hAnsi="Calibri"/>
                <w:sz w:val="24"/>
                <w:szCs w:val="24"/>
              </w:rPr>
            </w:pPr>
            <w:r>
              <w:rPr>
                <w:rFonts w:ascii="Calibri" w:hAnsi="Calibri"/>
                <w:sz w:val="24"/>
                <w:szCs w:val="24"/>
              </w:rPr>
              <w:t>3/2020/0824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1635BB">
            <w:pPr>
              <w:rPr>
                <w:rFonts w:ascii="Calibri" w:hAnsi="Calibri"/>
                <w:sz w:val="24"/>
                <w:szCs w:val="24"/>
              </w:rPr>
            </w:pPr>
            <w:r>
              <w:rPr>
                <w:rFonts w:ascii="Calibri" w:hAnsi="Calibri"/>
                <w:sz w:val="24"/>
                <w:szCs w:val="24"/>
              </w:rPr>
              <w:t>11 November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1635BB">
            <w:pPr>
              <w:rPr>
                <w:rFonts w:ascii="Calibri" w:hAnsi="Calibri"/>
                <w:sz w:val="24"/>
                <w:szCs w:val="24"/>
              </w:rPr>
            </w:pPr>
            <w:r>
              <w:rPr>
                <w:rFonts w:ascii="Calibri" w:hAnsi="Calibri"/>
                <w:sz w:val="24"/>
                <w:szCs w:val="24"/>
              </w:rPr>
              <w:t>05/10/2020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1635BB">
            <w:pPr>
              <w:rPr>
                <w:rFonts w:ascii="Calibri" w:hAnsi="Calibri"/>
                <w:sz w:val="24"/>
                <w:szCs w:val="24"/>
              </w:rPr>
            </w:pPr>
            <w:r>
              <w:rPr>
                <w:rFonts w:ascii="Calibri" w:hAnsi="Calibri"/>
                <w:sz w:val="24"/>
                <w:szCs w:val="24"/>
              </w:rPr>
              <w:t>Mr Carl Bolton</w:t>
            </w:r>
          </w:p>
          <w:p w:rsidR="001635BB" w:rsidRDefault="001635BB">
            <w:pPr>
              <w:rPr>
                <w:rFonts w:ascii="Calibri" w:hAnsi="Calibri"/>
                <w:sz w:val="24"/>
                <w:szCs w:val="24"/>
              </w:rPr>
            </w:pPr>
            <w:r>
              <w:rPr>
                <w:rFonts w:ascii="Calibri" w:hAnsi="Calibri"/>
                <w:sz w:val="24"/>
                <w:szCs w:val="24"/>
              </w:rPr>
              <w:t>34 Durham Road</w:t>
            </w:r>
          </w:p>
          <w:p w:rsidR="001635BB" w:rsidRDefault="001635BB">
            <w:pPr>
              <w:rPr>
                <w:rFonts w:ascii="Calibri" w:hAnsi="Calibri"/>
                <w:sz w:val="24"/>
                <w:szCs w:val="24"/>
              </w:rPr>
            </w:pPr>
            <w:r>
              <w:rPr>
                <w:rFonts w:ascii="Calibri" w:hAnsi="Calibri"/>
                <w:sz w:val="24"/>
                <w:szCs w:val="24"/>
              </w:rPr>
              <w:t>Wilpshire</w:t>
            </w:r>
          </w:p>
          <w:p w:rsidR="001635BB" w:rsidRDefault="001635BB">
            <w:pPr>
              <w:rPr>
                <w:rFonts w:ascii="Calibri" w:hAnsi="Calibri"/>
                <w:sz w:val="24"/>
                <w:szCs w:val="24"/>
              </w:rPr>
            </w:pPr>
            <w:r>
              <w:rPr>
                <w:rFonts w:ascii="Calibri" w:hAnsi="Calibri"/>
                <w:sz w:val="24"/>
                <w:szCs w:val="24"/>
              </w:rPr>
              <w:t>Blackburn</w:t>
            </w:r>
          </w:p>
          <w:p w:rsidR="002F3ADA" w:rsidRPr="00DD62CA" w:rsidRDefault="001635BB">
            <w:pPr>
              <w:rPr>
                <w:rFonts w:ascii="Calibri" w:hAnsi="Calibri"/>
                <w:sz w:val="24"/>
                <w:szCs w:val="24"/>
              </w:rPr>
            </w:pPr>
            <w:r>
              <w:rPr>
                <w:rFonts w:ascii="Calibri" w:hAnsi="Calibri"/>
                <w:sz w:val="24"/>
                <w:szCs w:val="24"/>
              </w:rPr>
              <w:t>BB1 9NH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1635BB">
            <w:pPr>
              <w:pStyle w:val="addresses"/>
              <w:rPr>
                <w:rFonts w:ascii="Calibri" w:hAnsi="Calibri"/>
                <w:sz w:val="24"/>
                <w:szCs w:val="24"/>
              </w:rPr>
            </w:pPr>
            <w:r>
              <w:rPr>
                <w:rFonts w:ascii="Calibri" w:hAnsi="Calibri"/>
                <w:sz w:val="24"/>
                <w:szCs w:val="24"/>
              </w:rPr>
              <w:t>Mr Alan Cross</w:t>
            </w:r>
          </w:p>
          <w:p w:rsidR="001635BB" w:rsidRDefault="001635BB">
            <w:pPr>
              <w:pStyle w:val="addresses"/>
              <w:rPr>
                <w:rFonts w:ascii="Calibri" w:hAnsi="Calibri"/>
                <w:sz w:val="24"/>
                <w:szCs w:val="24"/>
              </w:rPr>
            </w:pPr>
            <w:r>
              <w:rPr>
                <w:rFonts w:ascii="Calibri" w:hAnsi="Calibri"/>
                <w:sz w:val="24"/>
                <w:szCs w:val="24"/>
              </w:rPr>
              <w:t>9 Healey Mount</w:t>
            </w:r>
          </w:p>
          <w:p w:rsidR="001635BB" w:rsidRDefault="001635BB">
            <w:pPr>
              <w:pStyle w:val="addresses"/>
              <w:rPr>
                <w:rFonts w:ascii="Calibri" w:hAnsi="Calibri"/>
                <w:sz w:val="24"/>
                <w:szCs w:val="24"/>
              </w:rPr>
            </w:pPr>
            <w:r>
              <w:rPr>
                <w:rFonts w:ascii="Calibri" w:hAnsi="Calibri"/>
                <w:sz w:val="24"/>
                <w:szCs w:val="24"/>
              </w:rPr>
              <w:t>Burnley</w:t>
            </w:r>
          </w:p>
          <w:p w:rsidR="002F3ADA" w:rsidRPr="00DD62CA" w:rsidRDefault="001635BB">
            <w:pPr>
              <w:pStyle w:val="addresses"/>
              <w:rPr>
                <w:rFonts w:ascii="Calibri" w:hAnsi="Calibri"/>
                <w:sz w:val="24"/>
                <w:szCs w:val="24"/>
              </w:rPr>
            </w:pPr>
            <w:r>
              <w:rPr>
                <w:rFonts w:ascii="Calibri" w:hAnsi="Calibri"/>
                <w:sz w:val="24"/>
                <w:szCs w:val="24"/>
              </w:rPr>
              <w:t>BB11 2QG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1635BB">
            <w:pPr>
              <w:pStyle w:val="TableText"/>
              <w:rPr>
                <w:rFonts w:ascii="Calibri" w:hAnsi="Calibri"/>
                <w:sz w:val="24"/>
                <w:szCs w:val="24"/>
              </w:rPr>
            </w:pPr>
            <w:r>
              <w:rPr>
                <w:rFonts w:ascii="Calibri" w:hAnsi="Calibri"/>
                <w:sz w:val="24"/>
                <w:szCs w:val="24"/>
              </w:rPr>
              <w:t>Demolish existing garage and porch. Proposed two storey side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1635BB">
            <w:pPr>
              <w:pStyle w:val="TableText"/>
              <w:rPr>
                <w:rFonts w:ascii="Calibri" w:hAnsi="Calibri"/>
                <w:sz w:val="24"/>
                <w:szCs w:val="24"/>
              </w:rPr>
            </w:pPr>
            <w:r>
              <w:rPr>
                <w:rFonts w:ascii="Calibri" w:hAnsi="Calibri"/>
                <w:sz w:val="24"/>
                <w:szCs w:val="24"/>
              </w:rPr>
              <w:t>34 Durham Road Wilpshire BB1 9NH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1635BB" w:rsidRDefault="001635B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1635BB" w:rsidRDefault="001635BB">
            <w:pPr>
              <w:pStyle w:val="TableText"/>
              <w:rPr>
                <w:rFonts w:ascii="Calibri" w:hAnsi="Calibri"/>
                <w:sz w:val="24"/>
                <w:szCs w:val="24"/>
              </w:rPr>
            </w:pPr>
          </w:p>
          <w:p w:rsidR="001635BB" w:rsidRDefault="001635B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1635BB" w:rsidRDefault="001635BB">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1635BB" w:rsidRPr="00DD62CA">
        <w:trPr>
          <w:cantSplit/>
          <w:trHeight w:val="527"/>
        </w:trPr>
        <w:tc>
          <w:tcPr>
            <w:tcW w:w="988" w:type="dxa"/>
          </w:tcPr>
          <w:p w:rsidR="001635BB" w:rsidRPr="00DD62CA" w:rsidRDefault="001635BB">
            <w:pPr>
              <w:pStyle w:val="TableText"/>
              <w:numPr>
                <w:ilvl w:val="0"/>
                <w:numId w:val="3"/>
              </w:numPr>
              <w:rPr>
                <w:rFonts w:ascii="Calibri" w:hAnsi="Calibri"/>
                <w:sz w:val="24"/>
                <w:szCs w:val="24"/>
              </w:rPr>
            </w:pPr>
          </w:p>
        </w:tc>
        <w:tc>
          <w:tcPr>
            <w:tcW w:w="9365" w:type="dxa"/>
            <w:gridSpan w:val="2"/>
          </w:tcPr>
          <w:p w:rsidR="001635BB" w:rsidRDefault="001635B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1635BB" w:rsidRDefault="001635BB">
            <w:pPr>
              <w:pStyle w:val="TableText"/>
              <w:rPr>
                <w:rFonts w:ascii="Calibri" w:hAnsi="Calibri"/>
                <w:sz w:val="24"/>
                <w:szCs w:val="24"/>
              </w:rPr>
            </w:pPr>
          </w:p>
          <w:p w:rsidR="001635BB" w:rsidRDefault="001635BB">
            <w:pPr>
              <w:pStyle w:val="TableText"/>
              <w:rPr>
                <w:rFonts w:ascii="Calibri" w:hAnsi="Calibri"/>
                <w:sz w:val="24"/>
                <w:szCs w:val="24"/>
              </w:rPr>
            </w:pPr>
            <w:r>
              <w:rPr>
                <w:rFonts w:ascii="Calibri" w:hAnsi="Calibri"/>
                <w:sz w:val="24"/>
                <w:szCs w:val="24"/>
              </w:rPr>
              <w:t>Site Location Plan:Dwg no 1 RLB</w:t>
            </w:r>
          </w:p>
          <w:p w:rsidR="001635BB" w:rsidRDefault="001635BB">
            <w:pPr>
              <w:pStyle w:val="TableText"/>
              <w:rPr>
                <w:rFonts w:ascii="Calibri" w:hAnsi="Calibri"/>
                <w:sz w:val="24"/>
                <w:szCs w:val="24"/>
              </w:rPr>
            </w:pPr>
            <w:r>
              <w:rPr>
                <w:rFonts w:ascii="Calibri" w:hAnsi="Calibri"/>
                <w:sz w:val="24"/>
                <w:szCs w:val="24"/>
              </w:rPr>
              <w:t>Proposed Floor Plans: Dwg no 2 RLB</w:t>
            </w:r>
          </w:p>
          <w:p w:rsidR="001635BB" w:rsidRDefault="001635BB">
            <w:pPr>
              <w:pStyle w:val="TableText"/>
              <w:rPr>
                <w:rFonts w:ascii="Calibri" w:hAnsi="Calibri"/>
                <w:sz w:val="24"/>
                <w:szCs w:val="24"/>
              </w:rPr>
            </w:pPr>
            <w:r>
              <w:rPr>
                <w:rFonts w:ascii="Calibri" w:hAnsi="Calibri"/>
                <w:sz w:val="24"/>
                <w:szCs w:val="24"/>
              </w:rPr>
              <w:t xml:space="preserve">Proposed Elevations:Dwg no 3 RLB </w:t>
            </w:r>
          </w:p>
          <w:p w:rsidR="001635BB" w:rsidRDefault="001635BB">
            <w:pPr>
              <w:pStyle w:val="TableText"/>
              <w:rPr>
                <w:rFonts w:ascii="Calibri" w:hAnsi="Calibri"/>
                <w:sz w:val="24"/>
                <w:szCs w:val="24"/>
              </w:rPr>
            </w:pPr>
            <w:r>
              <w:rPr>
                <w:rFonts w:ascii="Calibri" w:hAnsi="Calibri"/>
                <w:sz w:val="24"/>
                <w:szCs w:val="24"/>
              </w:rPr>
              <w:t xml:space="preserve">Proposed Elevations and Parking Layout: Dwg no 4 RLB </w:t>
            </w:r>
          </w:p>
          <w:p w:rsidR="001635BB" w:rsidRDefault="001635BB">
            <w:pPr>
              <w:pStyle w:val="TableText"/>
              <w:rPr>
                <w:rFonts w:ascii="Calibri" w:hAnsi="Calibri"/>
                <w:sz w:val="24"/>
                <w:szCs w:val="24"/>
              </w:rPr>
            </w:pPr>
            <w:r>
              <w:rPr>
                <w:rFonts w:ascii="Calibri" w:hAnsi="Calibri"/>
                <w:sz w:val="24"/>
                <w:szCs w:val="24"/>
              </w:rPr>
              <w:tab/>
            </w:r>
          </w:p>
          <w:p w:rsidR="001635BB" w:rsidRDefault="001635B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1635BB" w:rsidRPr="00DD62CA" w:rsidRDefault="001635BB">
            <w:pPr>
              <w:pStyle w:val="TableText"/>
              <w:rPr>
                <w:rFonts w:ascii="Calibri" w:hAnsi="Calibri"/>
                <w:sz w:val="24"/>
                <w:szCs w:val="24"/>
              </w:rPr>
            </w:pPr>
          </w:p>
        </w:tc>
      </w:tr>
      <w:tr w:rsidR="001635BB" w:rsidRPr="00DD62CA">
        <w:trPr>
          <w:cantSplit/>
          <w:trHeight w:val="527"/>
        </w:trPr>
        <w:tc>
          <w:tcPr>
            <w:tcW w:w="988" w:type="dxa"/>
          </w:tcPr>
          <w:p w:rsidR="001635BB" w:rsidRPr="00DD62CA" w:rsidRDefault="001635BB">
            <w:pPr>
              <w:pStyle w:val="TableText"/>
              <w:numPr>
                <w:ilvl w:val="0"/>
                <w:numId w:val="3"/>
              </w:numPr>
              <w:rPr>
                <w:rFonts w:ascii="Calibri" w:hAnsi="Calibri"/>
                <w:sz w:val="24"/>
                <w:szCs w:val="24"/>
              </w:rPr>
            </w:pPr>
          </w:p>
        </w:tc>
        <w:tc>
          <w:tcPr>
            <w:tcW w:w="9365" w:type="dxa"/>
            <w:gridSpan w:val="2"/>
          </w:tcPr>
          <w:p w:rsidR="001635BB" w:rsidRDefault="001635BB">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1635BB" w:rsidRDefault="001635BB">
            <w:pPr>
              <w:pStyle w:val="TableText"/>
              <w:rPr>
                <w:rFonts w:ascii="Calibri" w:hAnsi="Calibri"/>
                <w:sz w:val="24"/>
                <w:szCs w:val="24"/>
              </w:rPr>
            </w:pPr>
            <w:r>
              <w:rPr>
                <w:rFonts w:ascii="Calibri" w:hAnsi="Calibri"/>
                <w:sz w:val="24"/>
                <w:szCs w:val="24"/>
              </w:rPr>
              <w:t xml:space="preserve"> </w:t>
            </w:r>
          </w:p>
          <w:p w:rsidR="001635BB" w:rsidRDefault="001635B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1635BB" w:rsidRPr="00DD62CA" w:rsidRDefault="001635BB">
            <w:pPr>
              <w:pStyle w:val="TableText"/>
              <w:rPr>
                <w:rFonts w:ascii="Calibri" w:hAnsi="Calibri"/>
                <w:sz w:val="24"/>
                <w:szCs w:val="24"/>
              </w:rPr>
            </w:pPr>
          </w:p>
        </w:tc>
      </w:tr>
      <w:tr w:rsidR="001635BB" w:rsidRPr="00DD62CA">
        <w:trPr>
          <w:cantSplit/>
          <w:trHeight w:val="527"/>
        </w:trPr>
        <w:tc>
          <w:tcPr>
            <w:tcW w:w="988" w:type="dxa"/>
          </w:tcPr>
          <w:p w:rsidR="001635BB" w:rsidRPr="00DD62CA" w:rsidRDefault="001635BB">
            <w:pPr>
              <w:pStyle w:val="TableText"/>
              <w:numPr>
                <w:ilvl w:val="0"/>
                <w:numId w:val="3"/>
              </w:numPr>
              <w:rPr>
                <w:rFonts w:ascii="Calibri" w:hAnsi="Calibri"/>
                <w:sz w:val="24"/>
                <w:szCs w:val="24"/>
              </w:rPr>
            </w:pPr>
          </w:p>
        </w:tc>
        <w:tc>
          <w:tcPr>
            <w:tcW w:w="9365" w:type="dxa"/>
            <w:gridSpan w:val="2"/>
          </w:tcPr>
          <w:p w:rsidR="001635BB" w:rsidRDefault="001635BB">
            <w:pPr>
              <w:pStyle w:val="TableText"/>
              <w:rPr>
                <w:rFonts w:ascii="Calibri" w:hAnsi="Calibri"/>
                <w:sz w:val="24"/>
                <w:szCs w:val="24"/>
              </w:rPr>
            </w:pPr>
            <w:r>
              <w:rPr>
                <w:rFonts w:ascii="Calibri" w:hAnsi="Calibri"/>
                <w:sz w:val="24"/>
                <w:szCs w:val="24"/>
              </w:rPr>
              <w:t>The garage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rsidR="001635BB" w:rsidRDefault="001635BB">
            <w:pPr>
              <w:pStyle w:val="TableText"/>
              <w:rPr>
                <w:rFonts w:ascii="Calibri" w:hAnsi="Calibri"/>
                <w:sz w:val="24"/>
                <w:szCs w:val="24"/>
              </w:rPr>
            </w:pPr>
          </w:p>
          <w:p w:rsidR="001635BB" w:rsidRPr="00DD62CA" w:rsidRDefault="001635BB">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street scene/area</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5BB" w:rsidRDefault="001635BB">
      <w:r>
        <w:separator/>
      </w:r>
    </w:p>
  </w:endnote>
  <w:endnote w:type="continuationSeparator" w:id="0">
    <w:p w:rsidR="001635BB" w:rsidRDefault="0016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5BB" w:rsidRDefault="001635BB">
      <w:r>
        <w:separator/>
      </w:r>
    </w:p>
  </w:footnote>
  <w:footnote w:type="continuationSeparator" w:id="0">
    <w:p w:rsidR="001635BB" w:rsidRDefault="0016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1635BB">
      <w:rPr>
        <w:b/>
        <w:bCs/>
      </w:rPr>
      <w:t>3/2020/0824</w:t>
    </w:r>
    <w:r>
      <w:rPr>
        <w:b/>
        <w:bCs/>
      </w:rPr>
      <w:t xml:space="preserve">                                  DECISION DATE: </w:t>
    </w:r>
    <w:r w:rsidR="001635BB">
      <w:rPr>
        <w:b/>
        <w:bCs/>
      </w:rPr>
      <w:t>11/11/2020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B"/>
    <w:rsid w:val="00111C12"/>
    <w:rsid w:val="001613C3"/>
    <w:rsid w:val="001635BB"/>
    <w:rsid w:val="00172E52"/>
    <w:rsid w:val="002C337D"/>
    <w:rsid w:val="002D5D44"/>
    <w:rsid w:val="002F3ADA"/>
    <w:rsid w:val="004B764D"/>
    <w:rsid w:val="006E7244"/>
    <w:rsid w:val="0070149C"/>
    <w:rsid w:val="007C793E"/>
    <w:rsid w:val="0081123F"/>
    <w:rsid w:val="00AA358D"/>
    <w:rsid w:val="00C00AD7"/>
    <w:rsid w:val="00DD62CA"/>
    <w:rsid w:val="00E01248"/>
    <w:rsid w:val="00E83FE1"/>
    <w:rsid w:val="00F7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1E5EB-A1D0-417F-8497-33646C75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521</Words>
  <Characters>2957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2020-11-11T13:53:00Z</cp:lastPrinted>
  <dcterms:created xsi:type="dcterms:W3CDTF">2020-11-11T14:10:00Z</dcterms:created>
  <dcterms:modified xsi:type="dcterms:W3CDTF">2020-11-11T14:10:00Z</dcterms:modified>
</cp:coreProperties>
</file>