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DB7F51">
            <w:pPr>
              <w:rPr>
                <w:rFonts w:ascii="Calibri" w:hAnsi="Calibri"/>
                <w:sz w:val="24"/>
                <w:szCs w:val="24"/>
              </w:rPr>
            </w:pPr>
            <w:r>
              <w:rPr>
                <w:rFonts w:ascii="Calibri" w:hAnsi="Calibri"/>
                <w:sz w:val="24"/>
                <w:szCs w:val="24"/>
              </w:rPr>
              <w:t>3/2020/0828</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DB7F51">
            <w:pPr>
              <w:rPr>
                <w:rFonts w:ascii="Calibri" w:hAnsi="Calibri"/>
                <w:sz w:val="24"/>
                <w:szCs w:val="24"/>
              </w:rPr>
            </w:pPr>
            <w:r>
              <w:rPr>
                <w:rFonts w:ascii="Calibri" w:hAnsi="Calibri"/>
                <w:sz w:val="24"/>
                <w:szCs w:val="24"/>
              </w:rPr>
              <w:t>20 November 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DB7F51">
            <w:pPr>
              <w:rPr>
                <w:rFonts w:ascii="Calibri" w:hAnsi="Calibri"/>
                <w:sz w:val="24"/>
                <w:szCs w:val="24"/>
              </w:rPr>
            </w:pPr>
            <w:r>
              <w:rPr>
                <w:rFonts w:ascii="Calibri" w:hAnsi="Calibri"/>
                <w:sz w:val="24"/>
                <w:szCs w:val="24"/>
              </w:rPr>
              <w:t>29/09/2020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DB7F51">
            <w:pPr>
              <w:rPr>
                <w:rFonts w:ascii="Calibri" w:hAnsi="Calibri"/>
                <w:sz w:val="24"/>
                <w:szCs w:val="24"/>
              </w:rPr>
            </w:pPr>
            <w:r>
              <w:rPr>
                <w:rFonts w:ascii="Calibri" w:hAnsi="Calibri"/>
                <w:sz w:val="24"/>
                <w:szCs w:val="24"/>
              </w:rPr>
              <w:t>Ms S Fielding</w:t>
            </w:r>
          </w:p>
          <w:p w:rsidR="00DB7F51" w:rsidRDefault="00DB7F51">
            <w:pPr>
              <w:rPr>
                <w:rFonts w:ascii="Calibri" w:hAnsi="Calibri"/>
                <w:sz w:val="24"/>
                <w:szCs w:val="24"/>
              </w:rPr>
            </w:pPr>
            <w:r>
              <w:rPr>
                <w:rFonts w:ascii="Calibri" w:hAnsi="Calibri"/>
                <w:sz w:val="24"/>
                <w:szCs w:val="24"/>
              </w:rPr>
              <w:t>2a Long Row</w:t>
            </w:r>
          </w:p>
          <w:p w:rsidR="00DB7F51" w:rsidRDefault="00DB7F51">
            <w:pPr>
              <w:rPr>
                <w:rFonts w:ascii="Calibri" w:hAnsi="Calibri"/>
                <w:sz w:val="24"/>
                <w:szCs w:val="24"/>
              </w:rPr>
            </w:pPr>
            <w:r>
              <w:rPr>
                <w:rFonts w:ascii="Calibri" w:hAnsi="Calibri"/>
                <w:sz w:val="24"/>
                <w:szCs w:val="24"/>
              </w:rPr>
              <w:t>Mellor</w:t>
            </w:r>
          </w:p>
          <w:p w:rsidR="004D6A8E" w:rsidRPr="00533C3D" w:rsidRDefault="00DB7F51">
            <w:pPr>
              <w:rPr>
                <w:rFonts w:ascii="Calibri" w:hAnsi="Calibri"/>
                <w:sz w:val="24"/>
                <w:szCs w:val="24"/>
              </w:rPr>
            </w:pPr>
            <w:r>
              <w:rPr>
                <w:rFonts w:ascii="Calibri" w:hAnsi="Calibri"/>
                <w:sz w:val="24"/>
                <w:szCs w:val="24"/>
              </w:rPr>
              <w:t>BB2 7EF</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DB7F51">
            <w:pPr>
              <w:jc w:val="left"/>
              <w:rPr>
                <w:rFonts w:ascii="Calibri" w:hAnsi="Calibri"/>
                <w:sz w:val="24"/>
                <w:szCs w:val="24"/>
              </w:rPr>
            </w:pPr>
            <w:r>
              <w:rPr>
                <w:rFonts w:ascii="Calibri" w:hAnsi="Calibri"/>
                <w:sz w:val="24"/>
                <w:szCs w:val="24"/>
              </w:rPr>
              <w:t>Mrs Melanie Scarff</w:t>
            </w:r>
          </w:p>
          <w:p w:rsidR="00DB7F51" w:rsidRDefault="00DB7F51">
            <w:pPr>
              <w:jc w:val="left"/>
              <w:rPr>
                <w:rFonts w:ascii="Calibri" w:hAnsi="Calibri"/>
                <w:sz w:val="24"/>
                <w:szCs w:val="24"/>
              </w:rPr>
            </w:pPr>
            <w:r>
              <w:rPr>
                <w:rFonts w:ascii="Calibri" w:hAnsi="Calibri"/>
                <w:sz w:val="24"/>
                <w:szCs w:val="24"/>
              </w:rPr>
              <w:t>Entwistle Design Services</w:t>
            </w:r>
          </w:p>
          <w:p w:rsidR="00DB7F51" w:rsidRDefault="00DB7F51">
            <w:pPr>
              <w:jc w:val="left"/>
              <w:rPr>
                <w:rFonts w:ascii="Calibri" w:hAnsi="Calibri"/>
                <w:sz w:val="24"/>
                <w:szCs w:val="24"/>
              </w:rPr>
            </w:pPr>
            <w:r>
              <w:rPr>
                <w:rFonts w:ascii="Calibri" w:hAnsi="Calibri"/>
                <w:sz w:val="24"/>
                <w:szCs w:val="24"/>
              </w:rPr>
              <w:t>7 Edgefield</w:t>
            </w:r>
          </w:p>
          <w:p w:rsidR="00DB7F51" w:rsidRDefault="00DB7F51">
            <w:pPr>
              <w:jc w:val="left"/>
              <w:rPr>
                <w:rFonts w:ascii="Calibri" w:hAnsi="Calibri"/>
                <w:sz w:val="24"/>
                <w:szCs w:val="24"/>
              </w:rPr>
            </w:pPr>
            <w:r>
              <w:rPr>
                <w:rFonts w:ascii="Calibri" w:hAnsi="Calibri"/>
                <w:sz w:val="24"/>
                <w:szCs w:val="24"/>
              </w:rPr>
              <w:t>Astley Village</w:t>
            </w:r>
          </w:p>
          <w:p w:rsidR="004D6A8E" w:rsidRPr="00533C3D" w:rsidRDefault="00DB7F51">
            <w:pPr>
              <w:jc w:val="left"/>
              <w:rPr>
                <w:rFonts w:ascii="Calibri" w:hAnsi="Calibri"/>
                <w:sz w:val="24"/>
                <w:szCs w:val="24"/>
              </w:rPr>
            </w:pPr>
            <w:r>
              <w:rPr>
                <w:rFonts w:ascii="Calibri" w:hAnsi="Calibri"/>
                <w:sz w:val="24"/>
                <w:szCs w:val="24"/>
              </w:rPr>
              <w:t>Chorley PR7 1XH</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DB7F51">
            <w:pPr>
              <w:rPr>
                <w:rFonts w:ascii="Calibri" w:hAnsi="Calibri"/>
                <w:sz w:val="24"/>
                <w:szCs w:val="24"/>
              </w:rPr>
            </w:pPr>
            <w:r>
              <w:rPr>
                <w:rFonts w:ascii="Calibri" w:hAnsi="Calibri"/>
                <w:sz w:val="24"/>
                <w:szCs w:val="24"/>
              </w:rPr>
              <w:t>Rear two storey extension</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DB7F51">
            <w:pPr>
              <w:rPr>
                <w:rFonts w:ascii="Calibri" w:hAnsi="Calibri"/>
                <w:sz w:val="24"/>
                <w:szCs w:val="24"/>
              </w:rPr>
            </w:pPr>
            <w:r>
              <w:rPr>
                <w:rFonts w:ascii="Calibri" w:hAnsi="Calibri"/>
                <w:sz w:val="24"/>
                <w:szCs w:val="24"/>
              </w:rPr>
              <w:t>2a Long Row Mellor BB2 7EF</w:t>
            </w: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DB7F51">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DB7F51">
            <w:pPr>
              <w:rPr>
                <w:rFonts w:ascii="Calibri" w:hAnsi="Calibri"/>
                <w:sz w:val="24"/>
                <w:szCs w:val="24"/>
              </w:rPr>
            </w:pPr>
            <w:r>
              <w:rPr>
                <w:rFonts w:ascii="Calibri" w:hAnsi="Calibri"/>
                <w:sz w:val="24"/>
                <w:szCs w:val="24"/>
              </w:rPr>
              <w:t>The proposed extension to the rear of the property, due to its scale, size and design, would fail to respond positively to the scale and footprint of the application dwelling appearing as a bulky and dominant addition that detracting from the character of the original dwelling in direct conflict with Policies DMG1 and DMH5 of the Core Strategy, as well as national guidance contained with the National Planning Policy Framework.</w:t>
            </w:r>
          </w:p>
        </w:tc>
      </w:tr>
      <w:tr w:rsidR="004D6A8E" w:rsidRPr="00533C3D">
        <w:trPr>
          <w:gridAfter w:val="1"/>
          <w:wAfter w:w="290" w:type="dxa"/>
          <w:cantSplit/>
        </w:trPr>
        <w:tc>
          <w:tcPr>
            <w:tcW w:w="993" w:type="dxa"/>
            <w:gridSpan w:val="3"/>
          </w:tcPr>
          <w:p w:rsidR="004D6A8E" w:rsidRPr="00533C3D" w:rsidRDefault="00DB7F51">
            <w:pPr>
              <w:rPr>
                <w:rFonts w:ascii="Calibri" w:hAnsi="Calibri"/>
                <w:sz w:val="24"/>
                <w:szCs w:val="24"/>
              </w:rPr>
            </w:pPr>
            <w:r>
              <w:rPr>
                <w:rFonts w:ascii="Calibri" w:hAnsi="Calibri"/>
                <w:sz w:val="24"/>
                <w:szCs w:val="24"/>
              </w:rPr>
              <w:t>2</w:t>
            </w:r>
          </w:p>
        </w:tc>
        <w:tc>
          <w:tcPr>
            <w:tcW w:w="9163" w:type="dxa"/>
            <w:gridSpan w:val="5"/>
          </w:tcPr>
          <w:p w:rsidR="004D6A8E" w:rsidRPr="00533C3D" w:rsidRDefault="00DB7F51">
            <w:pPr>
              <w:rPr>
                <w:rFonts w:ascii="Calibri" w:hAnsi="Calibri"/>
                <w:sz w:val="24"/>
                <w:szCs w:val="24"/>
              </w:rPr>
            </w:pPr>
            <w:r>
              <w:rPr>
                <w:rFonts w:ascii="Calibri" w:hAnsi="Calibri"/>
                <w:sz w:val="24"/>
                <w:szCs w:val="24"/>
              </w:rPr>
              <w:t>The proposed development would by virtue of its scale, design, mass and proximity to the neighbouring property 2 Long Row result in a development that would have an overbearing impact resulting in overshadowing and the loss of natural light to a habitable room window. This would be detrimental to the residential amenity of the adjoining property and its occupants and would be contrary to Policy DMG1 of the Ribble Valley Core Strategy.</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B70E27" w:rsidRDefault="00B70E27" w:rsidP="00B70E27">
            <w:pPr>
              <w:textAlignment w:val="auto"/>
              <w:rPr>
                <w:rFonts w:ascii="Calibri" w:hAnsi="Calibri"/>
                <w:b/>
                <w:sz w:val="24"/>
                <w:szCs w:val="24"/>
              </w:rPr>
            </w:pPr>
            <w:r>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r w:rsidR="00DB7F51" w:rsidTr="000B5AE4">
        <w:trPr>
          <w:gridBefore w:val="1"/>
          <w:wBefore w:w="43" w:type="dxa"/>
          <w:cantSplit/>
        </w:trPr>
        <w:tc>
          <w:tcPr>
            <w:tcW w:w="10403" w:type="dxa"/>
            <w:gridSpan w:val="8"/>
          </w:tcPr>
          <w:p w:rsidR="00DB7F51" w:rsidRDefault="00DB7F51" w:rsidP="00B70E27">
            <w:pPr>
              <w:textAlignment w:val="auto"/>
              <w:rPr>
                <w:rFonts w:ascii="Calibri" w:hAnsi="Calibri"/>
                <w:b/>
                <w:sz w:val="24"/>
                <w:szCs w:val="24"/>
              </w:rPr>
            </w:pPr>
          </w:p>
        </w:tc>
      </w:tr>
    </w:tbl>
    <w:p w:rsidR="00BD6012" w:rsidRDefault="00BD6012" w:rsidP="00BD6012">
      <w:pPr>
        <w:pStyle w:val="TableText"/>
      </w:pPr>
    </w:p>
    <w:p w:rsidR="004D6A8E" w:rsidRDefault="004D6A8E">
      <w:pPr>
        <w:pStyle w:val="TableText"/>
      </w:pPr>
    </w:p>
    <w:sectPr w:rsidR="004D6A8E">
      <w:headerReference w:type="default" r:id="rId6"/>
      <w:footerReference w:type="default" r:id="rId7"/>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F51" w:rsidRDefault="00DB7F51">
      <w:r>
        <w:separator/>
      </w:r>
    </w:p>
  </w:endnote>
  <w:endnote w:type="continuationSeparator" w:id="0">
    <w:p w:rsidR="00DB7F51" w:rsidRDefault="00DB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F51" w:rsidRDefault="00DB7F51">
      <w:r>
        <w:separator/>
      </w:r>
    </w:p>
  </w:footnote>
  <w:footnote w:type="continuationSeparator" w:id="0">
    <w:p w:rsidR="00DB7F51" w:rsidRDefault="00DB7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B7F51">
      <w:rPr>
        <w:rFonts w:ascii="Calibri" w:hAnsi="Calibri"/>
        <w:b/>
        <w:sz w:val="24"/>
        <w:szCs w:val="24"/>
      </w:rPr>
      <w:t>3/2020/0828</w:t>
    </w:r>
    <w:r w:rsidRPr="00533C3D">
      <w:rPr>
        <w:rFonts w:ascii="Calibri" w:hAnsi="Calibri"/>
        <w:b/>
        <w:sz w:val="24"/>
        <w:szCs w:val="24"/>
      </w:rPr>
      <w:t xml:space="preserve">                       DECISION DATE:</w:t>
    </w:r>
    <w:r w:rsidR="00DB7F51">
      <w:rPr>
        <w:rFonts w:ascii="Calibri" w:hAnsi="Calibri"/>
        <w:b/>
        <w:sz w:val="24"/>
        <w:szCs w:val="24"/>
      </w:rPr>
      <w:t xml:space="preserve"> 20/11/2020</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51"/>
    <w:rsid w:val="0008531B"/>
    <w:rsid w:val="000B583D"/>
    <w:rsid w:val="000B5AE4"/>
    <w:rsid w:val="003116C7"/>
    <w:rsid w:val="004D6A8E"/>
    <w:rsid w:val="00533C3D"/>
    <w:rsid w:val="007448F2"/>
    <w:rsid w:val="008E5B94"/>
    <w:rsid w:val="009D443A"/>
    <w:rsid w:val="00AB36DC"/>
    <w:rsid w:val="00B70E27"/>
    <w:rsid w:val="00BD6012"/>
    <w:rsid w:val="00BF398E"/>
    <w:rsid w:val="00BF7ED8"/>
    <w:rsid w:val="00DB7F51"/>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25015D-DBF6-4E3F-B4DE-E46BBDC1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347</Words>
  <Characters>1970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2020-11-20T14:43:00Z</cp:lastPrinted>
  <dcterms:created xsi:type="dcterms:W3CDTF">2020-11-20T14:44:00Z</dcterms:created>
  <dcterms:modified xsi:type="dcterms:W3CDTF">2020-11-20T14:44:00Z</dcterms:modified>
</cp:coreProperties>
</file>