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386"/>
        <w:gridCol w:w="57"/>
        <w:gridCol w:w="238"/>
        <w:gridCol w:w="201"/>
        <w:gridCol w:w="1030"/>
        <w:gridCol w:w="1030"/>
        <w:gridCol w:w="519"/>
        <w:gridCol w:w="579"/>
        <w:gridCol w:w="428"/>
        <w:gridCol w:w="602"/>
        <w:gridCol w:w="1030"/>
        <w:gridCol w:w="999"/>
      </w:tblGrid>
      <w:tr w:rsidR="008C75E4" w:rsidRPr="008C75E4" w:rsidTr="007346A8">
        <w:trPr>
          <w:jc w:val="center"/>
        </w:trPr>
        <w:tc>
          <w:tcPr>
            <w:tcW w:w="9493" w:type="dxa"/>
            <w:gridSpan w:val="15"/>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7346A8">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5"/>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7346A8">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5"/>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7346A8">
        <w:trPr>
          <w:jc w:val="center"/>
        </w:trPr>
        <w:tc>
          <w:tcPr>
            <w:tcW w:w="9493" w:type="dxa"/>
            <w:gridSpan w:val="15"/>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7"/>
          </w:tcPr>
          <w:p w:rsidR="004A5EA9" w:rsidRPr="008C75E4" w:rsidRDefault="00555D53" w:rsidP="008F6B58">
            <w:pPr>
              <w:rPr>
                <w:rFonts w:ascii="Calibri" w:hAnsi="Calibri"/>
                <w:szCs w:val="22"/>
              </w:rPr>
            </w:pPr>
            <w:r>
              <w:rPr>
                <w:rFonts w:ascii="Calibri" w:hAnsi="Calibri"/>
                <w:szCs w:val="22"/>
              </w:rPr>
              <w:t>3/2020/0</w:t>
            </w:r>
            <w:r w:rsidR="001F6CBD">
              <w:rPr>
                <w:rFonts w:ascii="Calibri" w:hAnsi="Calibri"/>
                <w:szCs w:val="22"/>
              </w:rPr>
              <w:t>8</w:t>
            </w:r>
            <w:r w:rsidR="00FF50CC">
              <w:rPr>
                <w:rFonts w:ascii="Calibri" w:hAnsi="Calibri"/>
                <w:szCs w:val="22"/>
              </w:rPr>
              <w:t>34</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7"/>
          </w:tcPr>
          <w:p w:rsidR="004A5EA9" w:rsidRPr="008C75E4" w:rsidRDefault="003A350C" w:rsidP="002C6277">
            <w:pPr>
              <w:rPr>
                <w:rFonts w:ascii="Calibri" w:hAnsi="Calibri"/>
                <w:szCs w:val="22"/>
              </w:rPr>
            </w:pPr>
            <w:r>
              <w:rPr>
                <w:rFonts w:ascii="Calibri" w:hAnsi="Calibri"/>
                <w:szCs w:val="22"/>
              </w:rPr>
              <w:t>16/12/2020</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7346A8">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7"/>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7346A8">
        <w:trPr>
          <w:jc w:val="center"/>
        </w:trPr>
        <w:tc>
          <w:tcPr>
            <w:tcW w:w="5855" w:type="dxa"/>
            <w:gridSpan w:val="10"/>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5E22EA" w:rsidP="000B38CB">
            <w:pPr>
              <w:jc w:val="center"/>
              <w:rPr>
                <w:rFonts w:ascii="Calibri" w:hAnsi="Calibri"/>
                <w:b/>
                <w:szCs w:val="22"/>
              </w:rPr>
            </w:pPr>
            <w:r>
              <w:rPr>
                <w:rFonts w:ascii="Calibri" w:hAnsi="Calibri"/>
                <w:b/>
                <w:szCs w:val="22"/>
              </w:rPr>
              <w:t>APPROVED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7346A8" w:rsidP="007D0F8F">
            <w:pPr>
              <w:rPr>
                <w:rFonts w:asciiTheme="minorHAnsi" w:hAnsiTheme="minorHAnsi" w:cstheme="minorHAnsi"/>
                <w:b/>
                <w:color w:val="000000" w:themeColor="text1"/>
                <w:szCs w:val="22"/>
              </w:rPr>
            </w:pPr>
            <w:r w:rsidRPr="007346A8">
              <w:rPr>
                <w:rFonts w:asciiTheme="minorHAnsi" w:hAnsiTheme="minorHAnsi" w:cstheme="minorHAnsi"/>
                <w:b/>
                <w:color w:val="000000" w:themeColor="text1"/>
                <w:szCs w:val="22"/>
              </w:rPr>
              <w:t>Erection of an agricultural shed for cattle and sheep</w:t>
            </w:r>
            <w:r>
              <w:rPr>
                <w:rFonts w:asciiTheme="minorHAnsi" w:hAnsiTheme="minorHAnsi" w:cstheme="minorHAnsi"/>
                <w:b/>
                <w:color w:val="000000" w:themeColor="text1"/>
                <w:szCs w:val="22"/>
              </w:rPr>
              <w:t>.</w:t>
            </w:r>
          </w:p>
        </w:tc>
      </w:tr>
      <w:tr w:rsidR="008C75E4" w:rsidRPr="008C75E4" w:rsidTr="007346A8">
        <w:trPr>
          <w:jc w:val="center"/>
        </w:trPr>
        <w:tc>
          <w:tcPr>
            <w:tcW w:w="3075" w:type="dxa"/>
            <w:gridSpan w:val="6"/>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7346A8" w:rsidP="00A42E82">
            <w:pPr>
              <w:rPr>
                <w:rFonts w:asciiTheme="minorHAnsi" w:hAnsiTheme="minorHAnsi" w:cstheme="minorHAnsi"/>
                <w:b/>
                <w:szCs w:val="22"/>
              </w:rPr>
            </w:pPr>
            <w:r w:rsidRPr="007346A8">
              <w:rPr>
                <w:rFonts w:asciiTheme="minorHAnsi" w:hAnsiTheme="minorHAnsi" w:cstheme="minorHAnsi"/>
                <w:b/>
                <w:szCs w:val="22"/>
              </w:rPr>
              <w:t xml:space="preserve">Marl Barn Wigglesworth Road </w:t>
            </w:r>
            <w:proofErr w:type="spellStart"/>
            <w:r w:rsidRPr="007346A8">
              <w:rPr>
                <w:rFonts w:asciiTheme="minorHAnsi" w:hAnsiTheme="minorHAnsi" w:cstheme="minorHAnsi"/>
                <w:b/>
                <w:szCs w:val="22"/>
              </w:rPr>
              <w:t>Slaidburn</w:t>
            </w:r>
            <w:proofErr w:type="spellEnd"/>
            <w:r w:rsidRPr="007346A8">
              <w:rPr>
                <w:rFonts w:asciiTheme="minorHAnsi" w:hAnsiTheme="minorHAnsi" w:cstheme="minorHAnsi"/>
                <w:b/>
                <w:szCs w:val="22"/>
              </w:rPr>
              <w:t xml:space="preserve"> Lancashire BD23 4SX</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7346A8">
        <w:trPr>
          <w:jc w:val="center"/>
        </w:trPr>
        <w:tc>
          <w:tcPr>
            <w:tcW w:w="9493" w:type="dxa"/>
            <w:gridSpan w:val="15"/>
            <w:tcBorders>
              <w:bottom w:val="single" w:sz="4" w:space="0" w:color="BFBFBF" w:themeColor="background1" w:themeShade="BF"/>
            </w:tcBorders>
            <w:tcMar>
              <w:top w:w="57" w:type="dxa"/>
              <w:bottom w:w="57" w:type="dxa"/>
            </w:tcMar>
          </w:tcPr>
          <w:p w:rsidR="003A4376" w:rsidRPr="00831115" w:rsidRDefault="00C900A5" w:rsidP="00831115">
            <w:pPr>
              <w:pStyle w:val="PlainText"/>
            </w:pPr>
            <w:r>
              <w:t>No</w:t>
            </w:r>
            <w:r w:rsidR="008E5FA6">
              <w:t xml:space="preserve"> objection.</w:t>
            </w:r>
          </w:p>
        </w:tc>
      </w:tr>
      <w:tr w:rsidR="007346A8" w:rsidRPr="008C75E4" w:rsidTr="00B949E3">
        <w:trPr>
          <w:trHeight w:hRule="exact" w:val="144"/>
          <w:jc w:val="center"/>
        </w:trPr>
        <w:tc>
          <w:tcPr>
            <w:tcW w:w="9493" w:type="dxa"/>
            <w:gridSpan w:val="15"/>
            <w:tcBorders>
              <w:left w:val="nil"/>
              <w:right w:val="nil"/>
            </w:tcBorders>
            <w:tcMar>
              <w:top w:w="57" w:type="dxa"/>
              <w:bottom w:w="57" w:type="dxa"/>
            </w:tcMar>
          </w:tcPr>
          <w:p w:rsidR="007346A8" w:rsidRPr="00504440" w:rsidRDefault="007346A8" w:rsidP="00B949E3">
            <w:pPr>
              <w:jc w:val="both"/>
              <w:rPr>
                <w:rFonts w:ascii="Calibri" w:hAnsi="Calibri"/>
                <w:bCs/>
                <w:sz w:val="4"/>
                <w:szCs w:val="4"/>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 xml:space="preserve">CONSULTATIONS: </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LCC Highways:</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949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C0704D" w:rsidRDefault="007346A8" w:rsidP="00B949E3">
            <w:pPr>
              <w:rPr>
                <w:rFonts w:ascii="Calibri" w:hAnsi="Calibri"/>
                <w:szCs w:val="22"/>
              </w:rPr>
            </w:pPr>
            <w:r>
              <w:rPr>
                <w:rFonts w:ascii="Calibri" w:hAnsi="Calibri"/>
                <w:szCs w:val="22"/>
              </w:rPr>
              <w:t>No objections.</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bookmarkStart w:id="1" w:name="_Hlk57274991"/>
          </w:p>
        </w:tc>
      </w:tr>
      <w:bookmarkEnd w:id="1"/>
      <w:tr w:rsidR="008C75E4" w:rsidRPr="008C75E4" w:rsidTr="007346A8">
        <w:trPr>
          <w:jc w:val="center"/>
        </w:trPr>
        <w:tc>
          <w:tcPr>
            <w:tcW w:w="3075" w:type="dxa"/>
            <w:gridSpan w:val="6"/>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7346A8">
        <w:trPr>
          <w:jc w:val="center"/>
        </w:trPr>
        <w:tc>
          <w:tcPr>
            <w:tcW w:w="9493" w:type="dxa"/>
            <w:gridSpan w:val="15"/>
            <w:tcBorders>
              <w:bottom w:val="single" w:sz="4" w:space="0" w:color="BFBFBF" w:themeColor="background1" w:themeShade="BF"/>
            </w:tcBorders>
            <w:tcMar>
              <w:top w:w="57" w:type="dxa"/>
              <w:bottom w:w="57" w:type="dxa"/>
            </w:tcMar>
          </w:tcPr>
          <w:p w:rsidR="005E374C" w:rsidRPr="000E61F1" w:rsidRDefault="006D54CD" w:rsidP="006D54CD">
            <w:pPr>
              <w:jc w:val="both"/>
              <w:rPr>
                <w:rFonts w:asciiTheme="minorHAnsi" w:hAnsiTheme="minorHAnsi"/>
                <w:szCs w:val="22"/>
              </w:rPr>
            </w:pPr>
            <w:r w:rsidRPr="000E61F1">
              <w:rPr>
                <w:rFonts w:asciiTheme="minorHAnsi" w:hAnsiTheme="minorHAnsi"/>
                <w:szCs w:val="22"/>
              </w:rPr>
              <w:t>No representations have been received.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7346A8">
        <w:trPr>
          <w:jc w:val="center"/>
        </w:trPr>
        <w:tc>
          <w:tcPr>
            <w:tcW w:w="9493" w:type="dxa"/>
            <w:gridSpan w:val="15"/>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7346A8">
        <w:trPr>
          <w:trHeight w:val="864"/>
          <w:jc w:val="center"/>
        </w:trPr>
        <w:tc>
          <w:tcPr>
            <w:tcW w:w="9493" w:type="dxa"/>
            <w:gridSpan w:val="15"/>
            <w:tcMar>
              <w:top w:w="57" w:type="dxa"/>
              <w:bottom w:w="57" w:type="dxa"/>
            </w:tcMar>
          </w:tcPr>
          <w:p w:rsidR="0042757D" w:rsidRPr="00DF526A" w:rsidRDefault="0042757D" w:rsidP="0042757D">
            <w:pPr>
              <w:pStyle w:val="PLANNING"/>
              <w:rPr>
                <w:rFonts w:asciiTheme="minorHAnsi" w:hAnsiTheme="minorHAnsi" w:cstheme="minorHAnsi"/>
                <w:b/>
                <w:bCs/>
                <w:szCs w:val="22"/>
              </w:rPr>
            </w:pPr>
            <w:r w:rsidRPr="00DF526A">
              <w:rPr>
                <w:rFonts w:asciiTheme="minorHAnsi" w:hAnsiTheme="minorHAnsi" w:cstheme="minorHAnsi"/>
                <w:b/>
                <w:bCs/>
                <w:szCs w:val="22"/>
              </w:rPr>
              <w:t>Ribble Valley Core Strategy:</w:t>
            </w:r>
          </w:p>
          <w:p w:rsidR="003520CC" w:rsidRPr="003520CC" w:rsidRDefault="003520CC" w:rsidP="003520CC">
            <w:pPr>
              <w:pStyle w:val="Default"/>
              <w:rPr>
                <w:rFonts w:asciiTheme="minorHAnsi" w:hAnsiTheme="minorHAnsi" w:cstheme="minorHAnsi"/>
                <w:sz w:val="22"/>
                <w:szCs w:val="22"/>
              </w:rPr>
            </w:pPr>
            <w:r w:rsidRPr="003520CC">
              <w:rPr>
                <w:rFonts w:asciiTheme="minorHAnsi" w:hAnsiTheme="minorHAnsi" w:cstheme="minorHAnsi"/>
                <w:sz w:val="22"/>
                <w:szCs w:val="22"/>
              </w:rPr>
              <w:t xml:space="preserve">Policy EN2 – Landscape </w:t>
            </w:r>
          </w:p>
          <w:p w:rsidR="003520CC" w:rsidRPr="003520CC" w:rsidRDefault="003520CC" w:rsidP="003520CC">
            <w:pPr>
              <w:pStyle w:val="Default"/>
              <w:rPr>
                <w:rFonts w:asciiTheme="minorHAnsi" w:hAnsiTheme="minorHAnsi" w:cstheme="minorHAnsi"/>
                <w:sz w:val="22"/>
                <w:szCs w:val="22"/>
              </w:rPr>
            </w:pPr>
            <w:r w:rsidRPr="003520CC">
              <w:rPr>
                <w:rFonts w:asciiTheme="minorHAnsi" w:hAnsiTheme="minorHAnsi" w:cstheme="minorHAnsi"/>
                <w:sz w:val="22"/>
                <w:szCs w:val="22"/>
              </w:rPr>
              <w:t>Policy DMG1 – General Considerations</w:t>
            </w:r>
          </w:p>
          <w:p w:rsidR="00A2019B" w:rsidRDefault="003520CC" w:rsidP="003520CC">
            <w:pPr>
              <w:jc w:val="both"/>
              <w:rPr>
                <w:rFonts w:asciiTheme="minorHAnsi" w:hAnsiTheme="minorHAnsi" w:cstheme="minorHAnsi"/>
                <w:szCs w:val="22"/>
              </w:rPr>
            </w:pPr>
            <w:r w:rsidRPr="003520CC">
              <w:rPr>
                <w:rFonts w:asciiTheme="minorHAnsi" w:hAnsiTheme="minorHAnsi" w:cstheme="minorHAnsi"/>
                <w:szCs w:val="22"/>
              </w:rPr>
              <w:t>Policy DMG2 – Strategic Considerations</w:t>
            </w:r>
          </w:p>
          <w:p w:rsidR="003520CC" w:rsidRPr="00DF526A" w:rsidRDefault="003520CC" w:rsidP="003520CC">
            <w:pPr>
              <w:jc w:val="both"/>
              <w:rPr>
                <w:rFonts w:asciiTheme="minorHAnsi" w:hAnsiTheme="minorHAnsi" w:cstheme="minorHAnsi"/>
              </w:rPr>
            </w:pPr>
          </w:p>
          <w:p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rsidTr="007346A8">
        <w:trPr>
          <w:trHeight w:val="864"/>
          <w:jc w:val="center"/>
        </w:trPr>
        <w:tc>
          <w:tcPr>
            <w:tcW w:w="9493" w:type="dxa"/>
            <w:gridSpan w:val="15"/>
            <w:tcBorders>
              <w:bottom w:val="single" w:sz="4" w:space="0" w:color="BFBFBF" w:themeColor="background1" w:themeShade="BF"/>
            </w:tcBorders>
            <w:tcMar>
              <w:top w:w="57" w:type="dxa"/>
              <w:bottom w:w="57" w:type="dxa"/>
            </w:tcMar>
          </w:tcPr>
          <w:p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t>Relevant Planning History:</w:t>
            </w:r>
          </w:p>
          <w:p w:rsidR="00E62CC4" w:rsidRPr="00E62CC4" w:rsidRDefault="007346A8" w:rsidP="00E62CC4">
            <w:pPr>
              <w:rPr>
                <w:rFonts w:asciiTheme="minorHAnsi" w:hAnsiTheme="minorHAnsi" w:cstheme="minorHAnsi"/>
              </w:rPr>
            </w:pPr>
            <w:r>
              <w:rPr>
                <w:rFonts w:asciiTheme="minorHAnsi" w:hAnsiTheme="minorHAnsi" w:cstheme="minorHAnsi"/>
              </w:rPr>
              <w:t xml:space="preserve">3/2005/0630 – </w:t>
            </w:r>
            <w:r w:rsidR="00E62CC4" w:rsidRPr="00E62CC4">
              <w:rPr>
                <w:rFonts w:asciiTheme="minorHAnsi" w:hAnsiTheme="minorHAnsi" w:cstheme="minorHAnsi"/>
              </w:rPr>
              <w:t>New building for storing hay and machinery.</w:t>
            </w:r>
            <w:r w:rsidR="00E62CC4">
              <w:rPr>
                <w:rFonts w:asciiTheme="minorHAnsi" w:hAnsiTheme="minorHAnsi" w:cstheme="minorHAnsi"/>
              </w:rPr>
              <w:t xml:space="preserve"> Permission required.</w:t>
            </w:r>
          </w:p>
          <w:p w:rsidR="007346A8" w:rsidRDefault="007346A8" w:rsidP="0042757D">
            <w:pPr>
              <w:jc w:val="both"/>
              <w:rPr>
                <w:rFonts w:asciiTheme="minorHAnsi" w:hAnsiTheme="minorHAnsi" w:cstheme="minorHAnsi"/>
              </w:rPr>
            </w:pPr>
          </w:p>
          <w:p w:rsidR="007346A8" w:rsidRDefault="007346A8" w:rsidP="0042757D">
            <w:pPr>
              <w:jc w:val="both"/>
              <w:rPr>
                <w:rFonts w:asciiTheme="minorHAnsi" w:hAnsiTheme="minorHAnsi" w:cstheme="minorHAnsi"/>
              </w:rPr>
            </w:pPr>
            <w:r>
              <w:rPr>
                <w:rFonts w:asciiTheme="minorHAnsi" w:hAnsiTheme="minorHAnsi" w:cstheme="minorHAnsi"/>
              </w:rPr>
              <w:t xml:space="preserve">3/2005/0787 – </w:t>
            </w:r>
            <w:r w:rsidR="00E62CC4" w:rsidRPr="00E62CC4">
              <w:rPr>
                <w:rFonts w:asciiTheme="minorHAnsi" w:hAnsiTheme="minorHAnsi" w:cstheme="minorHAnsi"/>
              </w:rPr>
              <w:t>New building for the storage of hay and machinery. (Steel frame portable)</w:t>
            </w:r>
            <w:r w:rsidR="00E62CC4">
              <w:rPr>
                <w:rFonts w:asciiTheme="minorHAnsi" w:hAnsiTheme="minorHAnsi" w:cstheme="minorHAnsi"/>
              </w:rPr>
              <w:t>. Permission not required.</w:t>
            </w:r>
          </w:p>
          <w:p w:rsidR="007346A8" w:rsidRDefault="007346A8" w:rsidP="0042757D">
            <w:pPr>
              <w:jc w:val="both"/>
              <w:rPr>
                <w:rFonts w:asciiTheme="minorHAnsi" w:hAnsiTheme="minorHAnsi" w:cstheme="minorHAnsi"/>
              </w:rPr>
            </w:pPr>
          </w:p>
          <w:p w:rsidR="007346A8" w:rsidRPr="003520CC" w:rsidRDefault="007346A8" w:rsidP="0042757D">
            <w:pPr>
              <w:jc w:val="both"/>
              <w:rPr>
                <w:rFonts w:asciiTheme="minorHAnsi" w:hAnsiTheme="minorHAnsi" w:cstheme="minorHAnsi"/>
              </w:rPr>
            </w:pPr>
            <w:r>
              <w:rPr>
                <w:rFonts w:asciiTheme="minorHAnsi" w:hAnsiTheme="minorHAnsi" w:cstheme="minorHAnsi"/>
              </w:rPr>
              <w:t xml:space="preserve">3/2005/0437 - </w:t>
            </w:r>
            <w:r w:rsidR="00E62CC4" w:rsidRPr="00E62CC4">
              <w:rPr>
                <w:rFonts w:asciiTheme="minorHAnsi" w:hAnsiTheme="minorHAnsi" w:cstheme="minorHAnsi"/>
              </w:rPr>
              <w:t>New building for the storage of hay and machinery.</w:t>
            </w:r>
            <w:r w:rsidR="00E62CC4">
              <w:rPr>
                <w:rFonts w:asciiTheme="minorHAnsi" w:hAnsiTheme="minorHAnsi" w:cstheme="minorHAnsi"/>
              </w:rPr>
              <w:t xml:space="preserve"> Refused.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7346A8">
        <w:trPr>
          <w:jc w:val="center"/>
        </w:trPr>
        <w:tc>
          <w:tcPr>
            <w:tcW w:w="9493" w:type="dxa"/>
            <w:gridSpan w:val="15"/>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rsidTr="007346A8">
        <w:trPr>
          <w:trHeight w:val="1152"/>
          <w:jc w:val="center"/>
        </w:trPr>
        <w:tc>
          <w:tcPr>
            <w:tcW w:w="9493" w:type="dxa"/>
            <w:gridSpan w:val="15"/>
            <w:tcMar>
              <w:top w:w="57" w:type="dxa"/>
              <w:bottom w:w="57" w:type="dxa"/>
            </w:tcMar>
          </w:tcPr>
          <w:p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rsidR="001F6CBD" w:rsidRDefault="00116200" w:rsidP="007D0F8F">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Permission is sought for a new agricultural livestock building at </w:t>
            </w:r>
            <w:r w:rsidRPr="00116200">
              <w:rPr>
                <w:rFonts w:asciiTheme="minorHAnsi" w:hAnsiTheme="minorHAnsi" w:cstheme="minorHAnsi"/>
              </w:rPr>
              <w:t>Marl Barn</w:t>
            </w:r>
            <w:r>
              <w:rPr>
                <w:rFonts w:asciiTheme="minorHAnsi" w:hAnsiTheme="minorHAnsi" w:cstheme="minorHAnsi"/>
              </w:rPr>
              <w:t>,</w:t>
            </w:r>
            <w:r w:rsidRPr="00116200">
              <w:rPr>
                <w:rFonts w:asciiTheme="minorHAnsi" w:hAnsiTheme="minorHAnsi" w:cstheme="minorHAnsi"/>
              </w:rPr>
              <w:t xml:space="preserve"> Wigglesworth Road</w:t>
            </w:r>
            <w:r>
              <w:rPr>
                <w:rFonts w:asciiTheme="minorHAnsi" w:hAnsiTheme="minorHAnsi" w:cstheme="minorHAnsi"/>
              </w:rPr>
              <w:t>,</w:t>
            </w:r>
            <w:r w:rsidRPr="00116200">
              <w:rPr>
                <w:rFonts w:asciiTheme="minorHAnsi" w:hAnsiTheme="minorHAnsi" w:cstheme="minorHAnsi"/>
              </w:rPr>
              <w:t xml:space="preserve"> Slaidburn</w:t>
            </w:r>
            <w:r>
              <w:rPr>
                <w:rFonts w:asciiTheme="minorHAnsi" w:hAnsiTheme="minorHAnsi" w:cstheme="minorHAnsi"/>
              </w:rPr>
              <w:t>. The application site is located in a relatively remote part of the Forest of Bowland AONB around 1.5 km from the borough boundary. The site comprises a small caravan park, holiday lets and an existing agricultural building</w:t>
            </w:r>
            <w:r w:rsidR="005A5A59">
              <w:rPr>
                <w:rFonts w:asciiTheme="minorHAnsi" w:hAnsiTheme="minorHAnsi" w:cstheme="minorHAnsi"/>
              </w:rPr>
              <w:t xml:space="preserve"> which are accessed along an approximately </w:t>
            </w:r>
            <w:proofErr w:type="gramStart"/>
            <w:r w:rsidR="005A5A59">
              <w:rPr>
                <w:rFonts w:asciiTheme="minorHAnsi" w:hAnsiTheme="minorHAnsi" w:cstheme="minorHAnsi"/>
              </w:rPr>
              <w:t>300 metre long</w:t>
            </w:r>
            <w:proofErr w:type="gramEnd"/>
            <w:r w:rsidR="005A5A59">
              <w:rPr>
                <w:rFonts w:asciiTheme="minorHAnsi" w:hAnsiTheme="minorHAnsi" w:cstheme="minorHAnsi"/>
              </w:rPr>
              <w:t xml:space="preserve"> track.</w:t>
            </w:r>
          </w:p>
          <w:p w:rsidR="00116200" w:rsidRDefault="00116200" w:rsidP="007D0F8F">
            <w:pPr>
              <w:pStyle w:val="Header"/>
              <w:tabs>
                <w:tab w:val="clear" w:pos="4153"/>
                <w:tab w:val="clear" w:pos="8306"/>
              </w:tabs>
              <w:jc w:val="both"/>
              <w:rPr>
                <w:rFonts w:asciiTheme="minorHAnsi" w:hAnsiTheme="minorHAnsi" w:cstheme="minorHAnsi"/>
              </w:rPr>
            </w:pPr>
          </w:p>
          <w:p w:rsidR="00116200" w:rsidRPr="00146BF5" w:rsidRDefault="00116200" w:rsidP="007D0F8F">
            <w:pPr>
              <w:pStyle w:val="Header"/>
              <w:tabs>
                <w:tab w:val="clear" w:pos="4153"/>
                <w:tab w:val="clear" w:pos="8306"/>
              </w:tabs>
              <w:jc w:val="both"/>
              <w:rPr>
                <w:rFonts w:asciiTheme="minorHAnsi" w:hAnsiTheme="minorHAnsi" w:cstheme="minorHAnsi"/>
              </w:rPr>
            </w:pPr>
            <w:r>
              <w:rPr>
                <w:rFonts w:asciiTheme="minorHAnsi" w:hAnsiTheme="minorHAnsi" w:cstheme="minorHAnsi"/>
              </w:rPr>
              <w:t>The area is characterised as landscape character type ‘Rolling Upland Farmland’</w:t>
            </w:r>
            <w:r w:rsidR="00A852B2">
              <w:rPr>
                <w:rFonts w:asciiTheme="minorHAnsi" w:hAnsiTheme="minorHAnsi" w:cstheme="minorHAnsi"/>
              </w:rPr>
              <w:t>, a gentle landscape of rolling hills with</w:t>
            </w:r>
            <w:r w:rsidR="00A852B2" w:rsidRPr="00A852B2">
              <w:rPr>
                <w:rFonts w:asciiTheme="minorHAnsi" w:hAnsiTheme="minorHAnsi" w:cstheme="minorHAnsi"/>
              </w:rPr>
              <w:t xml:space="preserve"> a strong sense of remoteness, isolation and tranquillity</w:t>
            </w:r>
            <w:r w:rsidR="00A852B2">
              <w:rPr>
                <w:rFonts w:asciiTheme="minorHAnsi" w:hAnsiTheme="minorHAnsi" w:cstheme="minorHAnsi"/>
              </w:rPr>
              <w:t>. According to the information submitted with the application, the applicant owns 12.75 hectares on land with 100 beef cows and 80 ewes.</w:t>
            </w:r>
          </w:p>
        </w:tc>
      </w:tr>
      <w:tr w:rsidR="008C75E4" w:rsidRPr="008C75E4" w:rsidTr="007346A8">
        <w:trPr>
          <w:trHeight w:val="1152"/>
          <w:jc w:val="center"/>
        </w:trPr>
        <w:tc>
          <w:tcPr>
            <w:tcW w:w="9493" w:type="dxa"/>
            <w:gridSpan w:val="15"/>
            <w:tcMar>
              <w:top w:w="57" w:type="dxa"/>
              <w:bottom w:w="57" w:type="dxa"/>
            </w:tcMar>
          </w:tcPr>
          <w:p w:rsidR="00F8201E" w:rsidRPr="00014E55" w:rsidRDefault="00C0704D" w:rsidP="00454754">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lastRenderedPageBreak/>
              <w:t>Proposed Development for which consent is sought:</w:t>
            </w:r>
          </w:p>
          <w:p w:rsidR="00434771" w:rsidRDefault="00A852B2" w:rsidP="00BC6600">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Consent is sought for a new agricultural building to be located adjacent to the existing building and a new concrete service area. </w:t>
            </w:r>
            <w:r w:rsidR="00434771">
              <w:rPr>
                <w:rFonts w:asciiTheme="minorHAnsi" w:hAnsiTheme="minorHAnsi" w:cstheme="minorHAnsi"/>
                <w:szCs w:val="22"/>
              </w:rPr>
              <w:t>As submitted t</w:t>
            </w:r>
            <w:r>
              <w:rPr>
                <w:rFonts w:asciiTheme="minorHAnsi" w:hAnsiTheme="minorHAnsi" w:cstheme="minorHAnsi"/>
                <w:szCs w:val="22"/>
              </w:rPr>
              <w:t xml:space="preserve">he proposed building </w:t>
            </w:r>
            <w:r w:rsidR="00434771">
              <w:rPr>
                <w:rFonts w:asciiTheme="minorHAnsi" w:hAnsiTheme="minorHAnsi" w:cstheme="minorHAnsi"/>
                <w:szCs w:val="22"/>
              </w:rPr>
              <w:t>was</w:t>
            </w:r>
            <w:r>
              <w:rPr>
                <w:rFonts w:asciiTheme="minorHAnsi" w:hAnsiTheme="minorHAnsi" w:cstheme="minorHAnsi"/>
                <w:szCs w:val="22"/>
              </w:rPr>
              <w:t xml:space="preserve"> 3.6 metres high to the eaves and 6.5 metres to the ridge</w:t>
            </w:r>
            <w:r w:rsidR="00434771">
              <w:rPr>
                <w:rFonts w:asciiTheme="minorHAnsi" w:hAnsiTheme="minorHAnsi" w:cstheme="minorHAnsi"/>
                <w:szCs w:val="22"/>
              </w:rPr>
              <w:t xml:space="preserve"> and</w:t>
            </w:r>
            <w:r>
              <w:rPr>
                <w:rFonts w:asciiTheme="minorHAnsi" w:hAnsiTheme="minorHAnsi" w:cstheme="minorHAnsi"/>
                <w:szCs w:val="22"/>
              </w:rPr>
              <w:t xml:space="preserve"> of steel frame construction with a mono-pitched roof. The walls w</w:t>
            </w:r>
            <w:r w:rsidR="00434771">
              <w:rPr>
                <w:rFonts w:asciiTheme="minorHAnsi" w:hAnsiTheme="minorHAnsi" w:cstheme="minorHAnsi"/>
                <w:szCs w:val="22"/>
              </w:rPr>
              <w:t>ere to</w:t>
            </w:r>
            <w:r>
              <w:rPr>
                <w:rFonts w:asciiTheme="minorHAnsi" w:hAnsiTheme="minorHAnsi" w:cstheme="minorHAnsi"/>
                <w:szCs w:val="22"/>
              </w:rPr>
              <w:t xml:space="preserve"> be constructed using concrete blocks at low level with profile metal sheeting above.</w:t>
            </w:r>
            <w:r w:rsidR="00434771">
              <w:rPr>
                <w:rFonts w:asciiTheme="minorHAnsi" w:hAnsiTheme="minorHAnsi" w:cstheme="minorHAnsi"/>
                <w:szCs w:val="22"/>
              </w:rPr>
              <w:t xml:space="preserve"> The footprint of the building would measure 30m x 15m.</w:t>
            </w:r>
          </w:p>
          <w:p w:rsidR="00434771" w:rsidRDefault="00434771" w:rsidP="00BC6600">
            <w:pPr>
              <w:pStyle w:val="Header"/>
              <w:tabs>
                <w:tab w:val="clear" w:pos="4153"/>
                <w:tab w:val="clear" w:pos="8306"/>
              </w:tabs>
              <w:jc w:val="both"/>
              <w:rPr>
                <w:rFonts w:asciiTheme="minorHAnsi" w:hAnsiTheme="minorHAnsi" w:cstheme="minorHAnsi"/>
                <w:szCs w:val="22"/>
              </w:rPr>
            </w:pPr>
          </w:p>
          <w:p w:rsidR="00434771" w:rsidRDefault="00434771" w:rsidP="00434771">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Following agreed amendments, the building height has been reduced to 5.7 metres. The walls of the proposed building would be Yorkshire boarding above natural stone-faced lower wall. There would be a single gated opening to the building on its north elevation which would open onto the concrete service area.</w:t>
            </w:r>
          </w:p>
          <w:p w:rsidR="00434771" w:rsidRDefault="00434771" w:rsidP="00434771">
            <w:pPr>
              <w:pStyle w:val="Header"/>
              <w:tabs>
                <w:tab w:val="clear" w:pos="4153"/>
                <w:tab w:val="clear" w:pos="8306"/>
              </w:tabs>
              <w:jc w:val="both"/>
              <w:rPr>
                <w:rFonts w:asciiTheme="minorHAnsi" w:hAnsiTheme="minorHAnsi" w:cstheme="minorHAnsi"/>
                <w:szCs w:val="22"/>
              </w:rPr>
            </w:pPr>
          </w:p>
          <w:p w:rsidR="00434771" w:rsidRPr="00434771" w:rsidRDefault="005A5A59" w:rsidP="00434771">
            <w:pPr>
              <w:pStyle w:val="Header"/>
              <w:tabs>
                <w:tab w:val="clear" w:pos="4153"/>
                <w:tab w:val="clear" w:pos="8306"/>
              </w:tabs>
              <w:jc w:val="both"/>
              <w:rPr>
                <w:rFonts w:asciiTheme="minorHAnsi" w:hAnsiTheme="minorHAnsi" w:cstheme="minorHAnsi"/>
                <w:szCs w:val="22"/>
              </w:rPr>
            </w:pPr>
            <w:r w:rsidRPr="00434771">
              <w:rPr>
                <w:rFonts w:asciiTheme="minorHAnsi" w:hAnsiTheme="minorHAnsi" w:cstheme="minorHAnsi"/>
                <w:szCs w:val="22"/>
              </w:rPr>
              <w:t>It is stated that the building is required to house 100 store cattle.</w:t>
            </w:r>
            <w:r w:rsidR="00434771" w:rsidRPr="00434771">
              <w:rPr>
                <w:rFonts w:asciiTheme="minorHAnsi" w:hAnsiTheme="minorHAnsi" w:cstheme="minorHAnsi"/>
                <w:szCs w:val="22"/>
              </w:rPr>
              <w:t xml:space="preserve"> </w:t>
            </w:r>
            <w:r w:rsidR="00434771" w:rsidRPr="00434771">
              <w:rPr>
                <w:rFonts w:asciiTheme="minorHAnsi" w:hAnsiTheme="minorHAnsi" w:cstheme="minorHAnsi"/>
                <w:color w:val="000000"/>
                <w:lang w:eastAsia="en-GB"/>
              </w:rPr>
              <w:t>This farm holding is currently farming sheep, which foal at spring time.  The applicant desires to diversify the farming activity to provide a year-round income. This building for cattle fattening, where stock is purchased from the cattle market or another farm at a very young age and is then fattened in this building over a short period. The process, in effect, speeds up the time it takes for cattle to be ready for production. This is a continuous cycle with stock being able to be turned around throughout the year, unlike with the sheep.</w:t>
            </w:r>
          </w:p>
          <w:p w:rsidR="00434771" w:rsidRPr="00BC6600" w:rsidRDefault="00434771" w:rsidP="00BC6600">
            <w:pPr>
              <w:pStyle w:val="Header"/>
              <w:tabs>
                <w:tab w:val="clear" w:pos="4153"/>
                <w:tab w:val="clear" w:pos="8306"/>
              </w:tabs>
              <w:jc w:val="both"/>
              <w:rPr>
                <w:rFonts w:asciiTheme="minorHAnsi" w:hAnsiTheme="minorHAnsi" w:cstheme="minorHAnsi"/>
                <w:szCs w:val="22"/>
              </w:rPr>
            </w:pPr>
          </w:p>
        </w:tc>
      </w:tr>
      <w:tr w:rsidR="00C214A6" w:rsidRPr="008C75E4" w:rsidTr="007346A8">
        <w:trPr>
          <w:trHeight w:val="864"/>
          <w:jc w:val="center"/>
        </w:trPr>
        <w:tc>
          <w:tcPr>
            <w:tcW w:w="9493" w:type="dxa"/>
            <w:gridSpan w:val="15"/>
            <w:tcMar>
              <w:top w:w="57" w:type="dxa"/>
              <w:bottom w:w="57" w:type="dxa"/>
            </w:tcMar>
          </w:tcPr>
          <w:p w:rsidR="000671C4" w:rsidRPr="000671C4" w:rsidRDefault="000671C4" w:rsidP="000671C4">
            <w:pPr>
              <w:contextualSpacing/>
              <w:jc w:val="both"/>
              <w:rPr>
                <w:rFonts w:asciiTheme="minorHAnsi" w:hAnsiTheme="minorHAnsi" w:cstheme="minorHAnsi"/>
                <w:b/>
                <w:bCs/>
                <w:szCs w:val="22"/>
              </w:rPr>
            </w:pPr>
            <w:r w:rsidRPr="000671C4">
              <w:rPr>
                <w:rFonts w:asciiTheme="minorHAnsi" w:hAnsiTheme="minorHAnsi" w:cstheme="minorHAnsi"/>
                <w:b/>
                <w:bCs/>
                <w:szCs w:val="22"/>
              </w:rPr>
              <w:t>Observations/Consideration of Matters Raised/Conclusion:</w:t>
            </w:r>
          </w:p>
          <w:p w:rsidR="003B5FA1" w:rsidRDefault="005A5A59"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 xml:space="preserve">Core Strategy Policy DMG2 </w:t>
            </w:r>
            <w:r w:rsidR="00FB2660">
              <w:rPr>
                <w:rFonts w:asciiTheme="minorHAnsi" w:hAnsiTheme="minorHAnsi" w:cstheme="minorHAnsi"/>
                <w:szCs w:val="22"/>
              </w:rPr>
              <w:t>requires development outside the defined settlement areas to meet at least one of six considerations, one of which is that development is needed for the purposes of forestry or agriculture. The applicant has provided information stating that the building is required to house 100 store cattle.</w:t>
            </w:r>
            <w:r w:rsidR="00642923">
              <w:rPr>
                <w:rFonts w:asciiTheme="minorHAnsi" w:hAnsiTheme="minorHAnsi" w:cstheme="minorHAnsi"/>
                <w:szCs w:val="22"/>
              </w:rPr>
              <w:t xml:space="preserve"> A visit to the site confirmed that an agricultural enterprise was operating from the site, evidence by agricultural machinery present on the existing yard and livestock in surrounding fields – there is no information available to suggest that the applicant’s intention to diversify the farming activity is not legitimate and therefore the building would be required for agricultural purposes.</w:t>
            </w:r>
          </w:p>
          <w:p w:rsidR="00FB2660" w:rsidRDefault="00FB2660" w:rsidP="000671C4">
            <w:pPr>
              <w:pStyle w:val="BodyText2"/>
              <w:spacing w:after="0" w:line="240" w:lineRule="auto"/>
              <w:rPr>
                <w:rFonts w:asciiTheme="minorHAnsi" w:hAnsiTheme="minorHAnsi" w:cstheme="minorHAnsi"/>
                <w:szCs w:val="22"/>
              </w:rPr>
            </w:pPr>
          </w:p>
          <w:p w:rsidR="00FB2660" w:rsidRDefault="00FB2660" w:rsidP="000671C4">
            <w:pPr>
              <w:pStyle w:val="BodyText2"/>
              <w:spacing w:after="0" w:line="240" w:lineRule="auto"/>
              <w:rPr>
                <w:rFonts w:asciiTheme="minorHAnsi" w:hAnsiTheme="minorHAnsi" w:cstheme="minorHAnsi"/>
              </w:rPr>
            </w:pPr>
            <w:r>
              <w:rPr>
                <w:rFonts w:asciiTheme="minorHAnsi" w:hAnsiTheme="minorHAnsi" w:cstheme="minorHAnsi"/>
                <w:szCs w:val="22"/>
              </w:rPr>
              <w:t xml:space="preserve">The application site is located in an area of the AONB which is characterised by its openness, </w:t>
            </w:r>
            <w:r>
              <w:rPr>
                <w:rFonts w:asciiTheme="minorHAnsi" w:hAnsiTheme="minorHAnsi" w:cstheme="minorHAnsi"/>
              </w:rPr>
              <w:t>with</w:t>
            </w:r>
            <w:r w:rsidRPr="00A852B2">
              <w:rPr>
                <w:rFonts w:asciiTheme="minorHAnsi" w:hAnsiTheme="minorHAnsi" w:cstheme="minorHAnsi"/>
              </w:rPr>
              <w:t xml:space="preserve"> a strong sense of remoteness, isolation and tranquillity</w:t>
            </w:r>
            <w:r>
              <w:rPr>
                <w:rFonts w:asciiTheme="minorHAnsi" w:hAnsiTheme="minorHAnsi" w:cstheme="minorHAnsi"/>
              </w:rPr>
              <w:t>. Policy DMG2 states that the most important consideration in the assessment of any development proposals in the AONB will be the protection, conservation and enhancement of the landscape and character of the area and that development in the AONB will be required to be in keeping with the character of the landscape. Key Statement EN2 expects development in the AONB to be in keeping with the character of the landscape, reflecting local distinctiveness, vernacular style, scale, style, features and building materials.</w:t>
            </w:r>
          </w:p>
          <w:p w:rsidR="00FB2660" w:rsidRDefault="00FB2660" w:rsidP="000671C4">
            <w:pPr>
              <w:pStyle w:val="BodyText2"/>
              <w:spacing w:after="0" w:line="240" w:lineRule="auto"/>
              <w:rPr>
                <w:rFonts w:asciiTheme="minorHAnsi" w:hAnsiTheme="minorHAnsi" w:cstheme="minorHAnsi"/>
                <w:szCs w:val="22"/>
              </w:rPr>
            </w:pPr>
          </w:p>
          <w:p w:rsidR="002B7ABE" w:rsidRDefault="002B7ABE"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 xml:space="preserve">At present the site is seen in the landscape as a small farmstead or group. The main views of the grouping are from Wigglesworth Road around 300 metres north of the site. There is a public bridleway which is over 500 metres to the south. The proposed building </w:t>
            </w:r>
            <w:r w:rsidR="00C35C34">
              <w:rPr>
                <w:rFonts w:asciiTheme="minorHAnsi" w:hAnsiTheme="minorHAnsi" w:cstheme="minorHAnsi"/>
                <w:szCs w:val="22"/>
              </w:rPr>
              <w:t>would be</w:t>
            </w:r>
            <w:r>
              <w:rPr>
                <w:rFonts w:asciiTheme="minorHAnsi" w:hAnsiTheme="minorHAnsi" w:cstheme="minorHAnsi"/>
                <w:szCs w:val="22"/>
              </w:rPr>
              <w:t xml:space="preserve"> located adjacent to the existing </w:t>
            </w:r>
            <w:r w:rsidR="00557164">
              <w:rPr>
                <w:rFonts w:asciiTheme="minorHAnsi" w:hAnsiTheme="minorHAnsi" w:cstheme="minorHAnsi"/>
                <w:szCs w:val="22"/>
              </w:rPr>
              <w:t xml:space="preserve">agricultural </w:t>
            </w:r>
            <w:r>
              <w:rPr>
                <w:rFonts w:asciiTheme="minorHAnsi" w:hAnsiTheme="minorHAnsi" w:cstheme="minorHAnsi"/>
                <w:szCs w:val="22"/>
              </w:rPr>
              <w:t xml:space="preserve">building and would be experienced as part of the group. </w:t>
            </w:r>
            <w:r w:rsidR="00557164">
              <w:rPr>
                <w:rFonts w:asciiTheme="minorHAnsi" w:hAnsiTheme="minorHAnsi" w:cstheme="minorHAnsi"/>
                <w:szCs w:val="22"/>
              </w:rPr>
              <w:t xml:space="preserve">The existing agricultural </w:t>
            </w:r>
            <w:r w:rsidR="00C35C34">
              <w:rPr>
                <w:rFonts w:asciiTheme="minorHAnsi" w:hAnsiTheme="minorHAnsi" w:cstheme="minorHAnsi"/>
                <w:szCs w:val="22"/>
              </w:rPr>
              <w:t xml:space="preserve">building, used </w:t>
            </w:r>
            <w:r w:rsidR="00557164">
              <w:rPr>
                <w:rFonts w:asciiTheme="minorHAnsi" w:hAnsiTheme="minorHAnsi" w:cstheme="minorHAnsi"/>
                <w:szCs w:val="22"/>
              </w:rPr>
              <w:t>for the storage of hay and machinery at the site, is 4m to the eaves and 6m to the ridge and therefore the proposed building is marginally less in overall height although larger in footprint</w:t>
            </w:r>
            <w:r w:rsidR="00C35C34">
              <w:rPr>
                <w:rFonts w:asciiTheme="minorHAnsi" w:hAnsiTheme="minorHAnsi" w:cstheme="minorHAnsi"/>
                <w:szCs w:val="22"/>
              </w:rPr>
              <w:t xml:space="preserve"> and would be located on land which is also lower thus reducing the proposed building’s height further in comparison with the existing structure.</w:t>
            </w:r>
          </w:p>
          <w:p w:rsidR="002B7ABE" w:rsidRDefault="002B7ABE" w:rsidP="000671C4">
            <w:pPr>
              <w:pStyle w:val="BodyText2"/>
              <w:spacing w:after="0" w:line="240" w:lineRule="auto"/>
              <w:rPr>
                <w:rFonts w:asciiTheme="minorHAnsi" w:hAnsiTheme="minorHAnsi" w:cstheme="minorHAnsi"/>
                <w:szCs w:val="22"/>
              </w:rPr>
            </w:pPr>
          </w:p>
          <w:p w:rsidR="00FB2660" w:rsidRDefault="005E5C8E"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 xml:space="preserve">Given its location in a more sensitive part of the AONB the new agricultural building should be constructed using </w:t>
            </w:r>
            <w:r w:rsidR="00AD094F">
              <w:rPr>
                <w:rFonts w:asciiTheme="minorHAnsi" w:hAnsiTheme="minorHAnsi" w:cstheme="minorHAnsi"/>
                <w:szCs w:val="22"/>
              </w:rPr>
              <w:t xml:space="preserve">high quality natural materials. </w:t>
            </w:r>
            <w:r w:rsidR="00C35C34">
              <w:rPr>
                <w:rFonts w:asciiTheme="minorHAnsi" w:hAnsiTheme="minorHAnsi" w:cstheme="minorHAnsi"/>
                <w:szCs w:val="22"/>
              </w:rPr>
              <w:t>Following amendments</w:t>
            </w:r>
            <w:r w:rsidR="00557164">
              <w:rPr>
                <w:rFonts w:asciiTheme="minorHAnsi" w:hAnsiTheme="minorHAnsi" w:cstheme="minorHAnsi"/>
                <w:szCs w:val="22"/>
              </w:rPr>
              <w:t xml:space="preserve"> to the design of the building as described above it is considered that the use of natural stone and timber boarding is acceptable.</w:t>
            </w:r>
          </w:p>
          <w:p w:rsidR="00C35C34" w:rsidRDefault="00C35C34" w:rsidP="000671C4">
            <w:pPr>
              <w:pStyle w:val="BodyText2"/>
              <w:spacing w:after="0" w:line="240" w:lineRule="auto"/>
              <w:rPr>
                <w:rFonts w:asciiTheme="minorHAnsi" w:hAnsiTheme="minorHAnsi" w:cstheme="minorHAnsi"/>
                <w:szCs w:val="22"/>
              </w:rPr>
            </w:pPr>
          </w:p>
          <w:p w:rsidR="00C35C34" w:rsidRDefault="00C35C34"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lastRenderedPageBreak/>
              <w:t xml:space="preserve">There are no permanent residential units in the immediate vicinity. The nearest dwelling is approximately 390 metres to the north and therefore there would be no adverse impact </w:t>
            </w:r>
            <w:r w:rsidR="00642923">
              <w:rPr>
                <w:rFonts w:asciiTheme="minorHAnsi" w:hAnsiTheme="minorHAnsi" w:cstheme="minorHAnsi"/>
                <w:szCs w:val="22"/>
              </w:rPr>
              <w:t>to residential amenity.</w:t>
            </w:r>
          </w:p>
          <w:p w:rsidR="00C84206" w:rsidRPr="000671C4" w:rsidRDefault="00C84206" w:rsidP="000671C4">
            <w:pPr>
              <w:pStyle w:val="BodyText2"/>
              <w:spacing w:after="0" w:line="240" w:lineRule="auto"/>
              <w:rPr>
                <w:rFonts w:asciiTheme="minorHAnsi" w:hAnsiTheme="minorHAnsi" w:cstheme="minorHAnsi"/>
                <w:szCs w:val="22"/>
              </w:rPr>
            </w:pPr>
          </w:p>
          <w:p w:rsidR="00EB0C6F" w:rsidRPr="000671C4" w:rsidRDefault="000671C4" w:rsidP="000671C4">
            <w:pPr>
              <w:pStyle w:val="BodyText2"/>
              <w:spacing w:after="0" w:line="240" w:lineRule="auto"/>
              <w:rPr>
                <w:rFonts w:asciiTheme="minorHAnsi" w:hAnsiTheme="minorHAnsi" w:cstheme="minorHAnsi"/>
                <w:szCs w:val="22"/>
                <w:u w:val="single"/>
              </w:rPr>
            </w:pPr>
            <w:r w:rsidRPr="000671C4">
              <w:rPr>
                <w:rFonts w:asciiTheme="minorHAnsi" w:hAnsiTheme="minorHAnsi" w:cstheme="minorHAnsi"/>
                <w:szCs w:val="22"/>
                <w:u w:val="single"/>
              </w:rPr>
              <w:t>Conclusion</w:t>
            </w:r>
          </w:p>
          <w:p w:rsidR="000671C4" w:rsidRDefault="000671C4" w:rsidP="000671C4">
            <w:pPr>
              <w:pStyle w:val="BodyText2"/>
              <w:spacing w:after="0" w:line="240" w:lineRule="auto"/>
              <w:rPr>
                <w:rFonts w:asciiTheme="minorHAnsi" w:hAnsiTheme="minorHAnsi" w:cstheme="minorHAnsi"/>
                <w:szCs w:val="22"/>
              </w:rPr>
            </w:pPr>
            <w:r w:rsidRPr="000671C4">
              <w:rPr>
                <w:rFonts w:asciiTheme="minorHAnsi" w:hAnsiTheme="minorHAnsi" w:cstheme="minorHAnsi"/>
                <w:szCs w:val="22"/>
              </w:rPr>
              <w:t xml:space="preserve">Taking account of the above, it is considered that </w:t>
            </w:r>
            <w:r w:rsidR="00642923">
              <w:rPr>
                <w:rFonts w:asciiTheme="minorHAnsi" w:hAnsiTheme="minorHAnsi" w:cstheme="minorHAnsi"/>
                <w:szCs w:val="22"/>
              </w:rPr>
              <w:t xml:space="preserve">building is genuinely required for agriculture and that </w:t>
            </w:r>
            <w:r w:rsidRPr="000671C4">
              <w:rPr>
                <w:rFonts w:asciiTheme="minorHAnsi" w:hAnsiTheme="minorHAnsi" w:cstheme="minorHAnsi"/>
                <w:szCs w:val="22"/>
              </w:rPr>
              <w:t xml:space="preserve">the proposed development would not cause undue harm to the visual amenities of the AONB. </w:t>
            </w:r>
            <w:r w:rsidR="00C61B21">
              <w:rPr>
                <w:rFonts w:asciiTheme="minorHAnsi" w:hAnsiTheme="minorHAnsi" w:cstheme="minorHAnsi"/>
                <w:szCs w:val="22"/>
              </w:rPr>
              <w:t>I</w:t>
            </w:r>
            <w:r w:rsidRPr="000671C4">
              <w:rPr>
                <w:rFonts w:asciiTheme="minorHAnsi" w:hAnsiTheme="minorHAnsi" w:cstheme="minorHAnsi"/>
                <w:szCs w:val="22"/>
              </w:rPr>
              <w:t>t is recommended that the application be approved</w:t>
            </w:r>
            <w:r w:rsidR="00C61B21">
              <w:rPr>
                <w:rFonts w:asciiTheme="minorHAnsi" w:hAnsiTheme="minorHAnsi" w:cstheme="minorHAnsi"/>
                <w:szCs w:val="22"/>
              </w:rPr>
              <w:t xml:space="preserve"> subject to appropriate planning conditions.</w:t>
            </w:r>
          </w:p>
          <w:p w:rsidR="00557164" w:rsidRPr="000671C4" w:rsidRDefault="00557164" w:rsidP="000671C4">
            <w:pPr>
              <w:pStyle w:val="BodyText2"/>
              <w:spacing w:after="0" w:line="240" w:lineRule="auto"/>
              <w:rPr>
                <w:rFonts w:asciiTheme="minorHAnsi" w:hAnsiTheme="minorHAnsi" w:cstheme="minorHAnsi"/>
                <w:szCs w:val="22"/>
              </w:rPr>
            </w:pPr>
          </w:p>
        </w:tc>
      </w:tr>
      <w:tr w:rsidR="000E61F1" w:rsidRPr="003452DF" w:rsidTr="007346A8">
        <w:trPr>
          <w:jc w:val="center"/>
        </w:trPr>
        <w:tc>
          <w:tcPr>
            <w:tcW w:w="2837" w:type="dxa"/>
            <w:gridSpan w:val="5"/>
            <w:tcMar>
              <w:top w:w="57" w:type="dxa"/>
              <w:bottom w:w="57" w:type="dxa"/>
            </w:tcMar>
          </w:tcPr>
          <w:p w:rsidR="00C0704D" w:rsidRPr="000671C4" w:rsidRDefault="00C0704D" w:rsidP="006126D1">
            <w:pPr>
              <w:jc w:val="both"/>
              <w:rPr>
                <w:rFonts w:asciiTheme="minorHAnsi" w:hAnsiTheme="minorHAnsi" w:cstheme="minorHAnsi"/>
                <w:b/>
                <w:bCs/>
                <w:szCs w:val="22"/>
              </w:rPr>
            </w:pPr>
            <w:r w:rsidRPr="000671C4">
              <w:rPr>
                <w:rFonts w:asciiTheme="minorHAnsi" w:hAnsiTheme="minorHAnsi" w:cstheme="minorHAnsi"/>
                <w:b/>
                <w:szCs w:val="22"/>
              </w:rPr>
              <w:lastRenderedPageBreak/>
              <w:t>RECOMMENDATION</w:t>
            </w:r>
            <w:r w:rsidRPr="000671C4">
              <w:rPr>
                <w:rFonts w:asciiTheme="minorHAnsi" w:hAnsiTheme="minorHAnsi" w:cstheme="minorHAnsi"/>
                <w:szCs w:val="22"/>
              </w:rPr>
              <w:t>:</w:t>
            </w:r>
          </w:p>
        </w:tc>
        <w:tc>
          <w:tcPr>
            <w:tcW w:w="6656" w:type="dxa"/>
            <w:gridSpan w:val="10"/>
          </w:tcPr>
          <w:p w:rsidR="00C0704D" w:rsidRPr="000671C4" w:rsidRDefault="000671C4" w:rsidP="006126D1">
            <w:pPr>
              <w:jc w:val="both"/>
              <w:rPr>
                <w:rFonts w:asciiTheme="minorHAnsi" w:hAnsiTheme="minorHAnsi" w:cstheme="minorHAnsi"/>
                <w:bCs/>
                <w:szCs w:val="22"/>
              </w:rPr>
            </w:pPr>
            <w:r w:rsidRPr="000671C4">
              <w:rPr>
                <w:rFonts w:asciiTheme="minorHAnsi" w:hAnsiTheme="minorHAnsi" w:cstheme="minorHAnsi"/>
                <w:bCs/>
                <w:szCs w:val="22"/>
              </w:rPr>
              <w:t>That planning consent be granted.</w:t>
            </w: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E3" w:rsidRDefault="00B949E3" w:rsidP="006D0B5F">
      <w:r>
        <w:separator/>
      </w:r>
    </w:p>
  </w:endnote>
  <w:endnote w:type="continuationSeparator" w:id="0">
    <w:p w:rsidR="00B949E3" w:rsidRDefault="00B949E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E3" w:rsidRDefault="00B949E3" w:rsidP="006D0B5F">
      <w:r>
        <w:separator/>
      </w:r>
    </w:p>
  </w:footnote>
  <w:footnote w:type="continuationSeparator" w:id="0">
    <w:p w:rsidR="00B949E3" w:rsidRDefault="00B949E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6"/>
  </w:num>
  <w:num w:numId="5">
    <w:abstractNumId w:val="0"/>
  </w:num>
  <w:num w:numId="6">
    <w:abstractNumId w:val="2"/>
  </w:num>
  <w:num w:numId="7">
    <w:abstractNumId w:val="7"/>
  </w:num>
  <w:num w:numId="8">
    <w:abstractNumId w:val="15"/>
  </w:num>
  <w:num w:numId="9">
    <w:abstractNumId w:val="4"/>
  </w:num>
  <w:num w:numId="10">
    <w:abstractNumId w:val="8"/>
  </w:num>
  <w:num w:numId="11">
    <w:abstractNumId w:val="3"/>
  </w:num>
  <w:num w:numId="12">
    <w:abstractNumId w:val="17"/>
  </w:num>
  <w:num w:numId="13">
    <w:abstractNumId w:val="10"/>
  </w:num>
  <w:num w:numId="14">
    <w:abstractNumId w:val="1"/>
  </w:num>
  <w:num w:numId="15">
    <w:abstractNumId w:val="13"/>
  </w:num>
  <w:num w:numId="16">
    <w:abstractNumId w:val="16"/>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6200"/>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42B5"/>
    <w:rsid w:val="00206E24"/>
    <w:rsid w:val="00224E91"/>
    <w:rsid w:val="00237DA1"/>
    <w:rsid w:val="00250879"/>
    <w:rsid w:val="00284480"/>
    <w:rsid w:val="0028751A"/>
    <w:rsid w:val="0029334A"/>
    <w:rsid w:val="002A01CF"/>
    <w:rsid w:val="002A7DF7"/>
    <w:rsid w:val="002B7854"/>
    <w:rsid w:val="002B7ABE"/>
    <w:rsid w:val="002C36AC"/>
    <w:rsid w:val="002C6277"/>
    <w:rsid w:val="002D2A75"/>
    <w:rsid w:val="002D4346"/>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7F5E"/>
    <w:rsid w:val="003520CC"/>
    <w:rsid w:val="003634D9"/>
    <w:rsid w:val="00366AB8"/>
    <w:rsid w:val="0036759A"/>
    <w:rsid w:val="003825D5"/>
    <w:rsid w:val="00387489"/>
    <w:rsid w:val="003918E8"/>
    <w:rsid w:val="003A350C"/>
    <w:rsid w:val="003A4376"/>
    <w:rsid w:val="003B5FA1"/>
    <w:rsid w:val="003C28E1"/>
    <w:rsid w:val="003E2151"/>
    <w:rsid w:val="003F16AA"/>
    <w:rsid w:val="003F16B4"/>
    <w:rsid w:val="003F3DB5"/>
    <w:rsid w:val="003F481A"/>
    <w:rsid w:val="00401392"/>
    <w:rsid w:val="00404C72"/>
    <w:rsid w:val="00412187"/>
    <w:rsid w:val="00422600"/>
    <w:rsid w:val="004230B7"/>
    <w:rsid w:val="0042757D"/>
    <w:rsid w:val="00434771"/>
    <w:rsid w:val="00435FC9"/>
    <w:rsid w:val="0044039F"/>
    <w:rsid w:val="00440CB6"/>
    <w:rsid w:val="00454754"/>
    <w:rsid w:val="00463832"/>
    <w:rsid w:val="004654DD"/>
    <w:rsid w:val="004854EC"/>
    <w:rsid w:val="004936A6"/>
    <w:rsid w:val="004947BB"/>
    <w:rsid w:val="004A5EA9"/>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57164"/>
    <w:rsid w:val="005631B3"/>
    <w:rsid w:val="005633B0"/>
    <w:rsid w:val="005635FF"/>
    <w:rsid w:val="00573B90"/>
    <w:rsid w:val="005878FE"/>
    <w:rsid w:val="00593040"/>
    <w:rsid w:val="005A5A59"/>
    <w:rsid w:val="005B0A0E"/>
    <w:rsid w:val="005D01CF"/>
    <w:rsid w:val="005D3432"/>
    <w:rsid w:val="005E1C6C"/>
    <w:rsid w:val="005E22EA"/>
    <w:rsid w:val="005E374C"/>
    <w:rsid w:val="005E5C8E"/>
    <w:rsid w:val="005E65DF"/>
    <w:rsid w:val="00611072"/>
    <w:rsid w:val="006126D1"/>
    <w:rsid w:val="006229E5"/>
    <w:rsid w:val="00627387"/>
    <w:rsid w:val="006326A2"/>
    <w:rsid w:val="00641F80"/>
    <w:rsid w:val="00642923"/>
    <w:rsid w:val="00665C24"/>
    <w:rsid w:val="00680ED9"/>
    <w:rsid w:val="00690EC3"/>
    <w:rsid w:val="00692B60"/>
    <w:rsid w:val="00695F88"/>
    <w:rsid w:val="006A71AD"/>
    <w:rsid w:val="006C126E"/>
    <w:rsid w:val="006C2BFA"/>
    <w:rsid w:val="006D0B5F"/>
    <w:rsid w:val="006D4E58"/>
    <w:rsid w:val="006D54CD"/>
    <w:rsid w:val="006D7624"/>
    <w:rsid w:val="006E3308"/>
    <w:rsid w:val="006F137D"/>
    <w:rsid w:val="006F4D38"/>
    <w:rsid w:val="0070054B"/>
    <w:rsid w:val="0070168D"/>
    <w:rsid w:val="00706480"/>
    <w:rsid w:val="00710DBB"/>
    <w:rsid w:val="0071401C"/>
    <w:rsid w:val="00714436"/>
    <w:rsid w:val="00725F1C"/>
    <w:rsid w:val="007346A8"/>
    <w:rsid w:val="007430C8"/>
    <w:rsid w:val="00755FCC"/>
    <w:rsid w:val="00762889"/>
    <w:rsid w:val="00776AE2"/>
    <w:rsid w:val="00776C26"/>
    <w:rsid w:val="007921CD"/>
    <w:rsid w:val="007C5713"/>
    <w:rsid w:val="007C791C"/>
    <w:rsid w:val="007D0F8F"/>
    <w:rsid w:val="007D6D02"/>
    <w:rsid w:val="007D7DF4"/>
    <w:rsid w:val="007E0D23"/>
    <w:rsid w:val="007F196D"/>
    <w:rsid w:val="00805895"/>
    <w:rsid w:val="008075CB"/>
    <w:rsid w:val="00811771"/>
    <w:rsid w:val="00811F38"/>
    <w:rsid w:val="008133B3"/>
    <w:rsid w:val="008154DD"/>
    <w:rsid w:val="00824647"/>
    <w:rsid w:val="00831115"/>
    <w:rsid w:val="00835CBB"/>
    <w:rsid w:val="008542DE"/>
    <w:rsid w:val="008638DE"/>
    <w:rsid w:val="00891182"/>
    <w:rsid w:val="008A28C8"/>
    <w:rsid w:val="008B46C0"/>
    <w:rsid w:val="008C75E4"/>
    <w:rsid w:val="008E5FA6"/>
    <w:rsid w:val="008F4EE4"/>
    <w:rsid w:val="008F6B58"/>
    <w:rsid w:val="0090282C"/>
    <w:rsid w:val="00903DD4"/>
    <w:rsid w:val="0090401A"/>
    <w:rsid w:val="00906D0C"/>
    <w:rsid w:val="00925FB4"/>
    <w:rsid w:val="00934B34"/>
    <w:rsid w:val="00940D6E"/>
    <w:rsid w:val="009565F5"/>
    <w:rsid w:val="009744F0"/>
    <w:rsid w:val="009825FF"/>
    <w:rsid w:val="00985097"/>
    <w:rsid w:val="00985279"/>
    <w:rsid w:val="00994EF1"/>
    <w:rsid w:val="009C4BCF"/>
    <w:rsid w:val="009C7F61"/>
    <w:rsid w:val="009D0395"/>
    <w:rsid w:val="009D5722"/>
    <w:rsid w:val="009D60E4"/>
    <w:rsid w:val="009E6A8B"/>
    <w:rsid w:val="009F332E"/>
    <w:rsid w:val="009F7A60"/>
    <w:rsid w:val="00A04A96"/>
    <w:rsid w:val="00A1089F"/>
    <w:rsid w:val="00A117E8"/>
    <w:rsid w:val="00A2019B"/>
    <w:rsid w:val="00A36D6F"/>
    <w:rsid w:val="00A40070"/>
    <w:rsid w:val="00A42E82"/>
    <w:rsid w:val="00A46EE9"/>
    <w:rsid w:val="00A55E83"/>
    <w:rsid w:val="00A579BB"/>
    <w:rsid w:val="00A63D55"/>
    <w:rsid w:val="00A67781"/>
    <w:rsid w:val="00A74473"/>
    <w:rsid w:val="00A82792"/>
    <w:rsid w:val="00A8441B"/>
    <w:rsid w:val="00A852B2"/>
    <w:rsid w:val="00A9088C"/>
    <w:rsid w:val="00A9168C"/>
    <w:rsid w:val="00A92448"/>
    <w:rsid w:val="00A95D89"/>
    <w:rsid w:val="00AB3243"/>
    <w:rsid w:val="00AB5232"/>
    <w:rsid w:val="00AD02FA"/>
    <w:rsid w:val="00AD094F"/>
    <w:rsid w:val="00AD5B50"/>
    <w:rsid w:val="00AE4372"/>
    <w:rsid w:val="00B05C4C"/>
    <w:rsid w:val="00B14DDC"/>
    <w:rsid w:val="00B30A5E"/>
    <w:rsid w:val="00B31505"/>
    <w:rsid w:val="00B470F6"/>
    <w:rsid w:val="00B6269C"/>
    <w:rsid w:val="00B74C73"/>
    <w:rsid w:val="00B93EB5"/>
    <w:rsid w:val="00B949E3"/>
    <w:rsid w:val="00B96F5A"/>
    <w:rsid w:val="00BA12C7"/>
    <w:rsid w:val="00BA2247"/>
    <w:rsid w:val="00BA5D97"/>
    <w:rsid w:val="00BA6B19"/>
    <w:rsid w:val="00BB1C52"/>
    <w:rsid w:val="00BB2A50"/>
    <w:rsid w:val="00BC1E48"/>
    <w:rsid w:val="00BC6600"/>
    <w:rsid w:val="00BD3F03"/>
    <w:rsid w:val="00C0704D"/>
    <w:rsid w:val="00C10202"/>
    <w:rsid w:val="00C214A6"/>
    <w:rsid w:val="00C24A51"/>
    <w:rsid w:val="00C25722"/>
    <w:rsid w:val="00C35C34"/>
    <w:rsid w:val="00C44E40"/>
    <w:rsid w:val="00C50517"/>
    <w:rsid w:val="00C536CA"/>
    <w:rsid w:val="00C618DB"/>
    <w:rsid w:val="00C61B21"/>
    <w:rsid w:val="00C630B5"/>
    <w:rsid w:val="00C6456D"/>
    <w:rsid w:val="00C6777F"/>
    <w:rsid w:val="00C84206"/>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423D8"/>
    <w:rsid w:val="00D54384"/>
    <w:rsid w:val="00D54E67"/>
    <w:rsid w:val="00D54F48"/>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2CC4"/>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B20D7"/>
    <w:rsid w:val="00FB23AF"/>
    <w:rsid w:val="00FB2660"/>
    <w:rsid w:val="00FC046F"/>
    <w:rsid w:val="00FC2360"/>
    <w:rsid w:val="00FC6A11"/>
    <w:rsid w:val="00FC77EC"/>
    <w:rsid w:val="00FD334A"/>
    <w:rsid w:val="00FD6AE3"/>
    <w:rsid w:val="00FE511D"/>
    <w:rsid w:val="00FE7206"/>
    <w:rsid w:val="00FF218C"/>
    <w:rsid w:val="00FF50C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46298086">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D6606-F92A-4B2C-8939-119A53CF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Adam Birkett</cp:lastModifiedBy>
  <cp:revision>2</cp:revision>
  <cp:lastPrinted>2020-12-22T16:25:00Z</cp:lastPrinted>
  <dcterms:created xsi:type="dcterms:W3CDTF">2020-12-22T16:45:00Z</dcterms:created>
  <dcterms:modified xsi:type="dcterms:W3CDTF">2020-12-22T16:45:00Z</dcterms:modified>
</cp:coreProperties>
</file>