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AC581F" w:rsidP="008F6B58">
            <w:pPr>
              <w:rPr>
                <w:rFonts w:ascii="Calibri" w:hAnsi="Calibri"/>
                <w:szCs w:val="22"/>
              </w:rPr>
            </w:pPr>
            <w:r>
              <w:rPr>
                <w:rFonts w:ascii="Calibri" w:hAnsi="Calibri"/>
                <w:szCs w:val="22"/>
              </w:rPr>
              <w:t>3/2020/0845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AC581F" w:rsidP="002C6277">
            <w:pPr>
              <w:rPr>
                <w:rFonts w:ascii="Calibri" w:hAnsi="Calibri"/>
                <w:szCs w:val="22"/>
              </w:rPr>
            </w:pPr>
            <w:r>
              <w:rPr>
                <w:rFonts w:ascii="Calibri" w:hAnsi="Calibri"/>
                <w:szCs w:val="22"/>
              </w:rPr>
              <w:t>9/11/20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AC581F" w:rsidRDefault="00AC581F" w:rsidP="00811771">
            <w:pPr>
              <w:rPr>
                <w:rFonts w:ascii="Calibri" w:hAnsi="Calibri"/>
                <w:szCs w:val="22"/>
              </w:rPr>
            </w:pPr>
            <w:r w:rsidRPr="00AC581F">
              <w:rPr>
                <w:rFonts w:ascii="Calibri" w:hAnsi="Calibri"/>
                <w:szCs w:val="22"/>
              </w:rPr>
              <w:t xml:space="preserve">AD </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AC581F"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D34964" w:rsidRDefault="00D34964">
            <w:pPr>
              <w:rPr>
                <w:rFonts w:asciiTheme="minorHAnsi" w:hAnsiTheme="minorHAnsi" w:cstheme="minorHAnsi"/>
                <w:szCs w:val="22"/>
              </w:rPr>
            </w:pPr>
            <w:r w:rsidRPr="00D34964">
              <w:rPr>
                <w:rFonts w:asciiTheme="minorHAnsi" w:hAnsiTheme="minorHAnsi" w:cstheme="minorHAnsi"/>
                <w:color w:val="333333"/>
                <w:szCs w:val="22"/>
                <w:shd w:val="clear" w:color="auto" w:fill="FFFFFF"/>
              </w:rPr>
              <w:t>Construction of a single storey rugby pavilion, covered spectator areas, an enclosed space for pitch side medical facilities, light refreshments and storage. Pavilion to be of vernacular form, with an exposed oak framed construction and a pitched tiled roof. Pavilion to be centred along the north west boundary of the First 15 college rugby pitch known as Smith Field.</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D34964" w:rsidRDefault="00D34964" w:rsidP="00A42E82">
            <w:pPr>
              <w:rPr>
                <w:rFonts w:asciiTheme="minorHAnsi" w:hAnsiTheme="minorHAnsi" w:cstheme="minorHAnsi"/>
                <w:b/>
                <w:szCs w:val="22"/>
              </w:rPr>
            </w:pPr>
            <w:proofErr w:type="spellStart"/>
            <w:r w:rsidRPr="00D34964">
              <w:rPr>
                <w:rStyle w:val="Strong"/>
                <w:rFonts w:asciiTheme="minorHAnsi" w:hAnsiTheme="minorHAnsi" w:cstheme="minorHAnsi"/>
                <w:b w:val="0"/>
                <w:color w:val="333333"/>
                <w:szCs w:val="22"/>
                <w:bdr w:val="none" w:sz="0" w:space="0" w:color="auto" w:frame="1"/>
                <w:shd w:val="clear" w:color="auto" w:fill="FFFFFF"/>
              </w:rPr>
              <w:t>Stonyhurst</w:t>
            </w:r>
            <w:proofErr w:type="spellEnd"/>
            <w:r w:rsidRPr="00D34964">
              <w:rPr>
                <w:rStyle w:val="Strong"/>
                <w:rFonts w:asciiTheme="minorHAnsi" w:hAnsiTheme="minorHAnsi" w:cstheme="minorHAnsi"/>
                <w:b w:val="0"/>
                <w:color w:val="333333"/>
                <w:szCs w:val="22"/>
                <w:bdr w:val="none" w:sz="0" w:space="0" w:color="auto" w:frame="1"/>
                <w:shd w:val="clear" w:color="auto" w:fill="FFFFFF"/>
              </w:rPr>
              <w:t xml:space="preserve"> College Avenue Road Hurst Green BB7 9PZ</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D05CE6"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Pr="00F117CA" w:rsidRDefault="00244A9D" w:rsidP="00FC046F">
            <w:pPr>
              <w:jc w:val="both"/>
              <w:rPr>
                <w:rFonts w:asciiTheme="minorHAnsi" w:hAnsiTheme="minorHAnsi" w:cstheme="minorHAnsi"/>
                <w:szCs w:val="22"/>
              </w:rPr>
            </w:pPr>
            <w:r>
              <w:rPr>
                <w:rFonts w:ascii="Calibri" w:hAnsi="Calibri"/>
                <w:szCs w:val="22"/>
              </w:rPr>
              <w:t xml:space="preserve">No objections. </w:t>
            </w:r>
            <w:r w:rsidR="00955128">
              <w:rPr>
                <w:rFonts w:ascii="Calibri" w:hAnsi="Calibri"/>
                <w:szCs w:val="22"/>
              </w:rPr>
              <w:t>However, concern</w:t>
            </w:r>
            <w:r w:rsidR="003179A9">
              <w:rPr>
                <w:rFonts w:ascii="Calibri" w:hAnsi="Calibri"/>
                <w:szCs w:val="22"/>
              </w:rPr>
              <w:t xml:space="preserve"> re: </w:t>
            </w:r>
            <w:r w:rsidR="003179A9" w:rsidRPr="00F117CA">
              <w:rPr>
                <w:rFonts w:asciiTheme="minorHAnsi" w:hAnsiTheme="minorHAnsi" w:cstheme="minorHAnsi"/>
              </w:rPr>
              <w:t>junction of the access track and Avenue Road. Expected large and heav</w:t>
            </w:r>
            <w:r w:rsidR="004E1F79" w:rsidRPr="00F117CA">
              <w:rPr>
                <w:rFonts w:asciiTheme="minorHAnsi" w:hAnsiTheme="minorHAnsi" w:cstheme="minorHAnsi"/>
              </w:rPr>
              <w:t>y</w:t>
            </w:r>
            <w:r w:rsidR="003179A9" w:rsidRPr="00F117CA">
              <w:rPr>
                <w:rFonts w:asciiTheme="minorHAnsi" w:hAnsiTheme="minorHAnsi" w:cstheme="minorHAnsi"/>
              </w:rPr>
              <w:t xml:space="preserve"> vehicles using this track and there is a concern that the highway structure may be damaged at the join of the two surfaces. </w:t>
            </w:r>
            <w:r w:rsidR="00A5783A" w:rsidRPr="00F117CA">
              <w:rPr>
                <w:rFonts w:asciiTheme="minorHAnsi" w:hAnsiTheme="minorHAnsi" w:cstheme="minorHAnsi"/>
              </w:rPr>
              <w:t>R</w:t>
            </w:r>
            <w:r w:rsidR="003179A9" w:rsidRPr="00F117CA">
              <w:rPr>
                <w:rFonts w:asciiTheme="minorHAnsi" w:hAnsiTheme="minorHAnsi" w:cstheme="minorHAnsi"/>
              </w:rPr>
              <w:t>ecommended that the first 5m of the track is improved with a bound surface, and widened to allow for the swept path of a 26 tonne 10m 3 axle Heavy Goods delivery vehicle to access the building site.</w:t>
            </w:r>
            <w:r w:rsidR="00F117CA" w:rsidRPr="00F117CA">
              <w:rPr>
                <w:rFonts w:asciiTheme="minorHAnsi" w:hAnsiTheme="minorHAnsi" w:cstheme="minorHAnsi"/>
              </w:rPr>
              <w:t xml:space="preserve"> Conditions are suggested in this regard and in respect to wheel cleaning during construction. Notes also suggested.</w:t>
            </w:r>
          </w:p>
          <w:p w:rsidR="00D05CE6"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LCC Archaeology:</w:t>
            </w:r>
          </w:p>
          <w:p w:rsidR="00DB3771" w:rsidRPr="0034775A" w:rsidRDefault="0034775A" w:rsidP="00FC046F">
            <w:pPr>
              <w:jc w:val="both"/>
              <w:rPr>
                <w:rFonts w:ascii="Calibri" w:hAnsi="Calibri"/>
                <w:szCs w:val="22"/>
              </w:rPr>
            </w:pPr>
            <w:r w:rsidRPr="0034775A">
              <w:rPr>
                <w:rFonts w:ascii="Calibri" w:hAnsi="Calibri"/>
                <w:szCs w:val="22"/>
              </w:rPr>
              <w:t>No objection. No archaeological works necessary.</w:t>
            </w:r>
          </w:p>
          <w:p w:rsidR="00D05CE6" w:rsidRPr="0034775A"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Historic England:</w:t>
            </w:r>
          </w:p>
          <w:p w:rsidR="00DB3771" w:rsidRPr="00DB3771" w:rsidRDefault="00DB3771" w:rsidP="00FC046F">
            <w:pPr>
              <w:jc w:val="both"/>
              <w:rPr>
                <w:rFonts w:ascii="Calibri" w:hAnsi="Calibri"/>
                <w:szCs w:val="22"/>
              </w:rPr>
            </w:pPr>
            <w:r w:rsidRPr="00DB3771">
              <w:rPr>
                <w:rFonts w:ascii="Calibri" w:hAnsi="Calibri"/>
                <w:szCs w:val="22"/>
              </w:rPr>
              <w:t>Do not wish to offer any comments. Suggest seeking views of the RVBC specialist conservation and archaeological advisers.</w:t>
            </w:r>
          </w:p>
          <w:p w:rsidR="00D05CE6"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Sport England:</w:t>
            </w:r>
          </w:p>
          <w:p w:rsidR="00855068" w:rsidRDefault="00855068" w:rsidP="00855068">
            <w:pPr>
              <w:pStyle w:val="PlainText"/>
            </w:pPr>
            <w:r>
              <w:t>Sport England is satisfied that the proposed rugby pavilion meets Exception 2 of our playing fields policy, in that:</w:t>
            </w:r>
          </w:p>
          <w:p w:rsidR="00855068" w:rsidRDefault="00855068" w:rsidP="00855068">
            <w:pPr>
              <w:pStyle w:val="PlainText"/>
            </w:pPr>
          </w:p>
          <w:p w:rsidR="00855068" w:rsidRDefault="00855068" w:rsidP="00855068">
            <w:pPr>
              <w:pStyle w:val="PlainText"/>
              <w:rPr>
                <w:i/>
                <w:iCs/>
              </w:rPr>
            </w:pPr>
            <w:r>
              <w:rPr>
                <w:i/>
                <w:iCs/>
              </w:rPr>
              <w:t>'The proposed development is for ancillary facilities supporting the principal use of the site as a playing field, and does not affect the quantity or quality of playing pitches or otherwise adversely affect their use.'</w:t>
            </w:r>
          </w:p>
          <w:p w:rsidR="00855068" w:rsidRDefault="00855068" w:rsidP="00855068">
            <w:pPr>
              <w:pStyle w:val="PlainText"/>
            </w:pPr>
          </w:p>
          <w:p w:rsidR="004435A9" w:rsidRPr="004435A9" w:rsidRDefault="00855068" w:rsidP="004435A9">
            <w:pPr>
              <w:pStyle w:val="PlainText"/>
            </w:pPr>
            <w:r>
              <w:t xml:space="preserve">However, as an advisory note, and after consultation with the Rugby Football Union, it is felt the pavilion creates an opportunity to provide a </w:t>
            </w:r>
            <w:proofErr w:type="gramStart"/>
            <w:r>
              <w:t>small scale</w:t>
            </w:r>
            <w:proofErr w:type="gramEnd"/>
            <w:r>
              <w:t xml:space="preserve"> changing room for pitch users.  </w:t>
            </w:r>
            <w:proofErr w:type="gramStart"/>
            <w:r>
              <w:t>Also</w:t>
            </w:r>
            <w:proofErr w:type="gramEnd"/>
            <w:r>
              <w:t xml:space="preserve"> as </w:t>
            </w:r>
            <w:r>
              <w:lastRenderedPageBreak/>
              <w:t>refreshments are to be provided then a toilet should be included. I understand there are changing rooms on site but that they are some distance from this pitch.</w:t>
            </w:r>
          </w:p>
          <w:p w:rsidR="00D05CE6"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Lancashire Fire &amp; Rescue:</w:t>
            </w:r>
          </w:p>
          <w:p w:rsidR="00AB5461" w:rsidRPr="00D814D3" w:rsidRDefault="00D814D3" w:rsidP="00FC046F">
            <w:pPr>
              <w:jc w:val="both"/>
              <w:rPr>
                <w:rFonts w:asciiTheme="minorHAnsi" w:hAnsiTheme="minorHAnsi" w:cstheme="minorHAnsi"/>
                <w:b/>
                <w:szCs w:val="22"/>
              </w:rPr>
            </w:pPr>
            <w:r w:rsidRPr="00D814D3">
              <w:rPr>
                <w:rFonts w:asciiTheme="minorHAnsi" w:hAnsiTheme="minorHAnsi" w:cstheme="minorHAnsi"/>
              </w:rPr>
              <w:t>The Fire Authority gives its advice in respect of access for fire appliances and water supplies for firefighting purposes to the site. Recommendations are made to make the applicant aware of conditions which will have to be satisfied on a subsequent Building Regulation application. The conditions may affect the elevation of the building and access to them</w:t>
            </w:r>
            <w:r>
              <w:rPr>
                <w:rFonts w:asciiTheme="minorHAnsi" w:hAnsiTheme="minorHAnsi" w:cstheme="minorHAnsi"/>
              </w:rPr>
              <w:t>.</w:t>
            </w:r>
            <w:r w:rsidR="00740C2D">
              <w:rPr>
                <w:rFonts w:asciiTheme="minorHAnsi" w:hAnsiTheme="minorHAnsi" w:cstheme="minorHAnsi"/>
              </w:rPr>
              <w:t xml:space="preserve"> </w:t>
            </w:r>
            <w:r w:rsidR="00452419">
              <w:rPr>
                <w:rFonts w:asciiTheme="minorHAnsi" w:hAnsiTheme="minorHAnsi" w:cstheme="minorHAnsi"/>
              </w:rPr>
              <w:t>Drawings of expected</w:t>
            </w:r>
            <w:r w:rsidR="00740C2D">
              <w:rPr>
                <w:rFonts w:asciiTheme="minorHAnsi" w:hAnsiTheme="minorHAnsi" w:cstheme="minorHAnsi"/>
              </w:rPr>
              <w:t xml:space="preserve"> turning facilities and specifications for access are attached.</w:t>
            </w:r>
          </w:p>
          <w:p w:rsidR="008F6124" w:rsidRDefault="008F6124" w:rsidP="00FC046F">
            <w:pPr>
              <w:jc w:val="both"/>
              <w:rPr>
                <w:rFonts w:ascii="Calibri" w:hAnsi="Calibri"/>
                <w:b/>
                <w:szCs w:val="22"/>
              </w:rPr>
            </w:pPr>
          </w:p>
          <w:p w:rsidR="008F6124" w:rsidRDefault="008F6124" w:rsidP="00FC046F">
            <w:pPr>
              <w:jc w:val="both"/>
              <w:rPr>
                <w:rFonts w:ascii="Calibri" w:hAnsi="Calibri"/>
                <w:b/>
                <w:szCs w:val="22"/>
              </w:rPr>
            </w:pPr>
            <w:r>
              <w:rPr>
                <w:rFonts w:ascii="Calibri" w:hAnsi="Calibri"/>
                <w:b/>
                <w:szCs w:val="22"/>
              </w:rPr>
              <w:t>LCC AONB:</w:t>
            </w:r>
          </w:p>
          <w:p w:rsidR="008F6124" w:rsidRDefault="008F6124" w:rsidP="00FC046F">
            <w:pPr>
              <w:jc w:val="both"/>
              <w:rPr>
                <w:rFonts w:ascii="Calibri" w:hAnsi="Calibri"/>
                <w:szCs w:val="22"/>
              </w:rPr>
            </w:pPr>
            <w:r w:rsidRPr="008F6124">
              <w:rPr>
                <w:rFonts w:ascii="Calibri" w:hAnsi="Calibri"/>
                <w:szCs w:val="22"/>
              </w:rPr>
              <w:t>Consulted, no representations received.</w:t>
            </w:r>
          </w:p>
          <w:p w:rsidR="008F6124" w:rsidRDefault="008F6124" w:rsidP="00FC046F">
            <w:pPr>
              <w:jc w:val="both"/>
              <w:rPr>
                <w:rFonts w:ascii="Calibri" w:hAnsi="Calibri"/>
                <w:szCs w:val="22"/>
              </w:rPr>
            </w:pPr>
          </w:p>
          <w:p w:rsidR="008F6124" w:rsidRPr="008F6124" w:rsidRDefault="008F6124" w:rsidP="00FC046F">
            <w:pPr>
              <w:jc w:val="both"/>
              <w:rPr>
                <w:rFonts w:ascii="Calibri" w:hAnsi="Calibri"/>
                <w:b/>
                <w:szCs w:val="22"/>
              </w:rPr>
            </w:pPr>
            <w:r w:rsidRPr="008F6124">
              <w:rPr>
                <w:rFonts w:ascii="Calibri" w:hAnsi="Calibri"/>
                <w:b/>
                <w:szCs w:val="22"/>
              </w:rPr>
              <w:t>The Gardens Trust and Lancashire Gardens Trust:</w:t>
            </w:r>
          </w:p>
          <w:p w:rsidR="008F6124" w:rsidRPr="008F6124" w:rsidRDefault="008F6124" w:rsidP="00FC046F">
            <w:pPr>
              <w:jc w:val="both"/>
              <w:rPr>
                <w:rFonts w:ascii="Calibri" w:hAnsi="Calibri"/>
                <w:szCs w:val="22"/>
              </w:rPr>
            </w:pPr>
            <w:r>
              <w:rPr>
                <w:rFonts w:ascii="Calibri" w:hAnsi="Calibri"/>
                <w:szCs w:val="22"/>
              </w:rPr>
              <w:t>Consulted, no representations received.</w:t>
            </w:r>
          </w:p>
          <w:p w:rsidR="00DB3771" w:rsidRPr="00D05CE6" w:rsidRDefault="00DB3771" w:rsidP="00FC046F">
            <w:pPr>
              <w:jc w:val="both"/>
              <w:rPr>
                <w:rFonts w:ascii="Calibri" w:hAnsi="Calibri"/>
                <w:b/>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EC38DF" w:rsidP="00435FC9">
            <w:pPr>
              <w:jc w:val="both"/>
              <w:rPr>
                <w:rFonts w:ascii="Calibri" w:hAnsi="Calibri"/>
                <w:szCs w:val="22"/>
              </w:rPr>
            </w:pPr>
            <w:r>
              <w:rPr>
                <w:rFonts w:ascii="Calibri" w:hAnsi="Calibri"/>
                <w:szCs w:val="22"/>
              </w:rPr>
              <w:t>None received</w:t>
            </w:r>
            <w:r w:rsidR="008B5731">
              <w:rPr>
                <w:rFonts w:ascii="Calibri" w:hAnsi="Calibri"/>
                <w:szCs w:val="22"/>
              </w:rPr>
              <w: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8B5731" w:rsidRDefault="008B5731" w:rsidP="008B5731">
            <w:pPr>
              <w:overflowPunct/>
              <w:rPr>
                <w:rFonts w:ascii="Calibri" w:eastAsia="Calibri" w:hAnsi="Calibri" w:cs="Arial"/>
                <w:color w:val="000000"/>
                <w:szCs w:val="22"/>
              </w:rPr>
            </w:pPr>
            <w:proofErr w:type="spellStart"/>
            <w:r>
              <w:rPr>
                <w:rFonts w:ascii="Calibri" w:eastAsia="Calibri" w:hAnsi="Calibri" w:cs="Arial"/>
                <w:color w:val="000000"/>
                <w:szCs w:val="22"/>
              </w:rPr>
              <w:t>Ribble</w:t>
            </w:r>
            <w:proofErr w:type="spellEnd"/>
            <w:r>
              <w:rPr>
                <w:rFonts w:ascii="Calibri" w:eastAsia="Calibri" w:hAnsi="Calibri" w:cs="Arial"/>
                <w:color w:val="000000"/>
                <w:szCs w:val="22"/>
              </w:rPr>
              <w:t xml:space="preserve"> Valley Core Strategy:</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Key Statement DS1 – </w:t>
            </w:r>
            <w:r w:rsidR="005B1715">
              <w:rPr>
                <w:rFonts w:ascii="Calibri" w:eastAsia="Calibri" w:hAnsi="Calibri" w:cs="Arial"/>
                <w:color w:val="000000"/>
                <w:szCs w:val="22"/>
              </w:rPr>
              <w:t>Development Strategy</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Key Statement EN2 – </w:t>
            </w:r>
            <w:r w:rsidR="005B1715">
              <w:rPr>
                <w:rFonts w:ascii="Calibri" w:eastAsia="Calibri" w:hAnsi="Calibri" w:cs="Arial"/>
                <w:color w:val="000000"/>
                <w:szCs w:val="22"/>
              </w:rPr>
              <w:t>Landscape</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Key Statement EN5 – Heritage Assets </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Policy DMG1 – General Considerations</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Policy DMG2 – </w:t>
            </w:r>
            <w:r w:rsidR="005B1715">
              <w:rPr>
                <w:rFonts w:ascii="Calibri" w:eastAsia="Calibri" w:hAnsi="Calibri" w:cs="Arial"/>
                <w:color w:val="000000"/>
                <w:szCs w:val="22"/>
              </w:rPr>
              <w:t>Strategic Considerations</w:t>
            </w:r>
          </w:p>
          <w:p w:rsidR="008B5731" w:rsidRDefault="008B5731" w:rsidP="008B5731">
            <w:pPr>
              <w:rPr>
                <w:rFonts w:ascii="Calibri" w:eastAsia="Calibri" w:hAnsi="Calibri" w:cs="Arial"/>
                <w:color w:val="000000"/>
                <w:szCs w:val="22"/>
              </w:rPr>
            </w:pPr>
            <w:r>
              <w:rPr>
                <w:rFonts w:ascii="Calibri" w:eastAsia="Calibri" w:hAnsi="Calibri" w:cs="Arial"/>
                <w:color w:val="000000"/>
                <w:szCs w:val="22"/>
              </w:rPr>
              <w:t>Policy DME4 – Protecting Heritage Assets</w:t>
            </w:r>
          </w:p>
          <w:p w:rsidR="00557E73" w:rsidRDefault="00557E73" w:rsidP="00557E73">
            <w:pPr>
              <w:rPr>
                <w:rFonts w:ascii="Calibri" w:eastAsia="Calibri" w:hAnsi="Calibri" w:cs="Arial"/>
                <w:color w:val="000000"/>
                <w:szCs w:val="22"/>
              </w:rPr>
            </w:pPr>
            <w:r>
              <w:rPr>
                <w:rFonts w:ascii="Calibri" w:eastAsia="Calibri" w:hAnsi="Calibri" w:cs="Arial"/>
                <w:color w:val="000000"/>
                <w:szCs w:val="22"/>
              </w:rPr>
              <w:t>Policy DME1 – Protecting Trees and Woodlands</w:t>
            </w:r>
          </w:p>
          <w:p w:rsidR="00557E73" w:rsidRDefault="00AC6962" w:rsidP="00557E73">
            <w:pPr>
              <w:rPr>
                <w:rFonts w:ascii="Calibri" w:eastAsia="Calibri" w:hAnsi="Calibri" w:cs="Arial"/>
                <w:color w:val="000000"/>
                <w:szCs w:val="22"/>
              </w:rPr>
            </w:pPr>
            <w:r>
              <w:rPr>
                <w:rFonts w:ascii="Calibri" w:eastAsia="Calibri" w:hAnsi="Calibri" w:cs="Arial"/>
                <w:color w:val="000000"/>
                <w:szCs w:val="22"/>
              </w:rPr>
              <w:t>Policy DME2 – Landscape and Townscape Protection</w:t>
            </w:r>
          </w:p>
          <w:p w:rsidR="00557E73" w:rsidRDefault="00575297" w:rsidP="008B5731">
            <w:pPr>
              <w:rPr>
                <w:rFonts w:ascii="Calibri" w:eastAsia="Calibri" w:hAnsi="Calibri" w:cs="Arial"/>
                <w:color w:val="000000"/>
                <w:szCs w:val="22"/>
              </w:rPr>
            </w:pPr>
            <w:r>
              <w:rPr>
                <w:rFonts w:ascii="Calibri" w:eastAsia="Calibri" w:hAnsi="Calibri" w:cs="Arial"/>
                <w:color w:val="000000"/>
                <w:szCs w:val="22"/>
              </w:rPr>
              <w:t xml:space="preserve">Policy DMB3 </w:t>
            </w:r>
            <w:r w:rsidR="007D69CC">
              <w:rPr>
                <w:rFonts w:ascii="Calibri" w:eastAsia="Calibri" w:hAnsi="Calibri" w:cs="Arial"/>
                <w:color w:val="000000"/>
                <w:szCs w:val="22"/>
              </w:rPr>
              <w:t>–</w:t>
            </w:r>
            <w:r>
              <w:rPr>
                <w:rFonts w:ascii="Calibri" w:eastAsia="Calibri" w:hAnsi="Calibri" w:cs="Arial"/>
                <w:color w:val="000000"/>
                <w:szCs w:val="22"/>
              </w:rPr>
              <w:t xml:space="preserve"> </w:t>
            </w:r>
            <w:r w:rsidR="007D69CC">
              <w:rPr>
                <w:rFonts w:ascii="Calibri" w:eastAsia="Calibri" w:hAnsi="Calibri" w:cs="Arial"/>
                <w:color w:val="000000"/>
                <w:szCs w:val="22"/>
              </w:rPr>
              <w:t>Recreation and Tourism Development</w:t>
            </w:r>
          </w:p>
          <w:p w:rsidR="008B5731" w:rsidRDefault="008B5731" w:rsidP="008B5731">
            <w:pPr>
              <w:rPr>
                <w:rFonts w:ascii="Calibri" w:eastAsia="Calibri" w:hAnsi="Calibri" w:cs="Arial"/>
                <w:color w:val="000000"/>
                <w:szCs w:val="22"/>
              </w:rPr>
            </w:pPr>
          </w:p>
          <w:p w:rsidR="008B5731" w:rsidRPr="005B1715" w:rsidRDefault="008B5731" w:rsidP="008B5731">
            <w:pPr>
              <w:pStyle w:val="Default"/>
              <w:rPr>
                <w:rFonts w:ascii="Calibri" w:eastAsia="Calibri" w:hAnsi="Calibri"/>
                <w:sz w:val="22"/>
                <w:szCs w:val="22"/>
              </w:rPr>
            </w:pPr>
            <w:r w:rsidRPr="005B1715">
              <w:rPr>
                <w:rFonts w:ascii="Calibri" w:hAnsi="Calibri"/>
                <w:sz w:val="22"/>
                <w:szCs w:val="22"/>
              </w:rPr>
              <w:t>Planning (Listed Buildings and Conservation Areas) Act 1990. ‘Preservation’ in the dut</w:t>
            </w:r>
            <w:r w:rsidR="005B1715" w:rsidRPr="005B1715">
              <w:rPr>
                <w:rFonts w:ascii="Calibri" w:hAnsi="Calibri"/>
                <w:sz w:val="22"/>
                <w:szCs w:val="22"/>
              </w:rPr>
              <w:t>y</w:t>
            </w:r>
            <w:r w:rsidRPr="005B1715">
              <w:rPr>
                <w:rFonts w:ascii="Calibri" w:hAnsi="Calibri"/>
                <w:sz w:val="22"/>
                <w:szCs w:val="22"/>
              </w:rPr>
              <w:t xml:space="preserve"> at section 66 of the Act means “doing no harm to” (</w:t>
            </w:r>
            <w:r w:rsidRPr="005B1715">
              <w:rPr>
                <w:rFonts w:ascii="Calibri" w:hAnsi="Calibri"/>
                <w:i/>
                <w:iCs/>
                <w:sz w:val="22"/>
                <w:szCs w:val="22"/>
              </w:rPr>
              <w:t xml:space="preserve">South Lakeland DC v. Secretary of State for the Environment </w:t>
            </w:r>
            <w:r w:rsidRPr="005B1715">
              <w:rPr>
                <w:rFonts w:ascii="Calibri" w:hAnsi="Calibri"/>
                <w:sz w:val="22"/>
                <w:szCs w:val="22"/>
              </w:rPr>
              <w:t xml:space="preserve">[1992]). </w:t>
            </w:r>
          </w:p>
          <w:p w:rsidR="008B5731" w:rsidRDefault="008B5731" w:rsidP="008B5731">
            <w:pPr>
              <w:pStyle w:val="PLANNING"/>
              <w:rPr>
                <w:rFonts w:ascii="Calibri" w:hAnsi="Calibri"/>
                <w:b/>
                <w:szCs w:val="22"/>
              </w:rPr>
            </w:pP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rsidR="008B5731" w:rsidRPr="008C75E4" w:rsidRDefault="008B5731" w:rsidP="008B5731">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Default="002971C2" w:rsidP="00454754">
            <w:pPr>
              <w:pStyle w:val="PLANNING"/>
              <w:rPr>
                <w:rFonts w:ascii="Calibri" w:hAnsi="Calibri"/>
                <w:b/>
                <w:bCs/>
                <w:szCs w:val="22"/>
              </w:rPr>
            </w:pPr>
            <w:r w:rsidRPr="002971C2">
              <w:rPr>
                <w:rFonts w:ascii="Calibri" w:hAnsi="Calibri"/>
                <w:b/>
                <w:bCs/>
                <w:szCs w:val="22"/>
              </w:rPr>
              <w:t>Relevant Planning History:</w:t>
            </w:r>
          </w:p>
          <w:p w:rsidR="002971C2" w:rsidRDefault="002971C2" w:rsidP="00454754">
            <w:pPr>
              <w:pStyle w:val="PLANNING"/>
              <w:rPr>
                <w:rFonts w:ascii="Calibri" w:hAnsi="Calibri"/>
                <w:b/>
                <w:bCs/>
                <w:szCs w:val="22"/>
              </w:rPr>
            </w:pPr>
          </w:p>
          <w:p w:rsidR="002971C2" w:rsidRPr="002971C2" w:rsidRDefault="002971C2" w:rsidP="00454754">
            <w:pPr>
              <w:pStyle w:val="PLANNING"/>
              <w:rPr>
                <w:rFonts w:ascii="Calibri" w:hAnsi="Calibri"/>
                <w:bCs/>
                <w:szCs w:val="22"/>
              </w:rPr>
            </w:pPr>
            <w:r w:rsidRPr="002971C2">
              <w:rPr>
                <w:rFonts w:ascii="Calibri" w:hAnsi="Calibri"/>
                <w:bCs/>
                <w:szCs w:val="22"/>
              </w:rPr>
              <w:t>Pre-application advice was provided in May 2020</w:t>
            </w:r>
            <w:r>
              <w:rPr>
                <w:rFonts w:ascii="Calibri" w:hAnsi="Calibri"/>
                <w:bCs/>
                <w:szCs w:val="22"/>
              </w:rPr>
              <w:t xml:space="preserve"> </w:t>
            </w:r>
            <w:r w:rsidR="005B0B86">
              <w:rPr>
                <w:rFonts w:ascii="Calibri" w:hAnsi="Calibri"/>
                <w:bCs/>
                <w:szCs w:val="22"/>
              </w:rPr>
              <w:t xml:space="preserve"> - concerns re: DS1 and Hurst Green Tier 2 – not part of built-up area and no </w:t>
            </w:r>
            <w:r w:rsidR="00A01733">
              <w:rPr>
                <w:rFonts w:ascii="Calibri" w:hAnsi="Calibri"/>
                <w:bCs/>
                <w:szCs w:val="22"/>
              </w:rPr>
              <w:t xml:space="preserve">proven </w:t>
            </w:r>
            <w:r w:rsidR="005B0B86">
              <w:rPr>
                <w:rFonts w:ascii="Calibri" w:hAnsi="Calibri"/>
                <w:bCs/>
                <w:szCs w:val="22"/>
              </w:rPr>
              <w:t>local need (no previous need for rugby pavilion in a century)</w:t>
            </w:r>
            <w:r w:rsidR="0023060D">
              <w:rPr>
                <w:rFonts w:ascii="Calibri" w:hAnsi="Calibri"/>
                <w:bCs/>
                <w:szCs w:val="22"/>
              </w:rPr>
              <w:t xml:space="preserve">; DMG2 </w:t>
            </w:r>
            <w:r w:rsidR="00367D38">
              <w:rPr>
                <w:rFonts w:ascii="Calibri" w:hAnsi="Calibri"/>
                <w:bCs/>
                <w:szCs w:val="22"/>
              </w:rPr>
              <w:t xml:space="preserve">– siting in AONB; “concerned that the siting of the pavilion in an isolated location (from other built development and </w:t>
            </w:r>
            <w:r w:rsidR="005B0B86">
              <w:rPr>
                <w:rFonts w:ascii="Calibri" w:hAnsi="Calibri"/>
                <w:bCs/>
                <w:szCs w:val="22"/>
              </w:rPr>
              <w:t xml:space="preserve"> </w:t>
            </w:r>
            <w:r w:rsidR="00367D38">
              <w:rPr>
                <w:rFonts w:ascii="Calibri" w:hAnsi="Calibri"/>
                <w:bCs/>
                <w:szCs w:val="22"/>
              </w:rPr>
              <w:t>characterised by open fields) with unimpeded views from the public right of way to the south would be conspicuous and incongruous and would not safeguard the natural beauty of the AONB”.</w:t>
            </w:r>
          </w:p>
          <w:p w:rsidR="002971C2" w:rsidRDefault="002971C2" w:rsidP="00454754">
            <w:pPr>
              <w:pStyle w:val="PLANNING"/>
              <w:rPr>
                <w:rFonts w:ascii="Calibri" w:hAnsi="Calibri"/>
                <w:b/>
                <w:bCs/>
                <w:szCs w:val="22"/>
              </w:rPr>
            </w:pPr>
          </w:p>
          <w:p w:rsidR="002971C2" w:rsidRPr="002971C2" w:rsidRDefault="002971C2" w:rsidP="00454754">
            <w:pPr>
              <w:pStyle w:val="PLANNING"/>
              <w:rPr>
                <w:rFonts w:ascii="Calibri" w:hAnsi="Calibri"/>
                <w:bCs/>
                <w:szCs w:val="22"/>
              </w:rPr>
            </w:pPr>
            <w:r w:rsidRPr="002971C2">
              <w:rPr>
                <w:rFonts w:ascii="Calibri" w:hAnsi="Calibri"/>
                <w:bCs/>
                <w:szCs w:val="22"/>
              </w:rPr>
              <w:t>No previous planning history for the site.</w:t>
            </w:r>
          </w:p>
          <w:p w:rsidR="002971C2" w:rsidRPr="001946E0" w:rsidRDefault="002971C2" w:rsidP="00454754">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rsidR="002C398E" w:rsidRPr="00AF711C" w:rsidRDefault="002C398E" w:rsidP="00454754">
            <w:pPr>
              <w:pStyle w:val="Header"/>
              <w:tabs>
                <w:tab w:val="clear" w:pos="4153"/>
                <w:tab w:val="clear" w:pos="8306"/>
              </w:tabs>
              <w:contextualSpacing/>
              <w:jc w:val="both"/>
              <w:rPr>
                <w:rFonts w:ascii="Calibri" w:hAnsi="Calibri"/>
                <w:szCs w:val="22"/>
              </w:rPr>
            </w:pPr>
            <w:r w:rsidRPr="00AF711C">
              <w:rPr>
                <w:rFonts w:ascii="Calibri" w:hAnsi="Calibri"/>
                <w:szCs w:val="22"/>
              </w:rPr>
              <w:t>The site is within the open countryside in the Forest of Bowland Area of Outstanding Natural Beauty.</w:t>
            </w:r>
            <w:r w:rsidR="008D3E22">
              <w:rPr>
                <w:rFonts w:ascii="Calibri" w:hAnsi="Calibri"/>
                <w:szCs w:val="22"/>
              </w:rPr>
              <w:t xml:space="preserve"> The submitted Design &amp; Access Statement identifies “the site has a rural character, with the dense woodland belt to the north and soft woodland edge”.</w:t>
            </w:r>
            <w:r w:rsidRPr="00AF711C">
              <w:rPr>
                <w:rFonts w:ascii="Calibri" w:hAnsi="Calibri"/>
                <w:szCs w:val="22"/>
              </w:rPr>
              <w:t xml:space="preserve"> A public right of way, providing views of the site, runs east-west to the south.</w:t>
            </w:r>
          </w:p>
          <w:p w:rsidR="002C398E" w:rsidRPr="00AF711C" w:rsidRDefault="002C398E" w:rsidP="00454754">
            <w:pPr>
              <w:pStyle w:val="Header"/>
              <w:tabs>
                <w:tab w:val="clear" w:pos="4153"/>
                <w:tab w:val="clear" w:pos="8306"/>
              </w:tabs>
              <w:contextualSpacing/>
              <w:jc w:val="both"/>
              <w:rPr>
                <w:rFonts w:ascii="Calibri" w:hAnsi="Calibri"/>
                <w:szCs w:val="22"/>
              </w:rPr>
            </w:pPr>
          </w:p>
          <w:p w:rsidR="002C398E" w:rsidRDefault="002C398E" w:rsidP="00454754">
            <w:pPr>
              <w:pStyle w:val="Header"/>
              <w:tabs>
                <w:tab w:val="clear" w:pos="4153"/>
                <w:tab w:val="clear" w:pos="8306"/>
              </w:tabs>
              <w:contextualSpacing/>
              <w:jc w:val="both"/>
              <w:rPr>
                <w:rFonts w:ascii="Calibri" w:hAnsi="Calibri"/>
                <w:szCs w:val="22"/>
              </w:rPr>
            </w:pPr>
            <w:r w:rsidRPr="00AF711C">
              <w:rPr>
                <w:rFonts w:ascii="Calibri" w:hAnsi="Calibri"/>
                <w:szCs w:val="22"/>
              </w:rPr>
              <w:t>The site is within the immediate setting of the Grade II*</w:t>
            </w:r>
            <w:r w:rsidR="00C67EE9">
              <w:rPr>
                <w:rFonts w:ascii="Calibri" w:hAnsi="Calibri"/>
                <w:szCs w:val="22"/>
              </w:rPr>
              <w:t xml:space="preserve"> </w:t>
            </w:r>
            <w:proofErr w:type="spellStart"/>
            <w:r w:rsidRPr="00AF711C">
              <w:rPr>
                <w:rFonts w:ascii="Calibri" w:hAnsi="Calibri"/>
                <w:szCs w:val="22"/>
              </w:rPr>
              <w:t>Stonyhurst</w:t>
            </w:r>
            <w:proofErr w:type="spellEnd"/>
            <w:r w:rsidRPr="00AF711C">
              <w:rPr>
                <w:rFonts w:ascii="Calibri" w:hAnsi="Calibri"/>
                <w:szCs w:val="22"/>
              </w:rPr>
              <w:t xml:space="preserve"> Historic Park and Garden and the setting of </w:t>
            </w:r>
            <w:proofErr w:type="spellStart"/>
            <w:r w:rsidRPr="00AF711C">
              <w:rPr>
                <w:rFonts w:ascii="Calibri" w:hAnsi="Calibri"/>
                <w:szCs w:val="22"/>
              </w:rPr>
              <w:t>Stonyhurst’s</w:t>
            </w:r>
            <w:proofErr w:type="spellEnd"/>
            <w:r w:rsidRPr="00AF711C">
              <w:rPr>
                <w:rFonts w:ascii="Calibri" w:hAnsi="Calibri"/>
                <w:szCs w:val="22"/>
              </w:rPr>
              <w:t xml:space="preserve"> listed buildings (including Mausoleum - Grade II)</w:t>
            </w:r>
            <w:r w:rsidR="00C67EE9">
              <w:rPr>
                <w:rFonts w:ascii="Calibri" w:hAnsi="Calibri"/>
                <w:szCs w:val="22"/>
              </w:rPr>
              <w:t xml:space="preserve">. It is detached </w:t>
            </w:r>
            <w:r w:rsidR="000D446A">
              <w:rPr>
                <w:rFonts w:ascii="Calibri" w:hAnsi="Calibri"/>
                <w:szCs w:val="22"/>
              </w:rPr>
              <w:t xml:space="preserve">(and visually separated by a tree belt) </w:t>
            </w:r>
            <w:r w:rsidR="00C67EE9">
              <w:rPr>
                <w:rFonts w:ascii="Calibri" w:hAnsi="Calibri"/>
                <w:szCs w:val="22"/>
              </w:rPr>
              <w:t xml:space="preserve">from the main </w:t>
            </w:r>
            <w:proofErr w:type="spellStart"/>
            <w:r w:rsidR="00C67EE9">
              <w:rPr>
                <w:rFonts w:ascii="Calibri" w:hAnsi="Calibri"/>
                <w:szCs w:val="22"/>
              </w:rPr>
              <w:t>Stonyhurst</w:t>
            </w:r>
            <w:proofErr w:type="spellEnd"/>
            <w:r w:rsidR="00C67EE9">
              <w:rPr>
                <w:rFonts w:ascii="Calibri" w:hAnsi="Calibri"/>
                <w:szCs w:val="22"/>
              </w:rPr>
              <w:t xml:space="preserve"> campus and is outside the Hurst Green settlement boundary.</w:t>
            </w:r>
          </w:p>
          <w:p w:rsidR="000D446A" w:rsidRDefault="000D446A" w:rsidP="00454754">
            <w:pPr>
              <w:pStyle w:val="Header"/>
              <w:tabs>
                <w:tab w:val="clear" w:pos="4153"/>
                <w:tab w:val="clear" w:pos="8306"/>
              </w:tabs>
              <w:contextualSpacing/>
              <w:jc w:val="both"/>
              <w:rPr>
                <w:rFonts w:ascii="Calibri" w:hAnsi="Calibri"/>
                <w:b/>
                <w:szCs w:val="22"/>
              </w:rPr>
            </w:pPr>
          </w:p>
          <w:p w:rsidR="002E28AE" w:rsidRDefault="000D446A" w:rsidP="00454754">
            <w:pPr>
              <w:pStyle w:val="Header"/>
              <w:tabs>
                <w:tab w:val="clear" w:pos="4153"/>
                <w:tab w:val="clear" w:pos="8306"/>
              </w:tabs>
              <w:contextualSpacing/>
              <w:jc w:val="both"/>
              <w:rPr>
                <w:rFonts w:ascii="Calibri" w:hAnsi="Calibri"/>
                <w:szCs w:val="22"/>
              </w:rPr>
            </w:pPr>
            <w:r w:rsidRPr="000D446A">
              <w:rPr>
                <w:rFonts w:ascii="Calibri" w:hAnsi="Calibri"/>
                <w:szCs w:val="22"/>
              </w:rPr>
              <w:t xml:space="preserve">The </w:t>
            </w:r>
            <w:proofErr w:type="spellStart"/>
            <w:r>
              <w:rPr>
                <w:rFonts w:ascii="Calibri" w:hAnsi="Calibri"/>
                <w:szCs w:val="22"/>
              </w:rPr>
              <w:t>Stonyhurst</w:t>
            </w:r>
            <w:proofErr w:type="spellEnd"/>
            <w:r>
              <w:rPr>
                <w:rFonts w:ascii="Calibri" w:hAnsi="Calibri"/>
                <w:szCs w:val="22"/>
              </w:rPr>
              <w:t xml:space="preserve"> Conservation Management Plan (Architectural History Practice et al, 2015) identifies that the site has been used as a rugby pitch from the early C20. It suggests of the sports pitches adjoining The Avenue that they are “compatible with its character, reversible and also historic in its own right, being part of the cultural history of the school” (page 53). The reversibility issue is perhaps expanded upon at page 60 “the agricultural land (Coney Field) to the north of the Avenue is now sports fields, an appropriate use, with changes limited to new features such as goals”.</w:t>
            </w:r>
          </w:p>
          <w:p w:rsidR="002E28AE" w:rsidRDefault="002E28AE" w:rsidP="00454754">
            <w:pPr>
              <w:pStyle w:val="Header"/>
              <w:tabs>
                <w:tab w:val="clear" w:pos="4153"/>
                <w:tab w:val="clear" w:pos="8306"/>
              </w:tabs>
              <w:contextualSpacing/>
              <w:jc w:val="both"/>
              <w:rPr>
                <w:rFonts w:ascii="Calibri" w:hAnsi="Calibri"/>
                <w:szCs w:val="22"/>
              </w:rPr>
            </w:pPr>
          </w:p>
          <w:p w:rsidR="006B705D" w:rsidRDefault="002E28AE"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w:t>
            </w:r>
            <w:proofErr w:type="spellStart"/>
            <w:r>
              <w:rPr>
                <w:rFonts w:ascii="Calibri" w:hAnsi="Calibri"/>
                <w:szCs w:val="22"/>
              </w:rPr>
              <w:t>Stonyhurst</w:t>
            </w:r>
            <w:proofErr w:type="spellEnd"/>
            <w:r>
              <w:rPr>
                <w:rFonts w:ascii="Calibri" w:hAnsi="Calibri"/>
                <w:szCs w:val="22"/>
              </w:rPr>
              <w:t xml:space="preserve"> CMP identifies The Avenue and its visual impact to be intrinsic to the special interest of the historic park and garden. Tree belts are important to </w:t>
            </w:r>
            <w:r w:rsidR="00792E94">
              <w:rPr>
                <w:rFonts w:ascii="Calibri" w:hAnsi="Calibri"/>
                <w:szCs w:val="22"/>
              </w:rPr>
              <w:t>the design and impact</w:t>
            </w:r>
            <w:r w:rsidR="006B705D">
              <w:rPr>
                <w:rFonts w:ascii="Calibri" w:hAnsi="Calibri"/>
                <w:szCs w:val="22"/>
              </w:rPr>
              <w:t>:</w:t>
            </w:r>
          </w:p>
          <w:p w:rsidR="006B705D" w:rsidRDefault="006B705D" w:rsidP="00454754">
            <w:pPr>
              <w:pStyle w:val="Header"/>
              <w:tabs>
                <w:tab w:val="clear" w:pos="4153"/>
                <w:tab w:val="clear" w:pos="8306"/>
              </w:tabs>
              <w:contextualSpacing/>
              <w:jc w:val="both"/>
              <w:rPr>
                <w:rFonts w:ascii="Calibri" w:hAnsi="Calibri"/>
                <w:szCs w:val="22"/>
              </w:rPr>
            </w:pPr>
          </w:p>
          <w:p w:rsidR="00BD2E8D" w:rsidRDefault="006B705D" w:rsidP="00454754">
            <w:pPr>
              <w:pStyle w:val="Header"/>
              <w:tabs>
                <w:tab w:val="clear" w:pos="4153"/>
                <w:tab w:val="clear" w:pos="8306"/>
              </w:tabs>
              <w:contextualSpacing/>
              <w:jc w:val="both"/>
              <w:rPr>
                <w:rFonts w:ascii="Calibri" w:hAnsi="Calibri"/>
                <w:szCs w:val="22"/>
              </w:rPr>
            </w:pPr>
            <w:r>
              <w:rPr>
                <w:rFonts w:ascii="Calibri" w:hAnsi="Calibri"/>
                <w:szCs w:val="22"/>
              </w:rPr>
              <w:t>“From Hurst Green, the drive (a public road) … turns through almost 90 degrees into the Avenue, a moment of great surprise and great drama, as the Avenue focussed on the Gatehouse stretches north east to the West Front of the College buildings. The late 17</w:t>
            </w:r>
            <w:r w:rsidRPr="006B705D">
              <w:rPr>
                <w:rFonts w:ascii="Calibri" w:hAnsi="Calibri"/>
                <w:szCs w:val="22"/>
                <w:vertAlign w:val="superscript"/>
              </w:rPr>
              <w:t>th</w:t>
            </w:r>
            <w:r>
              <w:rPr>
                <w:rFonts w:ascii="Calibri" w:hAnsi="Calibri"/>
                <w:szCs w:val="22"/>
              </w:rPr>
              <w:t xml:space="preserve"> century landscape remains intact; grass on either side is flanked by narrow belts of woodland which focus the view entirely on the building” (page 51).</w:t>
            </w:r>
          </w:p>
          <w:p w:rsidR="00BD2E8D" w:rsidRDefault="00BD2E8D" w:rsidP="00454754">
            <w:pPr>
              <w:pStyle w:val="Header"/>
              <w:tabs>
                <w:tab w:val="clear" w:pos="4153"/>
                <w:tab w:val="clear" w:pos="8306"/>
              </w:tabs>
              <w:contextualSpacing/>
              <w:jc w:val="both"/>
              <w:rPr>
                <w:rFonts w:ascii="Calibri" w:hAnsi="Calibri"/>
                <w:szCs w:val="22"/>
              </w:rPr>
            </w:pPr>
          </w:p>
          <w:p w:rsidR="00A504B8" w:rsidRDefault="00BD2E8D" w:rsidP="00454754">
            <w:pPr>
              <w:pStyle w:val="Header"/>
              <w:tabs>
                <w:tab w:val="clear" w:pos="4153"/>
                <w:tab w:val="clear" w:pos="8306"/>
              </w:tabs>
              <w:contextualSpacing/>
              <w:jc w:val="both"/>
              <w:rPr>
                <w:rFonts w:ascii="Calibri" w:hAnsi="Calibri"/>
                <w:szCs w:val="22"/>
              </w:rPr>
            </w:pPr>
            <w:r>
              <w:rPr>
                <w:rFonts w:ascii="Calibri" w:hAnsi="Calibri"/>
                <w:szCs w:val="22"/>
              </w:rPr>
              <w:t>“The structure of the late 17</w:t>
            </w:r>
            <w:r w:rsidRPr="00BD2E8D">
              <w:rPr>
                <w:rFonts w:ascii="Calibri" w:hAnsi="Calibri"/>
                <w:szCs w:val="22"/>
                <w:vertAlign w:val="superscript"/>
              </w:rPr>
              <w:t>th</w:t>
            </w:r>
            <w:r>
              <w:rPr>
                <w:rFonts w:ascii="Calibri" w:hAnsi="Calibri"/>
                <w:szCs w:val="22"/>
              </w:rPr>
              <w:t xml:space="preserve"> century landscape of avenue and canals is a rare survival and intact as a dramatic landscape feature” (page 52).</w:t>
            </w:r>
          </w:p>
          <w:p w:rsidR="00A504B8" w:rsidRDefault="00A504B8" w:rsidP="00454754">
            <w:pPr>
              <w:pStyle w:val="Header"/>
              <w:tabs>
                <w:tab w:val="clear" w:pos="4153"/>
                <w:tab w:val="clear" w:pos="8306"/>
              </w:tabs>
              <w:contextualSpacing/>
              <w:jc w:val="both"/>
              <w:rPr>
                <w:rFonts w:ascii="Calibri" w:hAnsi="Calibri"/>
                <w:szCs w:val="22"/>
              </w:rPr>
            </w:pPr>
          </w:p>
          <w:p w:rsidR="000D446A" w:rsidRPr="000D446A" w:rsidRDefault="00A504B8"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two narrow woodland belts flanking the Canals are in their historic locations (present in 1733) … The belts are fronted by short grass, an historically appropriate treatment, to emphasise the crispness </w:t>
            </w:r>
            <w:r w:rsidR="00D126C4">
              <w:rPr>
                <w:rFonts w:ascii="Calibri" w:hAnsi="Calibri"/>
                <w:szCs w:val="22"/>
              </w:rPr>
              <w:t>of the formal design, and which would have been grazed to achieve this” (page 53).</w:t>
            </w:r>
            <w:r w:rsidR="006B705D">
              <w:rPr>
                <w:rFonts w:ascii="Calibri" w:hAnsi="Calibri"/>
                <w:szCs w:val="22"/>
              </w:rPr>
              <w:t xml:space="preserv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690DA5" w:rsidP="00454754">
            <w:pPr>
              <w:pStyle w:val="Header"/>
              <w:tabs>
                <w:tab w:val="clear" w:pos="4153"/>
                <w:tab w:val="clear" w:pos="8306"/>
              </w:tabs>
              <w:jc w:val="both"/>
              <w:rPr>
                <w:rFonts w:ascii="Calibri" w:hAnsi="Calibri"/>
                <w:szCs w:val="22"/>
              </w:rPr>
            </w:pPr>
            <w:r>
              <w:rPr>
                <w:rFonts w:ascii="Calibri" w:hAnsi="Calibri"/>
                <w:szCs w:val="22"/>
              </w:rPr>
              <w:t>Planning permission is sought for a rugby pavilion to provide covered spectator areas</w:t>
            </w:r>
            <w:r w:rsidR="008E6BC7">
              <w:rPr>
                <w:rFonts w:ascii="Calibri" w:hAnsi="Calibri"/>
                <w:szCs w:val="22"/>
              </w:rPr>
              <w:t xml:space="preserve"> and covered space for pitch-side medical facilities, team meetings, light refreshments and kit storage</w:t>
            </w:r>
            <w:r w:rsidR="00FF5FA1">
              <w:rPr>
                <w:rFonts w:ascii="Calibri" w:hAnsi="Calibri"/>
                <w:szCs w:val="22"/>
              </w:rPr>
              <w:t xml:space="preserve"> alongside the main ‘first eleven’ rugby pitch. </w:t>
            </w:r>
            <w:r w:rsidR="00410745">
              <w:rPr>
                <w:rFonts w:ascii="Calibri" w:hAnsi="Calibri"/>
                <w:szCs w:val="22"/>
              </w:rPr>
              <w:t>A</w:t>
            </w:r>
            <w:r w:rsidR="00FF5FA1">
              <w:rPr>
                <w:rFonts w:ascii="Calibri" w:hAnsi="Calibri"/>
                <w:szCs w:val="22"/>
              </w:rPr>
              <w:t xml:space="preserve"> single-storey timber framed pavilion</w:t>
            </w:r>
            <w:r w:rsidR="00410745">
              <w:rPr>
                <w:rFonts w:ascii="Calibri" w:hAnsi="Calibri"/>
                <w:szCs w:val="22"/>
              </w:rPr>
              <w:t xml:space="preserve"> is proposed measuring 21.5m in length, 6m depth and </w:t>
            </w:r>
            <w:r w:rsidR="009863F2">
              <w:rPr>
                <w:rFonts w:ascii="Calibri" w:hAnsi="Calibri"/>
                <w:szCs w:val="22"/>
              </w:rPr>
              <w:t xml:space="preserve">5.1m height to ridge. </w:t>
            </w:r>
            <w:r w:rsidR="00FF5FA1">
              <w:rPr>
                <w:rFonts w:ascii="Calibri" w:hAnsi="Calibri"/>
                <w:szCs w:val="22"/>
              </w:rPr>
              <w:t xml:space="preserve">The central covered area is adjoined on both sides by open-sided shelters and is </w:t>
            </w:r>
            <w:proofErr w:type="spellStart"/>
            <w:r w:rsidR="00FF5FA1">
              <w:rPr>
                <w:rFonts w:ascii="Calibri" w:hAnsi="Calibri"/>
                <w:szCs w:val="22"/>
              </w:rPr>
              <w:t>atopped</w:t>
            </w:r>
            <w:proofErr w:type="spellEnd"/>
            <w:r w:rsidR="00FF5FA1">
              <w:rPr>
                <w:rFonts w:ascii="Calibri" w:hAnsi="Calibri"/>
                <w:szCs w:val="22"/>
              </w:rPr>
              <w:t xml:space="preserve"> by a tower detail inspired by the entrance tower</w:t>
            </w:r>
            <w:r w:rsidR="009863F2">
              <w:rPr>
                <w:rFonts w:ascii="Calibri" w:hAnsi="Calibri"/>
                <w:szCs w:val="22"/>
              </w:rPr>
              <w:t>s</w:t>
            </w:r>
            <w:r w:rsidR="00FF5FA1">
              <w:rPr>
                <w:rFonts w:ascii="Calibri" w:hAnsi="Calibri"/>
                <w:szCs w:val="22"/>
              </w:rPr>
              <w:t xml:space="preserve"> of the College. </w:t>
            </w:r>
          </w:p>
          <w:p w:rsidR="00BF29A4" w:rsidRDefault="00BF29A4" w:rsidP="00454754">
            <w:pPr>
              <w:pStyle w:val="Header"/>
              <w:tabs>
                <w:tab w:val="clear" w:pos="4153"/>
                <w:tab w:val="clear" w:pos="8306"/>
              </w:tabs>
              <w:jc w:val="both"/>
              <w:rPr>
                <w:rFonts w:ascii="Calibri" w:hAnsi="Calibri"/>
                <w:szCs w:val="22"/>
              </w:rPr>
            </w:pPr>
          </w:p>
          <w:p w:rsidR="00BF29A4" w:rsidRDefault="00BF29A4" w:rsidP="00454754">
            <w:pPr>
              <w:pStyle w:val="Header"/>
              <w:tabs>
                <w:tab w:val="clear" w:pos="4153"/>
                <w:tab w:val="clear" w:pos="8306"/>
              </w:tabs>
              <w:jc w:val="both"/>
              <w:rPr>
                <w:rFonts w:ascii="Calibri" w:hAnsi="Calibri"/>
                <w:szCs w:val="22"/>
              </w:rPr>
            </w:pPr>
            <w:r>
              <w:rPr>
                <w:rFonts w:ascii="Calibri" w:hAnsi="Calibri"/>
                <w:szCs w:val="22"/>
              </w:rPr>
              <w:t>An existing shed is to be removed.</w:t>
            </w:r>
          </w:p>
          <w:p w:rsidR="008E6BC7" w:rsidRDefault="008E6BC7" w:rsidP="00454754">
            <w:pPr>
              <w:pStyle w:val="Header"/>
              <w:tabs>
                <w:tab w:val="clear" w:pos="4153"/>
                <w:tab w:val="clear" w:pos="8306"/>
              </w:tabs>
              <w:jc w:val="both"/>
              <w:rPr>
                <w:rFonts w:ascii="Calibri" w:hAnsi="Calibri"/>
                <w:szCs w:val="22"/>
              </w:rPr>
            </w:pPr>
          </w:p>
          <w:p w:rsidR="00D75941" w:rsidRDefault="008E6BC7" w:rsidP="00454754">
            <w:pPr>
              <w:pStyle w:val="Header"/>
              <w:tabs>
                <w:tab w:val="clear" w:pos="4153"/>
                <w:tab w:val="clear" w:pos="8306"/>
              </w:tabs>
              <w:jc w:val="both"/>
              <w:rPr>
                <w:rFonts w:ascii="Calibri" w:hAnsi="Calibri"/>
                <w:szCs w:val="22"/>
              </w:rPr>
            </w:pPr>
            <w:r>
              <w:rPr>
                <w:rFonts w:ascii="Calibri" w:hAnsi="Calibri"/>
                <w:szCs w:val="22"/>
              </w:rPr>
              <w:t>Q9 of the application form states that there is not to be an altered vehicular access proposed to/from the public highway.</w:t>
            </w:r>
            <w:r w:rsidR="00696074">
              <w:rPr>
                <w:rFonts w:ascii="Calibri" w:hAnsi="Calibri"/>
                <w:szCs w:val="22"/>
              </w:rPr>
              <w:t xml:space="preserve"> </w:t>
            </w:r>
            <w:r w:rsidR="007163C5">
              <w:rPr>
                <w:rFonts w:ascii="Calibri" w:hAnsi="Calibri"/>
                <w:szCs w:val="22"/>
              </w:rPr>
              <w:t>The submitted Design &amp; Access Statement identifies that t</w:t>
            </w:r>
            <w:r w:rsidR="00696074">
              <w:rPr>
                <w:rFonts w:ascii="Calibri" w:hAnsi="Calibri"/>
                <w:szCs w:val="22"/>
              </w:rPr>
              <w:t>he site and pitch is accessed via a light</w:t>
            </w:r>
            <w:r w:rsidR="007163C5">
              <w:rPr>
                <w:rFonts w:ascii="Calibri" w:hAnsi="Calibri"/>
                <w:szCs w:val="22"/>
              </w:rPr>
              <w:t xml:space="preserve"> vehicular track running perpendicular to the highway (</w:t>
            </w:r>
            <w:r w:rsidR="00D75941">
              <w:rPr>
                <w:rFonts w:ascii="Calibri" w:hAnsi="Calibri"/>
                <w:szCs w:val="22"/>
              </w:rPr>
              <w:t>The</w:t>
            </w:r>
            <w:r w:rsidR="007163C5">
              <w:rPr>
                <w:rFonts w:ascii="Calibri" w:hAnsi="Calibri"/>
                <w:szCs w:val="22"/>
              </w:rPr>
              <w:t xml:space="preserve"> Avenue)</w:t>
            </w:r>
            <w:r w:rsidR="00350C9A">
              <w:rPr>
                <w:rFonts w:ascii="Calibri" w:hAnsi="Calibri"/>
                <w:szCs w:val="22"/>
              </w:rPr>
              <w:t xml:space="preserve"> which will be the construction traffic route.</w:t>
            </w:r>
          </w:p>
          <w:p w:rsidR="006D0C40" w:rsidRDefault="006D0C40" w:rsidP="00454754">
            <w:pPr>
              <w:pStyle w:val="Header"/>
              <w:tabs>
                <w:tab w:val="clear" w:pos="4153"/>
                <w:tab w:val="clear" w:pos="8306"/>
              </w:tabs>
              <w:jc w:val="both"/>
              <w:rPr>
                <w:rFonts w:ascii="Calibri" w:hAnsi="Calibri"/>
                <w:szCs w:val="22"/>
              </w:rPr>
            </w:pPr>
          </w:p>
          <w:p w:rsidR="006D0C40" w:rsidRPr="00F012FA" w:rsidRDefault="006D0C40" w:rsidP="00454754">
            <w:pPr>
              <w:pStyle w:val="Header"/>
              <w:tabs>
                <w:tab w:val="clear" w:pos="4153"/>
                <w:tab w:val="clear" w:pos="8306"/>
              </w:tabs>
              <w:jc w:val="both"/>
              <w:rPr>
                <w:rFonts w:ascii="Calibri" w:hAnsi="Calibri"/>
                <w:szCs w:val="22"/>
              </w:rPr>
            </w:pPr>
            <w:r>
              <w:rPr>
                <w:rFonts w:ascii="Calibri" w:hAnsi="Calibri"/>
                <w:szCs w:val="22"/>
              </w:rPr>
              <w:t xml:space="preserve">An </w:t>
            </w:r>
            <w:proofErr w:type="spellStart"/>
            <w:r>
              <w:rPr>
                <w:rFonts w:ascii="Calibri" w:hAnsi="Calibri"/>
                <w:szCs w:val="22"/>
              </w:rPr>
              <w:t>arboricultural</w:t>
            </w:r>
            <w:proofErr w:type="spellEnd"/>
            <w:r>
              <w:rPr>
                <w:rFonts w:ascii="Calibri" w:hAnsi="Calibri"/>
                <w:szCs w:val="22"/>
              </w:rPr>
              <w:t xml:space="preserve"> survey has been undertaken </w:t>
            </w:r>
            <w:r w:rsidR="00350C9A">
              <w:rPr>
                <w:rFonts w:ascii="Calibri" w:hAnsi="Calibri"/>
                <w:szCs w:val="22"/>
              </w:rPr>
              <w:t>and conclusions submitted.</w:t>
            </w:r>
          </w:p>
        </w:tc>
      </w:tr>
      <w:tr w:rsidR="00C214A6" w:rsidRPr="008C75E4" w:rsidTr="00504440">
        <w:trPr>
          <w:trHeight w:val="864"/>
          <w:jc w:val="center"/>
        </w:trPr>
        <w:tc>
          <w:tcPr>
            <w:tcW w:w="9555" w:type="dxa"/>
            <w:gridSpan w:val="14"/>
            <w:tcMar>
              <w:top w:w="57" w:type="dxa"/>
              <w:bottom w:w="57" w:type="dxa"/>
            </w:tcMar>
          </w:tcPr>
          <w:p w:rsidR="00D102D9" w:rsidRDefault="008B5731" w:rsidP="008B5731">
            <w:pPr>
              <w:pStyle w:val="Header"/>
              <w:jc w:val="both"/>
              <w:rPr>
                <w:rFonts w:ascii="Calibri" w:hAnsi="Calibri"/>
                <w:b/>
                <w:szCs w:val="22"/>
              </w:rPr>
            </w:pPr>
            <w:r w:rsidRPr="008B5731">
              <w:rPr>
                <w:rFonts w:ascii="Calibri" w:hAnsi="Calibri"/>
                <w:b/>
                <w:szCs w:val="22"/>
              </w:rPr>
              <w:t xml:space="preserve">Impact upon the </w:t>
            </w:r>
            <w:r w:rsidR="001529B9">
              <w:rPr>
                <w:rFonts w:ascii="Calibri" w:hAnsi="Calibri"/>
                <w:b/>
                <w:szCs w:val="22"/>
              </w:rPr>
              <w:t xml:space="preserve">Development Strategy and </w:t>
            </w:r>
            <w:r w:rsidRPr="008B5731">
              <w:rPr>
                <w:rFonts w:ascii="Calibri" w:hAnsi="Calibri"/>
                <w:b/>
                <w:szCs w:val="22"/>
              </w:rPr>
              <w:t>character of the Forest of Bowland AONB:</w:t>
            </w:r>
          </w:p>
          <w:p w:rsidR="00AC4E96" w:rsidRDefault="00AC4E96" w:rsidP="008B5731">
            <w:pPr>
              <w:pStyle w:val="Header"/>
              <w:jc w:val="both"/>
              <w:rPr>
                <w:rFonts w:ascii="Calibri" w:hAnsi="Calibri"/>
                <w:b/>
                <w:szCs w:val="22"/>
              </w:rPr>
            </w:pPr>
          </w:p>
          <w:p w:rsidR="00AC4E96" w:rsidRDefault="00C75729" w:rsidP="008B5731">
            <w:pPr>
              <w:pStyle w:val="Header"/>
              <w:jc w:val="both"/>
              <w:rPr>
                <w:rFonts w:ascii="Calibri" w:hAnsi="Calibri"/>
                <w:szCs w:val="22"/>
              </w:rPr>
            </w:pPr>
            <w:r w:rsidRPr="00AD4487">
              <w:rPr>
                <w:rFonts w:ascii="Calibri" w:hAnsi="Calibri"/>
                <w:szCs w:val="22"/>
              </w:rPr>
              <w:t xml:space="preserve">The submitted information </w:t>
            </w:r>
            <w:r w:rsidR="00AD4487" w:rsidRPr="00AD4487">
              <w:rPr>
                <w:rFonts w:ascii="Calibri" w:hAnsi="Calibri"/>
                <w:szCs w:val="22"/>
              </w:rPr>
              <w:t>does not assuage concerns expressed at Pre-application stage in respect to the impact on the natural beauty of the AONB and the character of the countryside outside of the Hurst Green settlement boundary.</w:t>
            </w:r>
            <w:r w:rsidR="00AD4487">
              <w:rPr>
                <w:rFonts w:ascii="Calibri" w:hAnsi="Calibri"/>
                <w:szCs w:val="22"/>
              </w:rPr>
              <w:t xml:space="preserve"> The proposed development will be isolated from other built development </w:t>
            </w:r>
            <w:r w:rsidR="00AD4487">
              <w:rPr>
                <w:rFonts w:ascii="Calibri" w:hAnsi="Calibri"/>
                <w:szCs w:val="22"/>
              </w:rPr>
              <w:lastRenderedPageBreak/>
              <w:t>and become an unduly prominent, incongruous (</w:t>
            </w:r>
            <w:r w:rsidR="003A5981">
              <w:rPr>
                <w:rFonts w:ascii="Calibri" w:hAnsi="Calibri"/>
                <w:szCs w:val="22"/>
              </w:rPr>
              <w:t xml:space="preserve">timber framed </w:t>
            </w:r>
            <w:r w:rsidR="00AD4487">
              <w:rPr>
                <w:rFonts w:ascii="Calibri" w:hAnsi="Calibri"/>
                <w:szCs w:val="22"/>
              </w:rPr>
              <w:t xml:space="preserve">sports pavilions </w:t>
            </w:r>
            <w:r w:rsidR="003A5981">
              <w:rPr>
                <w:rFonts w:ascii="Calibri" w:hAnsi="Calibri"/>
                <w:szCs w:val="22"/>
              </w:rPr>
              <w:t xml:space="preserve">with towers </w:t>
            </w:r>
            <w:r w:rsidR="00AD4487">
              <w:rPr>
                <w:rFonts w:ascii="Calibri" w:hAnsi="Calibri"/>
                <w:szCs w:val="22"/>
              </w:rPr>
              <w:t>are not a common building type in the AONB or countryside) and conspicuous focus within the landscape.</w:t>
            </w:r>
          </w:p>
          <w:p w:rsidR="000A3A9C" w:rsidRDefault="000A3A9C" w:rsidP="008B5731">
            <w:pPr>
              <w:pStyle w:val="Header"/>
              <w:jc w:val="both"/>
              <w:rPr>
                <w:rFonts w:ascii="Calibri" w:hAnsi="Calibri"/>
                <w:szCs w:val="22"/>
              </w:rPr>
            </w:pPr>
          </w:p>
          <w:p w:rsidR="000A3A9C" w:rsidRDefault="008B6B4E" w:rsidP="008B5731">
            <w:pPr>
              <w:pStyle w:val="Header"/>
              <w:jc w:val="both"/>
              <w:rPr>
                <w:rFonts w:ascii="Calibri" w:hAnsi="Calibri"/>
                <w:szCs w:val="22"/>
              </w:rPr>
            </w:pPr>
            <w:r w:rsidRPr="00826EB3">
              <w:rPr>
                <w:rFonts w:ascii="Calibri" w:hAnsi="Calibri"/>
                <w:szCs w:val="22"/>
              </w:rPr>
              <w:t>The requirements of LCC Highways</w:t>
            </w:r>
            <w:r>
              <w:rPr>
                <w:rFonts w:ascii="Calibri" w:hAnsi="Calibri"/>
                <w:szCs w:val="22"/>
              </w:rPr>
              <w:t xml:space="preserve"> and</w:t>
            </w:r>
            <w:r w:rsidRPr="00826EB3">
              <w:rPr>
                <w:rFonts w:ascii="Calibri" w:hAnsi="Calibri"/>
                <w:szCs w:val="22"/>
              </w:rPr>
              <w:t xml:space="preserve"> the Lancashire Fire</w:t>
            </w:r>
            <w:r>
              <w:rPr>
                <w:rFonts w:ascii="Calibri" w:hAnsi="Calibri"/>
                <w:szCs w:val="22"/>
              </w:rPr>
              <w:t xml:space="preserve"> </w:t>
            </w:r>
            <w:r w:rsidRPr="00826EB3">
              <w:rPr>
                <w:rFonts w:ascii="Calibri" w:hAnsi="Calibri"/>
                <w:szCs w:val="22"/>
              </w:rPr>
              <w:t>&amp; Rescue Service</w:t>
            </w:r>
            <w:r>
              <w:rPr>
                <w:rFonts w:ascii="Calibri" w:hAnsi="Calibri"/>
                <w:szCs w:val="22"/>
              </w:rPr>
              <w:t xml:space="preserve"> would be harmful in respect to the necessary upgrade of the junction and access track from the Avenue</w:t>
            </w:r>
            <w:r w:rsidR="00CB5EE7">
              <w:rPr>
                <w:rFonts w:ascii="Calibri" w:hAnsi="Calibri"/>
                <w:szCs w:val="22"/>
              </w:rPr>
              <w:t xml:space="preserve"> and provision of turning facilities within the site.</w:t>
            </w:r>
          </w:p>
          <w:p w:rsidR="00607689" w:rsidRPr="00AD4487" w:rsidRDefault="00607689" w:rsidP="008B5731">
            <w:pPr>
              <w:pStyle w:val="Header"/>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6456D" w:rsidRDefault="008B5731" w:rsidP="008B5731">
            <w:pPr>
              <w:contextualSpacing/>
              <w:jc w:val="both"/>
              <w:rPr>
                <w:rFonts w:ascii="Calibri" w:hAnsi="Calibri"/>
                <w:b/>
                <w:szCs w:val="22"/>
              </w:rPr>
            </w:pPr>
            <w:r w:rsidRPr="008B5731">
              <w:rPr>
                <w:rFonts w:ascii="Calibri" w:hAnsi="Calibri"/>
                <w:b/>
                <w:szCs w:val="22"/>
              </w:rPr>
              <w:lastRenderedPageBreak/>
              <w:t xml:space="preserve">Impact upon the setting of listed buildings and </w:t>
            </w:r>
            <w:r w:rsidR="00A500E4">
              <w:rPr>
                <w:rFonts w:ascii="Calibri" w:hAnsi="Calibri"/>
                <w:b/>
                <w:szCs w:val="22"/>
              </w:rPr>
              <w:t xml:space="preserve">the character of the </w:t>
            </w:r>
            <w:r w:rsidRPr="008B5731">
              <w:rPr>
                <w:rFonts w:ascii="Calibri" w:hAnsi="Calibri"/>
                <w:b/>
                <w:szCs w:val="22"/>
              </w:rPr>
              <w:t>Historic Park and Garden:</w:t>
            </w:r>
          </w:p>
          <w:p w:rsidR="00182A82" w:rsidRDefault="00182A82" w:rsidP="008B5731">
            <w:pPr>
              <w:contextualSpacing/>
              <w:jc w:val="both"/>
              <w:rPr>
                <w:rFonts w:ascii="Calibri" w:hAnsi="Calibri"/>
                <w:b/>
                <w:szCs w:val="22"/>
              </w:rPr>
            </w:pPr>
          </w:p>
          <w:p w:rsidR="00182A82" w:rsidRDefault="00182A82" w:rsidP="008B5731">
            <w:pPr>
              <w:contextualSpacing/>
              <w:jc w:val="both"/>
              <w:rPr>
                <w:rFonts w:ascii="Calibri" w:hAnsi="Calibri"/>
                <w:szCs w:val="22"/>
              </w:rPr>
            </w:pPr>
            <w:r w:rsidRPr="00826EB3">
              <w:rPr>
                <w:rFonts w:ascii="Calibri" w:hAnsi="Calibri"/>
                <w:szCs w:val="22"/>
              </w:rPr>
              <w:t>The requirements of LCC Highways</w:t>
            </w:r>
            <w:r w:rsidR="00497F0C">
              <w:rPr>
                <w:rFonts w:ascii="Calibri" w:hAnsi="Calibri"/>
                <w:szCs w:val="22"/>
              </w:rPr>
              <w:t xml:space="preserve"> and</w:t>
            </w:r>
            <w:r w:rsidRPr="00826EB3">
              <w:rPr>
                <w:rFonts w:ascii="Calibri" w:hAnsi="Calibri"/>
                <w:szCs w:val="22"/>
              </w:rPr>
              <w:t xml:space="preserve"> the Lancashire Fire</w:t>
            </w:r>
            <w:r w:rsidR="00497F0C">
              <w:rPr>
                <w:rFonts w:ascii="Calibri" w:hAnsi="Calibri"/>
                <w:szCs w:val="22"/>
              </w:rPr>
              <w:t xml:space="preserve"> </w:t>
            </w:r>
            <w:r w:rsidRPr="00826EB3">
              <w:rPr>
                <w:rFonts w:ascii="Calibri" w:hAnsi="Calibri"/>
                <w:szCs w:val="22"/>
              </w:rPr>
              <w:t>&amp; Rescue Service</w:t>
            </w:r>
            <w:r w:rsidR="00497F0C">
              <w:rPr>
                <w:rFonts w:ascii="Calibri" w:hAnsi="Calibri"/>
                <w:szCs w:val="22"/>
              </w:rPr>
              <w:t xml:space="preserve"> </w:t>
            </w:r>
            <w:r w:rsidR="009A69FF">
              <w:rPr>
                <w:rFonts w:ascii="Calibri" w:hAnsi="Calibri"/>
                <w:szCs w:val="22"/>
              </w:rPr>
              <w:t>would be harmful</w:t>
            </w:r>
            <w:r w:rsidR="00497F0C">
              <w:rPr>
                <w:rFonts w:ascii="Calibri" w:hAnsi="Calibri"/>
                <w:szCs w:val="22"/>
              </w:rPr>
              <w:t xml:space="preserve"> in respect to the necessary upgrade of the </w:t>
            </w:r>
            <w:r w:rsidR="00A312D8">
              <w:rPr>
                <w:rFonts w:ascii="Calibri" w:hAnsi="Calibri"/>
                <w:szCs w:val="22"/>
              </w:rPr>
              <w:t xml:space="preserve">junction and </w:t>
            </w:r>
            <w:r w:rsidR="00497F0C">
              <w:rPr>
                <w:rFonts w:ascii="Calibri" w:hAnsi="Calibri"/>
                <w:szCs w:val="22"/>
              </w:rPr>
              <w:t xml:space="preserve">access track from the Avenue and the visual diversion this will create from the historic design </w:t>
            </w:r>
            <w:r w:rsidR="009A69FF">
              <w:rPr>
                <w:rFonts w:ascii="Calibri" w:hAnsi="Calibri"/>
                <w:szCs w:val="22"/>
              </w:rPr>
              <w:t xml:space="preserve">of the Historic Park and Garden and the setting of the listed buildings - </w:t>
            </w:r>
            <w:r w:rsidR="00497F0C">
              <w:rPr>
                <w:rFonts w:ascii="Calibri" w:hAnsi="Calibri"/>
                <w:szCs w:val="22"/>
              </w:rPr>
              <w:t>“The late 17</w:t>
            </w:r>
            <w:r w:rsidR="00497F0C" w:rsidRPr="006B705D">
              <w:rPr>
                <w:rFonts w:ascii="Calibri" w:hAnsi="Calibri"/>
                <w:szCs w:val="22"/>
                <w:vertAlign w:val="superscript"/>
              </w:rPr>
              <w:t>th</w:t>
            </w:r>
            <w:r w:rsidR="00497F0C">
              <w:rPr>
                <w:rFonts w:ascii="Calibri" w:hAnsi="Calibri"/>
                <w:szCs w:val="22"/>
              </w:rPr>
              <w:t xml:space="preserve"> century landscape remains intact; grass on either side is flanked by narrow belts of woodland which focus the view entirely on the building”.</w:t>
            </w:r>
          </w:p>
          <w:p w:rsidR="00A500E4" w:rsidRDefault="00A500E4" w:rsidP="008B5731">
            <w:pPr>
              <w:contextualSpacing/>
              <w:jc w:val="both"/>
              <w:rPr>
                <w:rFonts w:ascii="Calibri" w:hAnsi="Calibri"/>
                <w:szCs w:val="22"/>
              </w:rPr>
            </w:pPr>
          </w:p>
          <w:p w:rsidR="005975C1" w:rsidRPr="004A6EAD" w:rsidRDefault="005975C1" w:rsidP="005975C1">
            <w:pPr>
              <w:overflowPunct/>
              <w:textAlignment w:val="auto"/>
              <w:rPr>
                <w:rFonts w:asciiTheme="minorHAnsi" w:hAnsiTheme="minorHAnsi" w:cs="Arial"/>
              </w:rPr>
            </w:pPr>
            <w:r w:rsidRPr="004A6EAD">
              <w:rPr>
                <w:rFonts w:asciiTheme="minorHAnsi" w:hAnsiTheme="minorHAnsi"/>
                <w:szCs w:val="22"/>
              </w:rPr>
              <w:t xml:space="preserve">NPPG states that “substantial harm is a high test, so it may not arise in many cases”. </w:t>
            </w:r>
            <w:r>
              <w:rPr>
                <w:rFonts w:asciiTheme="minorHAnsi" w:hAnsiTheme="minorHAnsi"/>
                <w:szCs w:val="22"/>
              </w:rPr>
              <w:t>Whilst t</w:t>
            </w:r>
            <w:r w:rsidRPr="004A6EAD">
              <w:rPr>
                <w:rFonts w:asciiTheme="minorHAnsi" w:hAnsiTheme="minorHAnsi"/>
                <w:szCs w:val="22"/>
              </w:rPr>
              <w:t xml:space="preserve">he harm </w:t>
            </w:r>
            <w:r>
              <w:rPr>
                <w:rFonts w:asciiTheme="minorHAnsi" w:hAnsiTheme="minorHAnsi"/>
                <w:szCs w:val="22"/>
              </w:rPr>
              <w:t>is to one of the most important elements of setting and historic garden, the</w:t>
            </w:r>
            <w:r w:rsidR="00435367">
              <w:rPr>
                <w:rFonts w:asciiTheme="minorHAnsi" w:hAnsiTheme="minorHAnsi"/>
                <w:szCs w:val="22"/>
              </w:rPr>
              <w:t xml:space="preserve"> harm to the</w:t>
            </w:r>
            <w:r>
              <w:rPr>
                <w:rFonts w:asciiTheme="minorHAnsi" w:hAnsiTheme="minorHAnsi"/>
                <w:szCs w:val="22"/>
              </w:rPr>
              <w:t xml:space="preserve"> Avenue</w:t>
            </w:r>
            <w:r w:rsidR="00435367">
              <w:rPr>
                <w:rFonts w:asciiTheme="minorHAnsi" w:hAnsiTheme="minorHAnsi"/>
                <w:szCs w:val="22"/>
              </w:rPr>
              <w:t xml:space="preserve"> is concentrated to one section and impacts a limited number of views</w:t>
            </w:r>
            <w:r w:rsidRPr="004A6EAD">
              <w:rPr>
                <w:rFonts w:asciiTheme="minorHAnsi" w:hAnsiTheme="minorHAnsi"/>
                <w:szCs w:val="22"/>
              </w:rPr>
              <w:t xml:space="preserve"> </w:t>
            </w:r>
            <w:r w:rsidR="00435367">
              <w:rPr>
                <w:rFonts w:asciiTheme="minorHAnsi" w:hAnsiTheme="minorHAnsi"/>
                <w:szCs w:val="22"/>
              </w:rPr>
              <w:t xml:space="preserve">and this harm to the </w:t>
            </w:r>
            <w:r w:rsidRPr="004A6EAD">
              <w:rPr>
                <w:rFonts w:asciiTheme="minorHAnsi" w:hAnsiTheme="minorHAnsi"/>
                <w:szCs w:val="22"/>
              </w:rPr>
              <w:t>setting of listed buildings</w:t>
            </w:r>
            <w:r>
              <w:rPr>
                <w:rFonts w:asciiTheme="minorHAnsi" w:hAnsiTheme="minorHAnsi"/>
                <w:szCs w:val="22"/>
              </w:rPr>
              <w:t xml:space="preserve"> and </w:t>
            </w:r>
            <w:r w:rsidR="00435367">
              <w:rPr>
                <w:rFonts w:asciiTheme="minorHAnsi" w:hAnsiTheme="minorHAnsi"/>
                <w:szCs w:val="22"/>
              </w:rPr>
              <w:t>the character of the Historic Park and Garden</w:t>
            </w:r>
            <w:r w:rsidRPr="004A6EAD">
              <w:rPr>
                <w:rFonts w:asciiTheme="minorHAnsi" w:hAnsiTheme="minorHAnsi"/>
                <w:szCs w:val="22"/>
              </w:rPr>
              <w:t xml:space="preserve"> is</w:t>
            </w:r>
            <w:r w:rsidRPr="004A6EAD">
              <w:rPr>
                <w:rFonts w:asciiTheme="minorHAnsi" w:hAnsiTheme="minorHAnsi" w:cs="Arial"/>
              </w:rPr>
              <w:t xml:space="preserve"> ‘less than substantial’. </w:t>
            </w:r>
          </w:p>
          <w:p w:rsidR="005975C1" w:rsidRPr="004A6EAD" w:rsidRDefault="005975C1" w:rsidP="005975C1">
            <w:pPr>
              <w:contextualSpacing/>
              <w:jc w:val="both"/>
              <w:rPr>
                <w:rFonts w:ascii="Calibri" w:hAnsi="Calibri"/>
                <w:szCs w:val="22"/>
              </w:rPr>
            </w:pPr>
          </w:p>
          <w:p w:rsidR="009851ED" w:rsidRPr="004A6EAD" w:rsidRDefault="005975C1" w:rsidP="005975C1">
            <w:pPr>
              <w:contextualSpacing/>
              <w:jc w:val="both"/>
              <w:rPr>
                <w:rFonts w:asciiTheme="minorHAnsi" w:eastAsiaTheme="minorHAnsi" w:hAnsiTheme="minorHAnsi" w:cs="Arial"/>
                <w:szCs w:val="22"/>
              </w:rPr>
            </w:pPr>
            <w:r w:rsidRPr="004A6EAD">
              <w:rPr>
                <w:rFonts w:asciiTheme="minorHAnsi" w:hAnsiTheme="minorHAnsi" w:cs="Arial"/>
              </w:rPr>
              <w:t>NPPF paragraph 196 requires that ‘less than substantial’ harm be weighed against any public benefits of the proposal</w:t>
            </w:r>
            <w:r w:rsidRPr="004A6EAD">
              <w:rPr>
                <w:rFonts w:asciiTheme="minorHAnsi" w:eastAsiaTheme="minorHAnsi" w:hAnsiTheme="minorHAnsi" w:cs="Arial"/>
                <w:szCs w:val="22"/>
              </w:rPr>
              <w:t xml:space="preserve">. </w:t>
            </w:r>
            <w:r w:rsidR="00435367">
              <w:rPr>
                <w:rFonts w:asciiTheme="minorHAnsi" w:eastAsiaTheme="minorHAnsi" w:hAnsiTheme="minorHAnsi" w:cs="Arial"/>
                <w:szCs w:val="22"/>
              </w:rPr>
              <w:t>The submitted information identifies that the provision of suitable spectator and first-aid and refreshment facilities is necessary as the provision of rugby and outdoor sport in general is important to school financial viability.</w:t>
            </w:r>
            <w:r w:rsidR="00435367" w:rsidRPr="004A6EAD">
              <w:rPr>
                <w:rFonts w:asciiTheme="minorHAnsi" w:eastAsiaTheme="minorHAnsi" w:hAnsiTheme="minorHAnsi" w:cs="Arial"/>
                <w:szCs w:val="22"/>
              </w:rPr>
              <w:t xml:space="preserve"> There are public benefits from the proposed scheme </w:t>
            </w:r>
            <w:r w:rsidR="00435367">
              <w:rPr>
                <w:rFonts w:asciiTheme="minorHAnsi" w:eastAsiaTheme="minorHAnsi" w:hAnsiTheme="minorHAnsi" w:cs="Arial"/>
                <w:szCs w:val="22"/>
              </w:rPr>
              <w:t xml:space="preserve">in respect to contractor employment.  </w:t>
            </w:r>
            <w:r w:rsidR="008D4A15">
              <w:rPr>
                <w:rFonts w:asciiTheme="minorHAnsi" w:eastAsiaTheme="minorHAnsi" w:hAnsiTheme="minorHAnsi" w:cs="Arial"/>
                <w:szCs w:val="22"/>
              </w:rPr>
              <w:t xml:space="preserve">However, it is not fully explained (summer rugby camp?) in the submitted information (see Pre-application comments) why the provision of this facility in this location is required now and existing facilities will not suffice. </w:t>
            </w:r>
            <w:r w:rsidR="00CB5EE7">
              <w:rPr>
                <w:rFonts w:ascii="Calibri" w:hAnsi="Calibri"/>
                <w:szCs w:val="22"/>
              </w:rPr>
              <w:t xml:space="preserve">The comments of Sport England (and the Rugby Football Union) are noted in respect to the absence of expected changing room and toilet facilities in the proposed development. </w:t>
            </w:r>
            <w:r w:rsidR="008D4A15">
              <w:rPr>
                <w:rFonts w:asciiTheme="minorHAnsi" w:eastAsiaTheme="minorHAnsi" w:hAnsiTheme="minorHAnsi" w:cs="Arial"/>
                <w:szCs w:val="22"/>
              </w:rPr>
              <w:t>In respect to submitted information, the public benefits do not appear to outweigh the harm to the designated heritage assets.</w:t>
            </w:r>
          </w:p>
          <w:p w:rsidR="00A500E4" w:rsidRPr="00826EB3" w:rsidRDefault="00A500E4" w:rsidP="008B5731">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5975C1" w:rsidRPr="002B203C" w:rsidRDefault="005975C1" w:rsidP="005975C1">
            <w:pPr>
              <w:contextualSpacing/>
              <w:jc w:val="both"/>
              <w:rPr>
                <w:rFonts w:ascii="Calibri" w:hAnsi="Calibri"/>
                <w:szCs w:val="22"/>
              </w:rPr>
            </w:pPr>
            <w:r w:rsidRPr="002B203C">
              <w:rPr>
                <w:rFonts w:ascii="Calibri" w:hAnsi="Calibri"/>
                <w:szCs w:val="22"/>
              </w:rPr>
              <w:t>Therefore, in giving considerable importance and weight to the dut</w:t>
            </w:r>
            <w:r w:rsidR="009851ED">
              <w:rPr>
                <w:rFonts w:ascii="Calibri" w:hAnsi="Calibri"/>
                <w:szCs w:val="22"/>
              </w:rPr>
              <w:t>y</w:t>
            </w:r>
            <w:r w:rsidRPr="002B203C">
              <w:rPr>
                <w:rFonts w:ascii="Calibri" w:hAnsi="Calibri"/>
                <w:szCs w:val="22"/>
              </w:rPr>
              <w:t xml:space="preserve"> at section 66 of the Planning (Listed Buildings and Conservation Areas) Act 1990 and in consideration to NPPF (2018) and Key Statement</w:t>
            </w:r>
            <w:r w:rsidR="00B41F3F">
              <w:rPr>
                <w:rFonts w:ascii="Calibri" w:hAnsi="Calibri"/>
                <w:szCs w:val="22"/>
              </w:rPr>
              <w:t>s</w:t>
            </w:r>
            <w:r w:rsidRPr="002B203C">
              <w:rPr>
                <w:rFonts w:ascii="Calibri" w:hAnsi="Calibri"/>
                <w:szCs w:val="22"/>
              </w:rPr>
              <w:t xml:space="preserve"> </w:t>
            </w:r>
            <w:r w:rsidR="009851ED">
              <w:rPr>
                <w:rFonts w:ascii="Calibri" w:hAnsi="Calibri"/>
                <w:szCs w:val="22"/>
              </w:rPr>
              <w:t xml:space="preserve">DS1, EN2 and </w:t>
            </w:r>
            <w:r w:rsidRPr="002B203C">
              <w:rPr>
                <w:rFonts w:ascii="Calibri" w:hAnsi="Calibri"/>
                <w:szCs w:val="22"/>
              </w:rPr>
              <w:t>EN5 and Policies DME4</w:t>
            </w:r>
            <w:r w:rsidR="009851ED">
              <w:rPr>
                <w:rFonts w:ascii="Calibri" w:hAnsi="Calibri"/>
                <w:szCs w:val="22"/>
              </w:rPr>
              <w:t xml:space="preserve">, </w:t>
            </w:r>
            <w:r w:rsidRPr="002B203C">
              <w:rPr>
                <w:rFonts w:ascii="Calibri" w:hAnsi="Calibri"/>
                <w:szCs w:val="22"/>
              </w:rPr>
              <w:t>DMG1</w:t>
            </w:r>
            <w:r w:rsidR="009851ED">
              <w:rPr>
                <w:rFonts w:ascii="Calibri" w:hAnsi="Calibri"/>
                <w:szCs w:val="22"/>
              </w:rPr>
              <w:t xml:space="preserve"> and DMG2</w:t>
            </w:r>
            <w:r w:rsidRPr="002B203C">
              <w:rPr>
                <w:rFonts w:ascii="Calibri" w:hAnsi="Calibri"/>
                <w:szCs w:val="22"/>
              </w:rPr>
              <w:t xml:space="preserve"> of the </w:t>
            </w:r>
            <w:proofErr w:type="spellStart"/>
            <w:r w:rsidRPr="002B203C">
              <w:rPr>
                <w:rFonts w:ascii="Calibri" w:hAnsi="Calibri"/>
                <w:szCs w:val="22"/>
              </w:rPr>
              <w:t>Ribble</w:t>
            </w:r>
            <w:proofErr w:type="spellEnd"/>
            <w:r w:rsidRPr="002B203C">
              <w:rPr>
                <w:rFonts w:ascii="Calibri" w:hAnsi="Calibri"/>
                <w:szCs w:val="22"/>
              </w:rPr>
              <w:t xml:space="preserve"> Valley Core Strategy </w:t>
            </w:r>
            <w:r w:rsidR="002C7628">
              <w:rPr>
                <w:rFonts w:ascii="Calibri" w:hAnsi="Calibri"/>
                <w:szCs w:val="22"/>
              </w:rPr>
              <w:t xml:space="preserve">it is </w:t>
            </w:r>
            <w:r w:rsidRPr="002B203C">
              <w:rPr>
                <w:rFonts w:ascii="Calibri" w:hAnsi="Calibri"/>
                <w:szCs w:val="22"/>
              </w:rPr>
              <w:t>recommend</w:t>
            </w:r>
            <w:r w:rsidR="002C7628">
              <w:rPr>
                <w:rFonts w:ascii="Calibri" w:hAnsi="Calibri"/>
                <w:szCs w:val="22"/>
              </w:rPr>
              <w:t>ed</w:t>
            </w:r>
            <w:r w:rsidRPr="002B203C">
              <w:rPr>
                <w:rFonts w:ascii="Calibri" w:hAnsi="Calibri"/>
                <w:szCs w:val="22"/>
              </w:rPr>
              <w:t xml:space="preserve"> that </w:t>
            </w:r>
            <w:r w:rsidR="009851ED">
              <w:rPr>
                <w:rFonts w:ascii="Calibri" w:hAnsi="Calibri"/>
                <w:szCs w:val="22"/>
              </w:rPr>
              <w:t>planning permission</w:t>
            </w:r>
            <w:r w:rsidRPr="002B203C">
              <w:rPr>
                <w:rFonts w:ascii="Calibri" w:hAnsi="Calibri"/>
                <w:szCs w:val="22"/>
              </w:rPr>
              <w:t xml:space="preserve"> </w:t>
            </w:r>
            <w:r>
              <w:rPr>
                <w:rFonts w:ascii="Calibri" w:hAnsi="Calibri"/>
                <w:szCs w:val="22"/>
              </w:rPr>
              <w:t>is refused</w:t>
            </w:r>
            <w:r w:rsidRPr="002B203C">
              <w:rPr>
                <w:rFonts w:ascii="Calibri" w:hAnsi="Calibri"/>
                <w:szCs w:val="22"/>
              </w:rPr>
              <w:t>.</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Default="009918B0" w:rsidP="006126D1">
            <w:pPr>
              <w:jc w:val="both"/>
              <w:rPr>
                <w:rFonts w:ascii="Calibri" w:hAnsi="Calibri"/>
                <w:szCs w:val="22"/>
              </w:rPr>
            </w:pPr>
            <w:r>
              <w:rPr>
                <w:rFonts w:ascii="Calibri" w:hAnsi="Calibri"/>
                <w:bCs/>
                <w:szCs w:val="22"/>
              </w:rPr>
              <w:t>The proposed development would be harmful to the character of the Forest of Bowland Area of Outstanding Natural Beauty</w:t>
            </w:r>
            <w:r w:rsidR="00B41F3F">
              <w:rPr>
                <w:rFonts w:ascii="Calibri" w:hAnsi="Calibri"/>
                <w:bCs/>
                <w:szCs w:val="22"/>
              </w:rPr>
              <w:t xml:space="preserve"> and the Development Strategy</w:t>
            </w:r>
            <w:r>
              <w:rPr>
                <w:rFonts w:ascii="Calibri" w:hAnsi="Calibri"/>
                <w:bCs/>
                <w:szCs w:val="22"/>
              </w:rPr>
              <w:t xml:space="preserve"> because it would be unduly prominent, conspicuous and incongruous as a result of its location</w:t>
            </w:r>
            <w:r w:rsidR="00B41F3F">
              <w:rPr>
                <w:rFonts w:ascii="Calibri" w:hAnsi="Calibri"/>
                <w:bCs/>
                <w:szCs w:val="22"/>
              </w:rPr>
              <w:t xml:space="preserve">, size and form. This is contrary </w:t>
            </w:r>
            <w:proofErr w:type="gramStart"/>
            <w:r w:rsidR="00B41F3F">
              <w:rPr>
                <w:rFonts w:ascii="Calibri" w:hAnsi="Calibri"/>
                <w:bCs/>
                <w:szCs w:val="22"/>
              </w:rPr>
              <w:t xml:space="preserve">to </w:t>
            </w:r>
            <w:r>
              <w:rPr>
                <w:rFonts w:ascii="Calibri" w:hAnsi="Calibri"/>
                <w:bCs/>
                <w:szCs w:val="22"/>
              </w:rPr>
              <w:t xml:space="preserve"> </w:t>
            </w:r>
            <w:r w:rsidR="00B41F3F" w:rsidRPr="002B203C">
              <w:rPr>
                <w:rFonts w:ascii="Calibri" w:hAnsi="Calibri"/>
                <w:szCs w:val="22"/>
              </w:rPr>
              <w:t>Key</w:t>
            </w:r>
            <w:proofErr w:type="gramEnd"/>
            <w:r w:rsidR="00B41F3F" w:rsidRPr="002B203C">
              <w:rPr>
                <w:rFonts w:ascii="Calibri" w:hAnsi="Calibri"/>
                <w:szCs w:val="22"/>
              </w:rPr>
              <w:t xml:space="preserve"> Statement</w:t>
            </w:r>
            <w:r w:rsidR="00B41F3F">
              <w:rPr>
                <w:rFonts w:ascii="Calibri" w:hAnsi="Calibri"/>
                <w:szCs w:val="22"/>
              </w:rPr>
              <w:t>s</w:t>
            </w:r>
            <w:r w:rsidR="00B41F3F" w:rsidRPr="002B203C">
              <w:rPr>
                <w:rFonts w:ascii="Calibri" w:hAnsi="Calibri"/>
                <w:szCs w:val="22"/>
              </w:rPr>
              <w:t xml:space="preserve"> </w:t>
            </w:r>
            <w:r w:rsidR="00B41F3F">
              <w:rPr>
                <w:rFonts w:ascii="Calibri" w:hAnsi="Calibri"/>
                <w:szCs w:val="22"/>
              </w:rPr>
              <w:t>DS1</w:t>
            </w:r>
            <w:r w:rsidR="00495925">
              <w:rPr>
                <w:rFonts w:ascii="Calibri" w:hAnsi="Calibri"/>
                <w:szCs w:val="22"/>
              </w:rPr>
              <w:t xml:space="preserve"> and</w:t>
            </w:r>
            <w:r w:rsidR="00B41F3F">
              <w:rPr>
                <w:rFonts w:ascii="Calibri" w:hAnsi="Calibri"/>
                <w:szCs w:val="22"/>
              </w:rPr>
              <w:t xml:space="preserve"> EN2</w:t>
            </w:r>
            <w:r w:rsidR="00B41F3F" w:rsidRPr="002B203C">
              <w:rPr>
                <w:rFonts w:ascii="Calibri" w:hAnsi="Calibri"/>
                <w:szCs w:val="22"/>
              </w:rPr>
              <w:t xml:space="preserve"> and Polici</w:t>
            </w:r>
            <w:r w:rsidR="00495925">
              <w:rPr>
                <w:rFonts w:ascii="Calibri" w:hAnsi="Calibri"/>
                <w:szCs w:val="22"/>
              </w:rPr>
              <w:t xml:space="preserve">es </w:t>
            </w:r>
            <w:r w:rsidR="00B41F3F" w:rsidRPr="002B203C">
              <w:rPr>
                <w:rFonts w:ascii="Calibri" w:hAnsi="Calibri"/>
                <w:szCs w:val="22"/>
              </w:rPr>
              <w:t>DMG1</w:t>
            </w:r>
            <w:r w:rsidR="00B41F3F">
              <w:rPr>
                <w:rFonts w:ascii="Calibri" w:hAnsi="Calibri"/>
                <w:szCs w:val="22"/>
              </w:rPr>
              <w:t xml:space="preserve"> and DMG2</w:t>
            </w:r>
            <w:r w:rsidR="00B41F3F" w:rsidRPr="002B203C">
              <w:rPr>
                <w:rFonts w:ascii="Calibri" w:hAnsi="Calibri"/>
                <w:szCs w:val="22"/>
              </w:rPr>
              <w:t xml:space="preserve"> of the </w:t>
            </w:r>
            <w:proofErr w:type="spellStart"/>
            <w:r w:rsidR="00B41F3F" w:rsidRPr="002B203C">
              <w:rPr>
                <w:rFonts w:ascii="Calibri" w:hAnsi="Calibri"/>
                <w:szCs w:val="22"/>
              </w:rPr>
              <w:t>Ribble</w:t>
            </w:r>
            <w:proofErr w:type="spellEnd"/>
            <w:r w:rsidR="00B41F3F" w:rsidRPr="002B203C">
              <w:rPr>
                <w:rFonts w:ascii="Calibri" w:hAnsi="Calibri"/>
                <w:szCs w:val="22"/>
              </w:rPr>
              <w:t xml:space="preserve"> Valley Core Strategy</w:t>
            </w:r>
            <w:r w:rsidR="00B41F3F">
              <w:rPr>
                <w:rFonts w:ascii="Calibri" w:hAnsi="Calibri"/>
                <w:szCs w:val="22"/>
              </w:rPr>
              <w:t>.</w:t>
            </w:r>
          </w:p>
          <w:p w:rsidR="00495925" w:rsidRDefault="00495925" w:rsidP="006126D1">
            <w:pPr>
              <w:jc w:val="both"/>
              <w:rPr>
                <w:rFonts w:ascii="Calibri" w:hAnsi="Calibri"/>
                <w:bCs/>
                <w:szCs w:val="22"/>
              </w:rPr>
            </w:pPr>
          </w:p>
          <w:p w:rsidR="008448A1" w:rsidRDefault="00495925" w:rsidP="008448A1">
            <w:pPr>
              <w:jc w:val="both"/>
              <w:rPr>
                <w:rFonts w:ascii="Calibri" w:hAnsi="Calibri"/>
                <w:szCs w:val="22"/>
              </w:rPr>
            </w:pPr>
            <w:r>
              <w:rPr>
                <w:rFonts w:ascii="Calibri" w:hAnsi="Calibri"/>
                <w:bCs/>
                <w:szCs w:val="22"/>
              </w:rPr>
              <w:t xml:space="preserve">The proposed development would be harmful to the character of the </w:t>
            </w:r>
            <w:proofErr w:type="spellStart"/>
            <w:r>
              <w:rPr>
                <w:rFonts w:ascii="Calibri" w:hAnsi="Calibri"/>
                <w:bCs/>
                <w:szCs w:val="22"/>
              </w:rPr>
              <w:t>Stonyhurst</w:t>
            </w:r>
            <w:proofErr w:type="spellEnd"/>
            <w:r>
              <w:rPr>
                <w:rFonts w:ascii="Calibri" w:hAnsi="Calibri"/>
                <w:bCs/>
                <w:szCs w:val="22"/>
              </w:rPr>
              <w:t xml:space="preserve"> Historic Park and Garden and the setting of listed buildings because necessary road junction and access upgrades will detract from important views along the Avenue.  </w:t>
            </w:r>
            <w:r w:rsidR="008448A1">
              <w:rPr>
                <w:rFonts w:ascii="Calibri" w:hAnsi="Calibri"/>
                <w:bCs/>
                <w:szCs w:val="22"/>
              </w:rPr>
              <w:t xml:space="preserve">This is contrary to </w:t>
            </w:r>
            <w:r w:rsidR="008448A1" w:rsidRPr="002B203C">
              <w:rPr>
                <w:rFonts w:ascii="Calibri" w:hAnsi="Calibri"/>
                <w:szCs w:val="22"/>
              </w:rPr>
              <w:t xml:space="preserve">Key Statement </w:t>
            </w:r>
            <w:r w:rsidR="008448A1">
              <w:rPr>
                <w:rFonts w:ascii="Calibri" w:hAnsi="Calibri"/>
                <w:szCs w:val="22"/>
              </w:rPr>
              <w:t>EN</w:t>
            </w:r>
            <w:r w:rsidR="006E57D9">
              <w:rPr>
                <w:rFonts w:ascii="Calibri" w:hAnsi="Calibri"/>
                <w:szCs w:val="22"/>
              </w:rPr>
              <w:t>5</w:t>
            </w:r>
            <w:r w:rsidR="008448A1" w:rsidRPr="002B203C">
              <w:rPr>
                <w:rFonts w:ascii="Calibri" w:hAnsi="Calibri"/>
                <w:szCs w:val="22"/>
              </w:rPr>
              <w:t xml:space="preserve"> and Polici</w:t>
            </w:r>
            <w:r w:rsidR="008448A1">
              <w:rPr>
                <w:rFonts w:ascii="Calibri" w:hAnsi="Calibri"/>
                <w:szCs w:val="22"/>
              </w:rPr>
              <w:t xml:space="preserve">es </w:t>
            </w:r>
            <w:r w:rsidR="008448A1" w:rsidRPr="002B203C">
              <w:rPr>
                <w:rFonts w:ascii="Calibri" w:hAnsi="Calibri"/>
                <w:szCs w:val="22"/>
              </w:rPr>
              <w:t>DMG1</w:t>
            </w:r>
            <w:r w:rsidR="008448A1">
              <w:rPr>
                <w:rFonts w:ascii="Calibri" w:hAnsi="Calibri"/>
                <w:szCs w:val="22"/>
              </w:rPr>
              <w:t xml:space="preserve"> and </w:t>
            </w:r>
            <w:r w:rsidR="006E57D9">
              <w:rPr>
                <w:rFonts w:ascii="Calibri" w:hAnsi="Calibri"/>
                <w:szCs w:val="22"/>
              </w:rPr>
              <w:t>DME4</w:t>
            </w:r>
            <w:r w:rsidR="008448A1" w:rsidRPr="002B203C">
              <w:rPr>
                <w:rFonts w:ascii="Calibri" w:hAnsi="Calibri"/>
                <w:szCs w:val="22"/>
              </w:rPr>
              <w:t xml:space="preserve"> of the </w:t>
            </w:r>
            <w:proofErr w:type="spellStart"/>
            <w:r w:rsidR="008448A1" w:rsidRPr="002B203C">
              <w:rPr>
                <w:rFonts w:ascii="Calibri" w:hAnsi="Calibri"/>
                <w:szCs w:val="22"/>
              </w:rPr>
              <w:t>Ribble</w:t>
            </w:r>
            <w:proofErr w:type="spellEnd"/>
            <w:r w:rsidR="008448A1" w:rsidRPr="002B203C">
              <w:rPr>
                <w:rFonts w:ascii="Calibri" w:hAnsi="Calibri"/>
                <w:szCs w:val="22"/>
              </w:rPr>
              <w:t xml:space="preserve"> Valley Core Strategy</w:t>
            </w:r>
            <w:r w:rsidR="008448A1">
              <w:rPr>
                <w:rFonts w:ascii="Calibri" w:hAnsi="Calibri"/>
                <w:szCs w:val="22"/>
              </w:rPr>
              <w:t>.</w:t>
            </w:r>
          </w:p>
          <w:p w:rsidR="00495925" w:rsidRPr="008C75E4" w:rsidRDefault="00495925" w:rsidP="006126D1">
            <w:pPr>
              <w:jc w:val="both"/>
              <w:rPr>
                <w:rFonts w:ascii="Calibri" w:hAnsi="Calibri"/>
                <w:bCs/>
                <w:szCs w:val="22"/>
              </w:rPr>
            </w:pPr>
          </w:p>
        </w:tc>
      </w:tr>
    </w:tbl>
    <w:p w:rsidR="0031197A" w:rsidRPr="008C75E4" w:rsidRDefault="00EF5D6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6AB" w:rsidRDefault="000506AB" w:rsidP="006D0B5F">
      <w:r>
        <w:separator/>
      </w:r>
    </w:p>
  </w:endnote>
  <w:endnote w:type="continuationSeparator" w:id="0">
    <w:p w:rsidR="000506AB" w:rsidRDefault="000506A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6AB" w:rsidRDefault="000506AB" w:rsidP="006D0B5F">
      <w:r>
        <w:separator/>
      </w:r>
    </w:p>
  </w:footnote>
  <w:footnote w:type="continuationSeparator" w:id="0">
    <w:p w:rsidR="000506AB" w:rsidRDefault="000506A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06AB"/>
    <w:rsid w:val="00055B13"/>
    <w:rsid w:val="00074DA7"/>
    <w:rsid w:val="0008638E"/>
    <w:rsid w:val="000A3A9C"/>
    <w:rsid w:val="000B5CB5"/>
    <w:rsid w:val="000C7A57"/>
    <w:rsid w:val="000D446A"/>
    <w:rsid w:val="00101855"/>
    <w:rsid w:val="0010371E"/>
    <w:rsid w:val="00106932"/>
    <w:rsid w:val="00130035"/>
    <w:rsid w:val="001311DF"/>
    <w:rsid w:val="00141512"/>
    <w:rsid w:val="001529B9"/>
    <w:rsid w:val="0016428F"/>
    <w:rsid w:val="00174004"/>
    <w:rsid w:val="00182A82"/>
    <w:rsid w:val="001946E0"/>
    <w:rsid w:val="00196722"/>
    <w:rsid w:val="001B769B"/>
    <w:rsid w:val="001C1453"/>
    <w:rsid w:val="001D4F7A"/>
    <w:rsid w:val="001D5ADD"/>
    <w:rsid w:val="00203F50"/>
    <w:rsid w:val="00206E24"/>
    <w:rsid w:val="0023060D"/>
    <w:rsid w:val="00237DA1"/>
    <w:rsid w:val="00244A9D"/>
    <w:rsid w:val="00250879"/>
    <w:rsid w:val="00281470"/>
    <w:rsid w:val="00284480"/>
    <w:rsid w:val="0028751A"/>
    <w:rsid w:val="0029334A"/>
    <w:rsid w:val="002971C2"/>
    <w:rsid w:val="002A01CF"/>
    <w:rsid w:val="002A7DF7"/>
    <w:rsid w:val="002B7854"/>
    <w:rsid w:val="002C398E"/>
    <w:rsid w:val="002C6277"/>
    <w:rsid w:val="002C7628"/>
    <w:rsid w:val="002D4346"/>
    <w:rsid w:val="002E28AE"/>
    <w:rsid w:val="002E2952"/>
    <w:rsid w:val="002E7CC1"/>
    <w:rsid w:val="002F041D"/>
    <w:rsid w:val="002F2580"/>
    <w:rsid w:val="002F7502"/>
    <w:rsid w:val="003137E0"/>
    <w:rsid w:val="003179A9"/>
    <w:rsid w:val="00320A6F"/>
    <w:rsid w:val="00321B6E"/>
    <w:rsid w:val="003359D0"/>
    <w:rsid w:val="00341E8D"/>
    <w:rsid w:val="0034775A"/>
    <w:rsid w:val="00347F5E"/>
    <w:rsid w:val="00350C9A"/>
    <w:rsid w:val="003634D9"/>
    <w:rsid w:val="0036759A"/>
    <w:rsid w:val="00367D38"/>
    <w:rsid w:val="003825D5"/>
    <w:rsid w:val="003A4376"/>
    <w:rsid w:val="003A5981"/>
    <w:rsid w:val="003C28E1"/>
    <w:rsid w:val="003E2151"/>
    <w:rsid w:val="003F16AA"/>
    <w:rsid w:val="003F16B4"/>
    <w:rsid w:val="003F3DB5"/>
    <w:rsid w:val="003F481A"/>
    <w:rsid w:val="00404C72"/>
    <w:rsid w:val="00410745"/>
    <w:rsid w:val="00421271"/>
    <w:rsid w:val="00435367"/>
    <w:rsid w:val="00435FC9"/>
    <w:rsid w:val="0044039F"/>
    <w:rsid w:val="00440CB6"/>
    <w:rsid w:val="004435A9"/>
    <w:rsid w:val="00452419"/>
    <w:rsid w:val="00454754"/>
    <w:rsid w:val="004654DD"/>
    <w:rsid w:val="004854EC"/>
    <w:rsid w:val="004936A6"/>
    <w:rsid w:val="004947BB"/>
    <w:rsid w:val="00495925"/>
    <w:rsid w:val="00497F0C"/>
    <w:rsid w:val="004A5EA9"/>
    <w:rsid w:val="004C2434"/>
    <w:rsid w:val="004D6FC7"/>
    <w:rsid w:val="004E1F79"/>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57E73"/>
    <w:rsid w:val="005631B3"/>
    <w:rsid w:val="005633B0"/>
    <w:rsid w:val="005635FF"/>
    <w:rsid w:val="00573B90"/>
    <w:rsid w:val="00575297"/>
    <w:rsid w:val="005878FE"/>
    <w:rsid w:val="00593040"/>
    <w:rsid w:val="005975C1"/>
    <w:rsid w:val="005B0A0E"/>
    <w:rsid w:val="005B0B86"/>
    <w:rsid w:val="005B1715"/>
    <w:rsid w:val="005D3432"/>
    <w:rsid w:val="005E1C6C"/>
    <w:rsid w:val="005E65DF"/>
    <w:rsid w:val="00607689"/>
    <w:rsid w:val="006126D1"/>
    <w:rsid w:val="006326A2"/>
    <w:rsid w:val="00665C24"/>
    <w:rsid w:val="00690DA5"/>
    <w:rsid w:val="00690EC3"/>
    <w:rsid w:val="00692B60"/>
    <w:rsid w:val="00695F88"/>
    <w:rsid w:val="00696074"/>
    <w:rsid w:val="006A71AD"/>
    <w:rsid w:val="006B705D"/>
    <w:rsid w:val="006C126E"/>
    <w:rsid w:val="006C2BFA"/>
    <w:rsid w:val="006D0B5F"/>
    <w:rsid w:val="006D0C40"/>
    <w:rsid w:val="006D4E58"/>
    <w:rsid w:val="006D7624"/>
    <w:rsid w:val="006E57D9"/>
    <w:rsid w:val="006F137D"/>
    <w:rsid w:val="006F4D38"/>
    <w:rsid w:val="0070054B"/>
    <w:rsid w:val="00706480"/>
    <w:rsid w:val="00710DBB"/>
    <w:rsid w:val="007163C5"/>
    <w:rsid w:val="00725F1C"/>
    <w:rsid w:val="00740C2D"/>
    <w:rsid w:val="007430C8"/>
    <w:rsid w:val="00755FCC"/>
    <w:rsid w:val="00776AE2"/>
    <w:rsid w:val="007921CD"/>
    <w:rsid w:val="00792E94"/>
    <w:rsid w:val="007C5713"/>
    <w:rsid w:val="007C791C"/>
    <w:rsid w:val="007D69CC"/>
    <w:rsid w:val="007D6D02"/>
    <w:rsid w:val="007D7DF4"/>
    <w:rsid w:val="007E0D23"/>
    <w:rsid w:val="007F196D"/>
    <w:rsid w:val="00805895"/>
    <w:rsid w:val="008075CB"/>
    <w:rsid w:val="00811771"/>
    <w:rsid w:val="008154DD"/>
    <w:rsid w:val="00826EB3"/>
    <w:rsid w:val="008422F9"/>
    <w:rsid w:val="008448A1"/>
    <w:rsid w:val="008542DE"/>
    <w:rsid w:val="00855068"/>
    <w:rsid w:val="008638DE"/>
    <w:rsid w:val="00891182"/>
    <w:rsid w:val="008A28C8"/>
    <w:rsid w:val="008B5731"/>
    <w:rsid w:val="008B6B4E"/>
    <w:rsid w:val="008C75E4"/>
    <w:rsid w:val="008D3E22"/>
    <w:rsid w:val="008D4A15"/>
    <w:rsid w:val="008E6BC7"/>
    <w:rsid w:val="008F6124"/>
    <w:rsid w:val="008F6B58"/>
    <w:rsid w:val="0090282C"/>
    <w:rsid w:val="00906D0C"/>
    <w:rsid w:val="00934B34"/>
    <w:rsid w:val="00955128"/>
    <w:rsid w:val="009565F5"/>
    <w:rsid w:val="009825FF"/>
    <w:rsid w:val="00985097"/>
    <w:rsid w:val="009851ED"/>
    <w:rsid w:val="009863F2"/>
    <w:rsid w:val="009918B0"/>
    <w:rsid w:val="00994EF1"/>
    <w:rsid w:val="00995065"/>
    <w:rsid w:val="009A69FF"/>
    <w:rsid w:val="009C4BCF"/>
    <w:rsid w:val="009C7F61"/>
    <w:rsid w:val="009E6A8B"/>
    <w:rsid w:val="009F0A23"/>
    <w:rsid w:val="00A01733"/>
    <w:rsid w:val="00A04A96"/>
    <w:rsid w:val="00A312D8"/>
    <w:rsid w:val="00A40070"/>
    <w:rsid w:val="00A42E82"/>
    <w:rsid w:val="00A46EE9"/>
    <w:rsid w:val="00A500E4"/>
    <w:rsid w:val="00A504B8"/>
    <w:rsid w:val="00A55E83"/>
    <w:rsid w:val="00A5783A"/>
    <w:rsid w:val="00A579BB"/>
    <w:rsid w:val="00A63D55"/>
    <w:rsid w:val="00A8441B"/>
    <w:rsid w:val="00A9088C"/>
    <w:rsid w:val="00A9168C"/>
    <w:rsid w:val="00A95D89"/>
    <w:rsid w:val="00AB3243"/>
    <w:rsid w:val="00AB5232"/>
    <w:rsid w:val="00AB5461"/>
    <w:rsid w:val="00AC4E96"/>
    <w:rsid w:val="00AC581F"/>
    <w:rsid w:val="00AC6962"/>
    <w:rsid w:val="00AD4487"/>
    <w:rsid w:val="00AF711C"/>
    <w:rsid w:val="00B14DDC"/>
    <w:rsid w:val="00B30A5E"/>
    <w:rsid w:val="00B31505"/>
    <w:rsid w:val="00B41F3F"/>
    <w:rsid w:val="00B45282"/>
    <w:rsid w:val="00B6269C"/>
    <w:rsid w:val="00B74C73"/>
    <w:rsid w:val="00B77703"/>
    <w:rsid w:val="00B93EB5"/>
    <w:rsid w:val="00B96F5A"/>
    <w:rsid w:val="00BA2247"/>
    <w:rsid w:val="00BA5D97"/>
    <w:rsid w:val="00BA6B19"/>
    <w:rsid w:val="00BB1C52"/>
    <w:rsid w:val="00BB2A50"/>
    <w:rsid w:val="00BC1E48"/>
    <w:rsid w:val="00BD2E8D"/>
    <w:rsid w:val="00BD3F03"/>
    <w:rsid w:val="00BF29A4"/>
    <w:rsid w:val="00C0704D"/>
    <w:rsid w:val="00C214A6"/>
    <w:rsid w:val="00C24A51"/>
    <w:rsid w:val="00C25722"/>
    <w:rsid w:val="00C44E40"/>
    <w:rsid w:val="00C50517"/>
    <w:rsid w:val="00C618DB"/>
    <w:rsid w:val="00C6456D"/>
    <w:rsid w:val="00C67EE9"/>
    <w:rsid w:val="00C75729"/>
    <w:rsid w:val="00C93384"/>
    <w:rsid w:val="00CA28BA"/>
    <w:rsid w:val="00CB5EE7"/>
    <w:rsid w:val="00CD1729"/>
    <w:rsid w:val="00CD2E03"/>
    <w:rsid w:val="00CD38B1"/>
    <w:rsid w:val="00D05CE6"/>
    <w:rsid w:val="00D102D9"/>
    <w:rsid w:val="00D1063F"/>
    <w:rsid w:val="00D11007"/>
    <w:rsid w:val="00D126C4"/>
    <w:rsid w:val="00D1420C"/>
    <w:rsid w:val="00D23470"/>
    <w:rsid w:val="00D2449B"/>
    <w:rsid w:val="00D34964"/>
    <w:rsid w:val="00D54384"/>
    <w:rsid w:val="00D54E67"/>
    <w:rsid w:val="00D54F48"/>
    <w:rsid w:val="00D632BB"/>
    <w:rsid w:val="00D75941"/>
    <w:rsid w:val="00D80310"/>
    <w:rsid w:val="00D814D3"/>
    <w:rsid w:val="00D9608A"/>
    <w:rsid w:val="00D96DF7"/>
    <w:rsid w:val="00D97AA3"/>
    <w:rsid w:val="00DA27B6"/>
    <w:rsid w:val="00DB3771"/>
    <w:rsid w:val="00DC3C8A"/>
    <w:rsid w:val="00DD62F6"/>
    <w:rsid w:val="00DD7E97"/>
    <w:rsid w:val="00DE515D"/>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C38DF"/>
    <w:rsid w:val="00ED00B7"/>
    <w:rsid w:val="00EF1341"/>
    <w:rsid w:val="00EF44E6"/>
    <w:rsid w:val="00EF5D6B"/>
    <w:rsid w:val="00F012FA"/>
    <w:rsid w:val="00F055D3"/>
    <w:rsid w:val="00F117CA"/>
    <w:rsid w:val="00F129DD"/>
    <w:rsid w:val="00F16D0F"/>
    <w:rsid w:val="00F32789"/>
    <w:rsid w:val="00F71D53"/>
    <w:rsid w:val="00F731F5"/>
    <w:rsid w:val="00F75F59"/>
    <w:rsid w:val="00F8201E"/>
    <w:rsid w:val="00FC046F"/>
    <w:rsid w:val="00FC6A11"/>
    <w:rsid w:val="00FC77EC"/>
    <w:rsid w:val="00FD334A"/>
    <w:rsid w:val="00FD6AE3"/>
    <w:rsid w:val="00FF5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D34964"/>
    <w:rPr>
      <w:b/>
      <w:bCs/>
    </w:rPr>
  </w:style>
  <w:style w:type="paragraph" w:styleId="PlainText">
    <w:name w:val="Plain Text"/>
    <w:basedOn w:val="Normal"/>
    <w:link w:val="PlainTextChar"/>
    <w:uiPriority w:val="99"/>
    <w:unhideWhenUsed/>
    <w:rsid w:val="00855068"/>
    <w:pPr>
      <w:overflowPunct/>
      <w:autoSpaceDE/>
      <w:autoSpaceDN/>
      <w:adjustRightInd/>
      <w:textAlignment w:val="auto"/>
    </w:pPr>
    <w:rPr>
      <w:rFonts w:ascii="Calibri" w:eastAsiaTheme="minorHAnsi" w:hAnsi="Calibri" w:cs="Calibri"/>
      <w:szCs w:val="22"/>
    </w:rPr>
  </w:style>
  <w:style w:type="character" w:customStyle="1" w:styleId="PlainTextChar">
    <w:name w:val="Plain Text Char"/>
    <w:basedOn w:val="DefaultParagraphFont"/>
    <w:link w:val="PlainText"/>
    <w:uiPriority w:val="99"/>
    <w:rsid w:val="00855068"/>
    <w:rPr>
      <w:rFonts w:ascii="Calibri" w:hAnsi="Calibri" w:cs="Calibri"/>
    </w:rPr>
  </w:style>
  <w:style w:type="paragraph" w:customStyle="1" w:styleId="Default">
    <w:name w:val="Default"/>
    <w:rsid w:val="008B57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1197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7F15-890A-4361-BE65-A58CA6E0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2020-12-16T16:28:00Z</dcterms:created>
  <dcterms:modified xsi:type="dcterms:W3CDTF">2020-12-16T16:28:00Z</dcterms:modified>
</cp:coreProperties>
</file>