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386"/>
        <w:gridCol w:w="57"/>
        <w:gridCol w:w="238"/>
        <w:gridCol w:w="201"/>
        <w:gridCol w:w="1030"/>
        <w:gridCol w:w="1030"/>
        <w:gridCol w:w="519"/>
        <w:gridCol w:w="579"/>
        <w:gridCol w:w="428"/>
        <w:gridCol w:w="602"/>
        <w:gridCol w:w="1030"/>
        <w:gridCol w:w="999"/>
      </w:tblGrid>
      <w:tr w:rsidR="008C75E4" w:rsidRPr="008C75E4" w:rsidTr="007346A8">
        <w:trPr>
          <w:jc w:val="center"/>
        </w:trPr>
        <w:tc>
          <w:tcPr>
            <w:tcW w:w="9493" w:type="dxa"/>
            <w:gridSpan w:val="15"/>
            <w:tcMar>
              <w:top w:w="57" w:type="dxa"/>
              <w:bottom w:w="57" w:type="dxa"/>
            </w:tcMar>
          </w:tcPr>
          <w:p w:rsidR="004A5EA9" w:rsidRPr="008C75E4" w:rsidRDefault="00D2449B" w:rsidP="00D2449B">
            <w:pPr>
              <w:jc w:val="center"/>
              <w:rPr>
                <w:rFonts w:ascii="Calibri" w:hAnsi="Calibri"/>
                <w:b/>
                <w:szCs w:val="22"/>
              </w:rPr>
            </w:pPr>
            <w:bookmarkStart w:id="0" w:name="_GoBack"/>
            <w:bookmarkEnd w:id="0"/>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rsidTr="007346A8">
        <w:trPr>
          <w:trHeight w:val="535"/>
          <w:jc w:val="center"/>
        </w:trPr>
        <w:tc>
          <w:tcPr>
            <w:tcW w:w="1296" w:type="dxa"/>
            <w:tcMar>
              <w:top w:w="57" w:type="dxa"/>
              <w:bottom w:w="57" w:type="dxa"/>
            </w:tcMar>
          </w:tcPr>
          <w:p w:rsidR="004936A6" w:rsidRDefault="004936A6" w:rsidP="00D2449B">
            <w:pPr>
              <w:jc w:val="center"/>
              <w:rPr>
                <w:rFonts w:ascii="Calibri" w:hAnsi="Calibri"/>
                <w:b/>
                <w:szCs w:val="22"/>
              </w:rPr>
            </w:pPr>
            <w:r w:rsidRPr="008C75E4">
              <w:rPr>
                <w:rFonts w:ascii="Calibri" w:hAnsi="Calibri"/>
                <w:b/>
                <w:szCs w:val="22"/>
              </w:rPr>
              <w:t>Signed:</w:t>
            </w:r>
          </w:p>
          <w:p w:rsidR="00454754" w:rsidRPr="008C75E4" w:rsidRDefault="00454754" w:rsidP="00D2449B">
            <w:pPr>
              <w:jc w:val="center"/>
              <w:rPr>
                <w:rFonts w:ascii="Calibri" w:hAnsi="Calibri"/>
                <w:b/>
                <w:szCs w:val="22"/>
              </w:rPr>
            </w:pPr>
          </w:p>
        </w:tc>
        <w:tc>
          <w:tcPr>
            <w:tcW w:w="900" w:type="dxa"/>
          </w:tcPr>
          <w:p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5"/>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rsidR="004936A6" w:rsidRPr="008C75E4" w:rsidRDefault="004936A6" w:rsidP="00D2449B">
            <w:pPr>
              <w:jc w:val="center"/>
              <w:rPr>
                <w:rFonts w:ascii="Calibri" w:hAnsi="Calibri"/>
                <w:b/>
                <w:szCs w:val="22"/>
              </w:rPr>
            </w:pPr>
          </w:p>
        </w:tc>
        <w:tc>
          <w:tcPr>
            <w:tcW w:w="1098" w:type="dxa"/>
            <w:gridSpan w:val="2"/>
          </w:tcPr>
          <w:p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rsidR="004936A6" w:rsidRPr="008C75E4" w:rsidRDefault="004936A6" w:rsidP="00D2449B">
            <w:pPr>
              <w:jc w:val="center"/>
              <w:rPr>
                <w:rFonts w:ascii="Calibri" w:hAnsi="Calibri"/>
                <w:b/>
                <w:szCs w:val="22"/>
              </w:rPr>
            </w:pPr>
          </w:p>
        </w:tc>
        <w:tc>
          <w:tcPr>
            <w:tcW w:w="1030" w:type="dxa"/>
          </w:tcPr>
          <w:p w:rsidR="004936A6" w:rsidRPr="008C75E4" w:rsidRDefault="004936A6" w:rsidP="00D2449B">
            <w:pPr>
              <w:jc w:val="center"/>
              <w:rPr>
                <w:rFonts w:ascii="Calibri" w:hAnsi="Calibri"/>
                <w:b/>
                <w:szCs w:val="22"/>
              </w:rPr>
            </w:pPr>
            <w:r w:rsidRPr="008C75E4">
              <w:rPr>
                <w:rFonts w:ascii="Calibri" w:hAnsi="Calibri"/>
                <w:b/>
                <w:szCs w:val="22"/>
              </w:rPr>
              <w:t>Date:</w:t>
            </w:r>
          </w:p>
        </w:tc>
        <w:tc>
          <w:tcPr>
            <w:tcW w:w="999" w:type="dxa"/>
          </w:tcPr>
          <w:p w:rsidR="004936A6" w:rsidRPr="008C75E4" w:rsidRDefault="004936A6" w:rsidP="00D2449B">
            <w:pPr>
              <w:jc w:val="center"/>
              <w:rPr>
                <w:rFonts w:ascii="Calibri" w:hAnsi="Calibri"/>
                <w:b/>
                <w:szCs w:val="22"/>
              </w:rPr>
            </w:pPr>
          </w:p>
        </w:tc>
      </w:tr>
      <w:tr w:rsidR="00E06DFC" w:rsidRPr="008C75E4" w:rsidTr="007346A8">
        <w:trPr>
          <w:trHeight w:val="586"/>
          <w:jc w:val="center"/>
        </w:trPr>
        <w:tc>
          <w:tcPr>
            <w:tcW w:w="1296" w:type="dxa"/>
            <w:tcBorders>
              <w:bottom w:val="single" w:sz="4" w:space="0" w:color="BFBFBF" w:themeColor="background1" w:themeShade="BF"/>
            </w:tcBorders>
            <w:tcMar>
              <w:top w:w="57" w:type="dxa"/>
              <w:bottom w:w="57" w:type="dxa"/>
            </w:tcMar>
          </w:tcPr>
          <w:p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rsidR="00E06DFC" w:rsidRPr="008C75E4" w:rsidRDefault="00E06DFC" w:rsidP="00D2449B">
            <w:pPr>
              <w:jc w:val="center"/>
              <w:rPr>
                <w:rFonts w:ascii="Calibri" w:hAnsi="Calibri"/>
                <w:b/>
                <w:szCs w:val="22"/>
              </w:rPr>
            </w:pPr>
          </w:p>
        </w:tc>
        <w:tc>
          <w:tcPr>
            <w:tcW w:w="1080" w:type="dxa"/>
            <w:gridSpan w:val="5"/>
            <w:tcBorders>
              <w:bottom w:val="single" w:sz="4" w:space="0" w:color="BFBFBF" w:themeColor="background1" w:themeShade="BF"/>
            </w:tcBorders>
          </w:tcPr>
          <w:p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rsidR="00E06DFC" w:rsidRPr="004D670C" w:rsidRDefault="00E06DFC" w:rsidP="004D670C">
            <w:pPr>
              <w:ind w:left="360"/>
              <w:jc w:val="center"/>
              <w:rPr>
                <w:rFonts w:ascii="Calibri" w:hAnsi="Calibri"/>
                <w:b/>
                <w:szCs w:val="22"/>
              </w:rPr>
            </w:pPr>
          </w:p>
        </w:tc>
        <w:tc>
          <w:tcPr>
            <w:tcW w:w="5187" w:type="dxa"/>
            <w:gridSpan w:val="7"/>
            <w:tcBorders>
              <w:bottom w:val="single" w:sz="4" w:space="0" w:color="BFBFBF" w:themeColor="background1" w:themeShade="BF"/>
            </w:tcBorders>
          </w:tcPr>
          <w:p w:rsidR="00E06DFC" w:rsidRPr="008C75E4" w:rsidRDefault="00E06DFC" w:rsidP="00D2449B">
            <w:pPr>
              <w:jc w:val="center"/>
              <w:rPr>
                <w:rFonts w:ascii="Calibri" w:hAnsi="Calibri"/>
                <w:b/>
                <w:szCs w:val="22"/>
              </w:rPr>
            </w:pPr>
          </w:p>
        </w:tc>
      </w:tr>
      <w:tr w:rsidR="008C75E4" w:rsidRPr="008C75E4" w:rsidTr="007346A8">
        <w:trPr>
          <w:jc w:val="center"/>
        </w:trPr>
        <w:tc>
          <w:tcPr>
            <w:tcW w:w="9493" w:type="dxa"/>
            <w:gridSpan w:val="15"/>
            <w:tcBorders>
              <w:left w:val="nil"/>
              <w:right w:val="nil"/>
            </w:tcBorders>
            <w:tcMar>
              <w:top w:w="57" w:type="dxa"/>
              <w:bottom w:w="57" w:type="dxa"/>
            </w:tcMar>
          </w:tcPr>
          <w:p w:rsidR="004A5EA9" w:rsidRPr="008C75E4" w:rsidRDefault="004A5EA9" w:rsidP="004A5EA9">
            <w:pPr>
              <w:jc w:val="center"/>
              <w:rPr>
                <w:rFonts w:ascii="Calibri" w:hAnsi="Calibri"/>
                <w:b/>
                <w:szCs w:val="22"/>
              </w:rPr>
            </w:pPr>
          </w:p>
        </w:tc>
      </w:tr>
      <w:tr w:rsidR="008C75E4" w:rsidRPr="008C75E4" w:rsidTr="007346A8">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7"/>
          </w:tcPr>
          <w:p w:rsidR="004A5EA9" w:rsidRPr="008C75E4" w:rsidRDefault="00555D53" w:rsidP="008F6B58">
            <w:pPr>
              <w:rPr>
                <w:rFonts w:ascii="Calibri" w:hAnsi="Calibri"/>
                <w:szCs w:val="22"/>
              </w:rPr>
            </w:pPr>
            <w:r>
              <w:rPr>
                <w:rFonts w:ascii="Calibri" w:hAnsi="Calibri"/>
                <w:szCs w:val="22"/>
              </w:rPr>
              <w:t>3/2020/0</w:t>
            </w:r>
            <w:r w:rsidR="00C71FAD">
              <w:rPr>
                <w:rFonts w:ascii="Calibri" w:hAnsi="Calibri"/>
                <w:szCs w:val="22"/>
              </w:rPr>
              <w:t>848</w:t>
            </w:r>
          </w:p>
        </w:tc>
        <w:tc>
          <w:tcPr>
            <w:tcW w:w="3638" w:type="dxa"/>
            <w:gridSpan w:val="5"/>
            <w:vMerge w:val="restart"/>
            <w:tcMar>
              <w:top w:w="57" w:type="dxa"/>
              <w:bottom w:w="57" w:type="dxa"/>
            </w:tcMar>
          </w:tcPr>
          <w:p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6150F5CC" wp14:editId="79F27BC8">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rsidTr="007346A8">
        <w:trPr>
          <w:jc w:val="center"/>
        </w:trPr>
        <w:tc>
          <w:tcPr>
            <w:tcW w:w="2394" w:type="dxa"/>
            <w:gridSpan w:val="3"/>
            <w:tcMar>
              <w:top w:w="57" w:type="dxa"/>
              <w:bottom w:w="57" w:type="dxa"/>
            </w:tcMar>
          </w:tcPr>
          <w:p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7"/>
          </w:tcPr>
          <w:p w:rsidR="004A5EA9" w:rsidRPr="008C75E4" w:rsidRDefault="00FB5E89" w:rsidP="002C6277">
            <w:pPr>
              <w:rPr>
                <w:rFonts w:ascii="Calibri" w:hAnsi="Calibri"/>
                <w:szCs w:val="22"/>
              </w:rPr>
            </w:pPr>
            <w:r>
              <w:rPr>
                <w:rFonts w:ascii="Calibri" w:hAnsi="Calibri"/>
                <w:szCs w:val="22"/>
              </w:rPr>
              <w:t>03/12/2020</w:t>
            </w:r>
          </w:p>
        </w:tc>
        <w:tc>
          <w:tcPr>
            <w:tcW w:w="3638" w:type="dxa"/>
            <w:gridSpan w:val="5"/>
            <w:vMerge/>
            <w:tcMar>
              <w:top w:w="57" w:type="dxa"/>
              <w:bottom w:w="57" w:type="dxa"/>
            </w:tcMar>
          </w:tcPr>
          <w:p w:rsidR="004A5EA9" w:rsidRPr="008C75E4" w:rsidRDefault="004A5EA9">
            <w:pPr>
              <w:rPr>
                <w:rFonts w:ascii="Calibri" w:hAnsi="Calibri"/>
                <w:szCs w:val="22"/>
              </w:rPr>
            </w:pPr>
          </w:p>
        </w:tc>
      </w:tr>
      <w:tr w:rsidR="008C75E4" w:rsidRPr="008C75E4" w:rsidTr="007346A8">
        <w:trPr>
          <w:jc w:val="center"/>
        </w:trPr>
        <w:tc>
          <w:tcPr>
            <w:tcW w:w="2394" w:type="dxa"/>
            <w:gridSpan w:val="3"/>
            <w:tcMar>
              <w:top w:w="57" w:type="dxa"/>
              <w:bottom w:w="57" w:type="dxa"/>
            </w:tcMar>
          </w:tcPr>
          <w:p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7"/>
          </w:tcPr>
          <w:p w:rsidR="004A5EA9" w:rsidRPr="00454754" w:rsidRDefault="00555D53" w:rsidP="00811771">
            <w:pPr>
              <w:rPr>
                <w:rFonts w:ascii="Calibri" w:hAnsi="Calibri"/>
                <w:b/>
                <w:szCs w:val="22"/>
              </w:rPr>
            </w:pPr>
            <w:r>
              <w:rPr>
                <w:rFonts w:ascii="Calibri" w:hAnsi="Calibri"/>
                <w:b/>
                <w:szCs w:val="22"/>
              </w:rPr>
              <w:t>AB</w:t>
            </w:r>
          </w:p>
        </w:tc>
        <w:tc>
          <w:tcPr>
            <w:tcW w:w="3638" w:type="dxa"/>
            <w:gridSpan w:val="5"/>
            <w:vMerge/>
            <w:tcMar>
              <w:top w:w="57" w:type="dxa"/>
              <w:bottom w:w="57" w:type="dxa"/>
            </w:tcMar>
          </w:tcPr>
          <w:p w:rsidR="004A5EA9" w:rsidRPr="008C75E4" w:rsidRDefault="004A5EA9">
            <w:pPr>
              <w:rPr>
                <w:rFonts w:ascii="Calibri" w:hAnsi="Calibri"/>
                <w:szCs w:val="22"/>
              </w:rPr>
            </w:pPr>
          </w:p>
        </w:tc>
      </w:tr>
      <w:tr w:rsidR="00FD334A" w:rsidRPr="008C75E4" w:rsidTr="007346A8">
        <w:trPr>
          <w:jc w:val="center"/>
        </w:trPr>
        <w:tc>
          <w:tcPr>
            <w:tcW w:w="5855" w:type="dxa"/>
            <w:gridSpan w:val="10"/>
            <w:tcBorders>
              <w:bottom w:val="single" w:sz="4" w:space="0" w:color="BFBFBF" w:themeColor="background1" w:themeShade="BF"/>
            </w:tcBorders>
            <w:tcMar>
              <w:top w:w="57" w:type="dxa"/>
              <w:bottom w:w="57" w:type="dxa"/>
            </w:tcMar>
          </w:tcPr>
          <w:p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rsidR="00FD334A" w:rsidRPr="008C75E4" w:rsidRDefault="00FD334A" w:rsidP="00FD334A">
            <w:pPr>
              <w:rPr>
                <w:rFonts w:ascii="Calibri" w:hAnsi="Calibri"/>
                <w:b/>
                <w:szCs w:val="22"/>
              </w:rPr>
            </w:pPr>
            <w:r>
              <w:rPr>
                <w:rFonts w:ascii="Calibri" w:hAnsi="Calibri"/>
                <w:b/>
                <w:szCs w:val="22"/>
              </w:rPr>
              <w:t>Decision</w:t>
            </w:r>
          </w:p>
        </w:tc>
        <w:tc>
          <w:tcPr>
            <w:tcW w:w="2631" w:type="dxa"/>
            <w:gridSpan w:val="3"/>
            <w:tcBorders>
              <w:bottom w:val="single" w:sz="4" w:space="0" w:color="BFBFBF" w:themeColor="background1" w:themeShade="BF"/>
            </w:tcBorders>
          </w:tcPr>
          <w:p w:rsidR="00FD334A" w:rsidRPr="008C75E4" w:rsidRDefault="005E22EA" w:rsidP="000B38CB">
            <w:pPr>
              <w:jc w:val="center"/>
              <w:rPr>
                <w:rFonts w:ascii="Calibri" w:hAnsi="Calibri"/>
                <w:b/>
                <w:szCs w:val="22"/>
              </w:rPr>
            </w:pPr>
            <w:r>
              <w:rPr>
                <w:rFonts w:ascii="Calibri" w:hAnsi="Calibri"/>
                <w:b/>
                <w:szCs w:val="22"/>
              </w:rPr>
              <w:t>APPROVED</w:t>
            </w:r>
          </w:p>
        </w:tc>
      </w:tr>
      <w:tr w:rsidR="008C75E4" w:rsidRPr="008C75E4" w:rsidTr="007346A8">
        <w:trPr>
          <w:trHeight w:hRule="exact" w:val="144"/>
          <w:jc w:val="center"/>
        </w:trPr>
        <w:tc>
          <w:tcPr>
            <w:tcW w:w="9493" w:type="dxa"/>
            <w:gridSpan w:val="15"/>
            <w:tcBorders>
              <w:left w:val="nil"/>
              <w:right w:val="nil"/>
            </w:tcBorders>
            <w:tcMar>
              <w:top w:w="57" w:type="dxa"/>
              <w:bottom w:w="57" w:type="dxa"/>
            </w:tcMar>
          </w:tcPr>
          <w:p w:rsidR="004A5EA9" w:rsidRPr="00504440" w:rsidRDefault="004A5EA9" w:rsidP="007E0D23">
            <w:pPr>
              <w:tabs>
                <w:tab w:val="left" w:pos="4007"/>
              </w:tabs>
              <w:rPr>
                <w:rFonts w:ascii="Calibri" w:hAnsi="Calibri"/>
                <w:b/>
                <w:sz w:val="4"/>
                <w:szCs w:val="4"/>
              </w:rPr>
            </w:pPr>
          </w:p>
        </w:tc>
      </w:tr>
      <w:tr w:rsidR="008C75E4" w:rsidRPr="008C75E4" w:rsidTr="007346A8">
        <w:trPr>
          <w:jc w:val="center"/>
        </w:trPr>
        <w:tc>
          <w:tcPr>
            <w:tcW w:w="3075" w:type="dxa"/>
            <w:gridSpan w:val="6"/>
            <w:tcMar>
              <w:top w:w="57" w:type="dxa"/>
              <w:bottom w:w="57" w:type="dxa"/>
            </w:tcMar>
          </w:tcPr>
          <w:p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18" w:type="dxa"/>
            <w:gridSpan w:val="9"/>
          </w:tcPr>
          <w:p w:rsidR="004A5EA9" w:rsidRPr="004E7CFB" w:rsidRDefault="0076002E" w:rsidP="007D0F8F">
            <w:pPr>
              <w:rPr>
                <w:rFonts w:asciiTheme="minorHAnsi" w:hAnsiTheme="minorHAnsi" w:cstheme="minorHAnsi"/>
                <w:b/>
                <w:color w:val="000000" w:themeColor="text1"/>
                <w:szCs w:val="22"/>
              </w:rPr>
            </w:pPr>
            <w:r w:rsidRPr="0076002E">
              <w:rPr>
                <w:rFonts w:asciiTheme="minorHAnsi" w:hAnsiTheme="minorHAnsi" w:cstheme="minorHAnsi"/>
                <w:b/>
                <w:color w:val="000000" w:themeColor="text1"/>
                <w:szCs w:val="22"/>
              </w:rPr>
              <w:t>Replacement four</w:t>
            </w:r>
            <w:r w:rsidR="00EC623E">
              <w:rPr>
                <w:rFonts w:asciiTheme="minorHAnsi" w:hAnsiTheme="minorHAnsi" w:cstheme="minorHAnsi"/>
                <w:b/>
                <w:color w:val="000000" w:themeColor="text1"/>
                <w:szCs w:val="22"/>
              </w:rPr>
              <w:t>-</w:t>
            </w:r>
            <w:r w:rsidRPr="0076002E">
              <w:rPr>
                <w:rFonts w:asciiTheme="minorHAnsi" w:hAnsiTheme="minorHAnsi" w:cstheme="minorHAnsi"/>
                <w:b/>
                <w:color w:val="000000" w:themeColor="text1"/>
                <w:szCs w:val="22"/>
              </w:rPr>
              <w:t>bedroom dwelling and site redevelopment including the erection of stables. Resubmission of application 3/2019/0783</w:t>
            </w:r>
            <w:r>
              <w:rPr>
                <w:rFonts w:asciiTheme="minorHAnsi" w:hAnsiTheme="minorHAnsi" w:cstheme="minorHAnsi"/>
                <w:b/>
                <w:color w:val="000000" w:themeColor="text1"/>
                <w:szCs w:val="22"/>
              </w:rPr>
              <w:t>.</w:t>
            </w:r>
          </w:p>
        </w:tc>
      </w:tr>
      <w:tr w:rsidR="008C75E4" w:rsidRPr="008C75E4" w:rsidTr="007346A8">
        <w:trPr>
          <w:jc w:val="center"/>
        </w:trPr>
        <w:tc>
          <w:tcPr>
            <w:tcW w:w="3075" w:type="dxa"/>
            <w:gridSpan w:val="6"/>
            <w:tcBorders>
              <w:bottom w:val="single" w:sz="4" w:space="0" w:color="BFBFBF" w:themeColor="background1" w:themeShade="BF"/>
            </w:tcBorders>
            <w:tcMar>
              <w:top w:w="57" w:type="dxa"/>
              <w:bottom w:w="57" w:type="dxa"/>
            </w:tcMar>
          </w:tcPr>
          <w:p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18" w:type="dxa"/>
            <w:gridSpan w:val="9"/>
            <w:tcBorders>
              <w:bottom w:val="single" w:sz="4" w:space="0" w:color="BFBFBF" w:themeColor="background1" w:themeShade="BF"/>
            </w:tcBorders>
          </w:tcPr>
          <w:p w:rsidR="002A01CF" w:rsidRPr="009F332E" w:rsidRDefault="0076002E" w:rsidP="00A42E82">
            <w:pPr>
              <w:rPr>
                <w:rFonts w:asciiTheme="minorHAnsi" w:hAnsiTheme="minorHAnsi" w:cstheme="minorHAnsi"/>
                <w:b/>
                <w:szCs w:val="22"/>
              </w:rPr>
            </w:pPr>
            <w:proofErr w:type="spellStart"/>
            <w:r w:rsidRPr="0076002E">
              <w:rPr>
                <w:rFonts w:asciiTheme="minorHAnsi" w:hAnsiTheme="minorHAnsi" w:cstheme="minorHAnsi"/>
                <w:b/>
                <w:szCs w:val="22"/>
              </w:rPr>
              <w:t>Ingledale</w:t>
            </w:r>
            <w:proofErr w:type="spellEnd"/>
            <w:r w:rsidRPr="0076002E">
              <w:rPr>
                <w:rFonts w:asciiTheme="minorHAnsi" w:hAnsiTheme="minorHAnsi" w:cstheme="minorHAnsi"/>
                <w:b/>
                <w:szCs w:val="22"/>
              </w:rPr>
              <w:t xml:space="preserve"> Longsight Road Clayton le Dale BB1 9EX</w:t>
            </w:r>
          </w:p>
        </w:tc>
      </w:tr>
      <w:tr w:rsidR="008C75E4" w:rsidRPr="008C75E4" w:rsidTr="007346A8">
        <w:trPr>
          <w:trHeight w:hRule="exact" w:val="144"/>
          <w:jc w:val="center"/>
        </w:trPr>
        <w:tc>
          <w:tcPr>
            <w:tcW w:w="9493" w:type="dxa"/>
            <w:gridSpan w:val="15"/>
            <w:tcBorders>
              <w:left w:val="nil"/>
              <w:right w:val="nil"/>
            </w:tcBorders>
            <w:tcMar>
              <w:top w:w="57" w:type="dxa"/>
              <w:bottom w:w="57" w:type="dxa"/>
            </w:tcMar>
          </w:tcPr>
          <w:p w:rsidR="00A95D89" w:rsidRPr="00504440" w:rsidRDefault="00A95D89" w:rsidP="007E0D23">
            <w:pPr>
              <w:tabs>
                <w:tab w:val="left" w:pos="2667"/>
              </w:tabs>
              <w:rPr>
                <w:rFonts w:ascii="Calibri" w:hAnsi="Calibri"/>
                <w:b/>
                <w:sz w:val="4"/>
                <w:szCs w:val="4"/>
              </w:rPr>
            </w:pPr>
          </w:p>
        </w:tc>
      </w:tr>
      <w:tr w:rsidR="008C75E4" w:rsidRPr="008C75E4" w:rsidTr="007346A8">
        <w:trPr>
          <w:jc w:val="center"/>
        </w:trPr>
        <w:tc>
          <w:tcPr>
            <w:tcW w:w="3075" w:type="dxa"/>
            <w:gridSpan w:val="6"/>
            <w:tcMar>
              <w:top w:w="57" w:type="dxa"/>
              <w:bottom w:w="57" w:type="dxa"/>
            </w:tcMar>
          </w:tcPr>
          <w:p w:rsidR="00C618DB" w:rsidRPr="008C75E4" w:rsidRDefault="00C618DB">
            <w:pPr>
              <w:rPr>
                <w:rFonts w:ascii="Calibri" w:hAnsi="Calibri"/>
                <w:b/>
                <w:szCs w:val="22"/>
              </w:rPr>
            </w:pPr>
            <w:r w:rsidRPr="008C75E4">
              <w:rPr>
                <w:rFonts w:ascii="Calibri" w:hAnsi="Calibri"/>
                <w:b/>
                <w:szCs w:val="22"/>
              </w:rPr>
              <w:t xml:space="preserve">CONSULTATIONS: </w:t>
            </w:r>
          </w:p>
        </w:tc>
        <w:tc>
          <w:tcPr>
            <w:tcW w:w="6418" w:type="dxa"/>
            <w:gridSpan w:val="9"/>
          </w:tcPr>
          <w:p w:rsidR="00C618DB" w:rsidRPr="008C75E4" w:rsidRDefault="00C618DB">
            <w:pPr>
              <w:rPr>
                <w:rFonts w:ascii="Calibri" w:hAnsi="Calibri"/>
                <w:b/>
                <w:szCs w:val="22"/>
              </w:rPr>
            </w:pPr>
            <w:r w:rsidRPr="008C75E4">
              <w:rPr>
                <w:rFonts w:ascii="Calibri" w:hAnsi="Calibri"/>
                <w:b/>
                <w:szCs w:val="22"/>
              </w:rPr>
              <w:t>Parish/Town Council</w:t>
            </w:r>
          </w:p>
        </w:tc>
      </w:tr>
      <w:tr w:rsidR="008C75E4" w:rsidRPr="004E7CFB" w:rsidTr="007346A8">
        <w:trPr>
          <w:jc w:val="center"/>
        </w:trPr>
        <w:tc>
          <w:tcPr>
            <w:tcW w:w="9493" w:type="dxa"/>
            <w:gridSpan w:val="15"/>
            <w:tcBorders>
              <w:bottom w:val="single" w:sz="4" w:space="0" w:color="BFBFBF" w:themeColor="background1" w:themeShade="BF"/>
            </w:tcBorders>
            <w:tcMar>
              <w:top w:w="57" w:type="dxa"/>
              <w:bottom w:w="57" w:type="dxa"/>
            </w:tcMar>
          </w:tcPr>
          <w:p w:rsidR="003A4376" w:rsidRPr="00831115" w:rsidRDefault="0094348F" w:rsidP="00831115">
            <w:pPr>
              <w:pStyle w:val="PlainText"/>
            </w:pPr>
            <w:r>
              <w:t>None received.</w:t>
            </w:r>
          </w:p>
        </w:tc>
      </w:tr>
      <w:tr w:rsidR="007346A8" w:rsidRPr="008C75E4" w:rsidTr="00B949E3">
        <w:trPr>
          <w:trHeight w:hRule="exact" w:val="144"/>
          <w:jc w:val="center"/>
        </w:trPr>
        <w:tc>
          <w:tcPr>
            <w:tcW w:w="9493" w:type="dxa"/>
            <w:gridSpan w:val="15"/>
            <w:tcBorders>
              <w:left w:val="nil"/>
              <w:right w:val="nil"/>
            </w:tcBorders>
            <w:tcMar>
              <w:top w:w="57" w:type="dxa"/>
              <w:bottom w:w="57" w:type="dxa"/>
            </w:tcMar>
          </w:tcPr>
          <w:p w:rsidR="007346A8" w:rsidRPr="00504440" w:rsidRDefault="007346A8" w:rsidP="00B949E3">
            <w:pPr>
              <w:jc w:val="both"/>
              <w:rPr>
                <w:rFonts w:ascii="Calibri" w:hAnsi="Calibri"/>
                <w:bCs/>
                <w:sz w:val="4"/>
                <w:szCs w:val="4"/>
              </w:rPr>
            </w:pPr>
          </w:p>
        </w:tc>
      </w:tr>
      <w:tr w:rsidR="007346A8" w:rsidRPr="00D2449B" w:rsidTr="007346A8">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jc w:val="center"/>
        </w:trPr>
        <w:tc>
          <w:tcPr>
            <w:tcW w:w="278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7346A8" w:rsidRPr="00D2449B" w:rsidRDefault="007346A8" w:rsidP="00B949E3">
            <w:pPr>
              <w:rPr>
                <w:rFonts w:ascii="Calibri" w:hAnsi="Calibri"/>
                <w:b/>
                <w:szCs w:val="22"/>
              </w:rPr>
            </w:pPr>
            <w:r w:rsidRPr="00D2449B">
              <w:rPr>
                <w:rFonts w:ascii="Calibri" w:hAnsi="Calibri"/>
                <w:b/>
                <w:szCs w:val="22"/>
              </w:rPr>
              <w:t xml:space="preserve">CONSULTATIONS: </w:t>
            </w:r>
          </w:p>
        </w:tc>
        <w:tc>
          <w:tcPr>
            <w:tcW w:w="671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346A8" w:rsidRPr="00D2449B" w:rsidRDefault="007346A8" w:rsidP="00B949E3">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7346A8" w:rsidRPr="00D2449B" w:rsidTr="007346A8">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jc w:val="center"/>
        </w:trPr>
        <w:tc>
          <w:tcPr>
            <w:tcW w:w="278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7346A8" w:rsidRPr="00D2449B" w:rsidRDefault="007346A8" w:rsidP="00B949E3">
            <w:pPr>
              <w:rPr>
                <w:rFonts w:ascii="Calibri" w:hAnsi="Calibri"/>
                <w:b/>
                <w:szCs w:val="22"/>
              </w:rPr>
            </w:pPr>
            <w:r w:rsidRPr="00D2449B">
              <w:rPr>
                <w:rFonts w:ascii="Calibri" w:hAnsi="Calibri"/>
                <w:b/>
                <w:szCs w:val="22"/>
              </w:rPr>
              <w:t>LCC Highways:</w:t>
            </w:r>
          </w:p>
        </w:tc>
        <w:tc>
          <w:tcPr>
            <w:tcW w:w="6713"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346A8" w:rsidRPr="00D2449B" w:rsidRDefault="007346A8" w:rsidP="00B949E3">
            <w:pPr>
              <w:rPr>
                <w:rFonts w:ascii="Calibri" w:hAnsi="Calibri"/>
                <w:b/>
                <w:szCs w:val="22"/>
              </w:rPr>
            </w:pPr>
          </w:p>
        </w:tc>
      </w:tr>
      <w:tr w:rsidR="007346A8" w:rsidRPr="00D2449B" w:rsidTr="007346A8">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jc w:val="center"/>
        </w:trPr>
        <w:tc>
          <w:tcPr>
            <w:tcW w:w="9493"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7346A8" w:rsidRPr="00C0704D" w:rsidRDefault="007346A8" w:rsidP="00B949E3">
            <w:pPr>
              <w:rPr>
                <w:rFonts w:ascii="Calibri" w:hAnsi="Calibri"/>
                <w:szCs w:val="22"/>
              </w:rPr>
            </w:pPr>
            <w:r>
              <w:rPr>
                <w:rFonts w:ascii="Calibri" w:hAnsi="Calibri"/>
                <w:szCs w:val="22"/>
              </w:rPr>
              <w:t>No objections</w:t>
            </w:r>
            <w:r w:rsidR="0076002E">
              <w:rPr>
                <w:rFonts w:ascii="Calibri" w:hAnsi="Calibri"/>
                <w:szCs w:val="22"/>
              </w:rPr>
              <w:t xml:space="preserve"> subject to planning conditions.</w:t>
            </w:r>
          </w:p>
        </w:tc>
      </w:tr>
      <w:tr w:rsidR="008C75E4" w:rsidRPr="008C75E4" w:rsidTr="007346A8">
        <w:trPr>
          <w:trHeight w:hRule="exact" w:val="144"/>
          <w:jc w:val="center"/>
        </w:trPr>
        <w:tc>
          <w:tcPr>
            <w:tcW w:w="9493" w:type="dxa"/>
            <w:gridSpan w:val="15"/>
            <w:tcBorders>
              <w:left w:val="nil"/>
              <w:right w:val="nil"/>
            </w:tcBorders>
            <w:tcMar>
              <w:top w:w="57" w:type="dxa"/>
              <w:bottom w:w="57" w:type="dxa"/>
            </w:tcMar>
          </w:tcPr>
          <w:p w:rsidR="00C618DB" w:rsidRPr="00504440" w:rsidRDefault="00C618DB" w:rsidP="006126D1">
            <w:pPr>
              <w:jc w:val="both"/>
              <w:rPr>
                <w:rFonts w:ascii="Calibri" w:hAnsi="Calibri"/>
                <w:bCs/>
                <w:sz w:val="4"/>
                <w:szCs w:val="4"/>
              </w:rPr>
            </w:pPr>
            <w:bookmarkStart w:id="1" w:name="_Hlk57274991"/>
          </w:p>
        </w:tc>
      </w:tr>
      <w:bookmarkEnd w:id="1"/>
      <w:tr w:rsidR="008C75E4" w:rsidRPr="008C75E4" w:rsidTr="007346A8">
        <w:trPr>
          <w:jc w:val="center"/>
        </w:trPr>
        <w:tc>
          <w:tcPr>
            <w:tcW w:w="3075" w:type="dxa"/>
            <w:gridSpan w:val="6"/>
            <w:tcMar>
              <w:top w:w="57" w:type="dxa"/>
              <w:bottom w:w="57" w:type="dxa"/>
            </w:tcMar>
          </w:tcPr>
          <w:p w:rsidR="00C0704D" w:rsidRPr="000E61F1" w:rsidRDefault="00C0704D" w:rsidP="006126D1">
            <w:pPr>
              <w:jc w:val="both"/>
              <w:rPr>
                <w:rFonts w:asciiTheme="minorHAnsi" w:hAnsiTheme="minorHAnsi"/>
                <w:b/>
                <w:szCs w:val="22"/>
              </w:rPr>
            </w:pPr>
            <w:r w:rsidRPr="000E61F1">
              <w:rPr>
                <w:rFonts w:asciiTheme="minorHAnsi" w:hAnsiTheme="minorHAnsi"/>
                <w:b/>
                <w:szCs w:val="22"/>
              </w:rPr>
              <w:t xml:space="preserve">CONSULTATIONS: </w:t>
            </w:r>
          </w:p>
        </w:tc>
        <w:tc>
          <w:tcPr>
            <w:tcW w:w="6418" w:type="dxa"/>
            <w:gridSpan w:val="9"/>
          </w:tcPr>
          <w:p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rsidTr="007346A8">
        <w:trPr>
          <w:jc w:val="center"/>
        </w:trPr>
        <w:tc>
          <w:tcPr>
            <w:tcW w:w="9493" w:type="dxa"/>
            <w:gridSpan w:val="15"/>
            <w:tcBorders>
              <w:bottom w:val="single" w:sz="4" w:space="0" w:color="BFBFBF" w:themeColor="background1" w:themeShade="BF"/>
            </w:tcBorders>
            <w:tcMar>
              <w:top w:w="57" w:type="dxa"/>
              <w:bottom w:w="57" w:type="dxa"/>
            </w:tcMar>
          </w:tcPr>
          <w:p w:rsidR="0094348F" w:rsidRPr="0076002E" w:rsidRDefault="0076002E" w:rsidP="0076002E">
            <w:pPr>
              <w:rPr>
                <w:rFonts w:asciiTheme="minorHAnsi" w:hAnsiTheme="minorHAnsi" w:cstheme="minorHAnsi"/>
                <w:iCs/>
              </w:rPr>
            </w:pPr>
            <w:r>
              <w:rPr>
                <w:rFonts w:asciiTheme="minorHAnsi" w:hAnsiTheme="minorHAnsi" w:cstheme="minorHAnsi"/>
                <w:iCs/>
              </w:rPr>
              <w:t>No representations have been received.</w:t>
            </w:r>
          </w:p>
        </w:tc>
      </w:tr>
      <w:tr w:rsidR="008C75E4" w:rsidRPr="008C75E4" w:rsidTr="007346A8">
        <w:trPr>
          <w:trHeight w:hRule="exact" w:val="144"/>
          <w:jc w:val="center"/>
        </w:trPr>
        <w:tc>
          <w:tcPr>
            <w:tcW w:w="9493" w:type="dxa"/>
            <w:gridSpan w:val="15"/>
            <w:tcBorders>
              <w:left w:val="nil"/>
              <w:right w:val="nil"/>
            </w:tcBorders>
            <w:tcMar>
              <w:top w:w="57" w:type="dxa"/>
              <w:bottom w:w="57" w:type="dxa"/>
            </w:tcMar>
          </w:tcPr>
          <w:p w:rsidR="00C0704D" w:rsidRPr="00504440" w:rsidRDefault="00C0704D" w:rsidP="006126D1">
            <w:pPr>
              <w:jc w:val="both"/>
              <w:rPr>
                <w:rFonts w:ascii="Calibri" w:hAnsi="Calibri"/>
                <w:sz w:val="4"/>
                <w:szCs w:val="4"/>
              </w:rPr>
            </w:pPr>
          </w:p>
        </w:tc>
      </w:tr>
      <w:tr w:rsidR="008C75E4" w:rsidRPr="0042757D" w:rsidTr="007346A8">
        <w:trPr>
          <w:jc w:val="center"/>
        </w:trPr>
        <w:tc>
          <w:tcPr>
            <w:tcW w:w="9493" w:type="dxa"/>
            <w:gridSpan w:val="15"/>
            <w:tcMar>
              <w:top w:w="57" w:type="dxa"/>
              <w:bottom w:w="57" w:type="dxa"/>
            </w:tcMar>
          </w:tcPr>
          <w:p w:rsidR="00C0704D" w:rsidRPr="0042757D" w:rsidRDefault="00C0704D" w:rsidP="006126D1">
            <w:pPr>
              <w:jc w:val="both"/>
              <w:rPr>
                <w:rFonts w:asciiTheme="minorHAnsi" w:hAnsiTheme="minorHAnsi" w:cstheme="minorHAnsi"/>
                <w:b/>
                <w:szCs w:val="22"/>
              </w:rPr>
            </w:pPr>
            <w:r w:rsidRPr="0042757D">
              <w:rPr>
                <w:rFonts w:asciiTheme="minorHAnsi" w:hAnsiTheme="minorHAnsi" w:cstheme="minorHAnsi"/>
                <w:b/>
                <w:szCs w:val="22"/>
              </w:rPr>
              <w:t>RELEVANT POLICIES AND SITE PLANNING HISTORY:</w:t>
            </w:r>
          </w:p>
        </w:tc>
      </w:tr>
      <w:tr w:rsidR="008C75E4" w:rsidRPr="0042757D" w:rsidTr="007346A8">
        <w:trPr>
          <w:trHeight w:val="864"/>
          <w:jc w:val="center"/>
        </w:trPr>
        <w:tc>
          <w:tcPr>
            <w:tcW w:w="9493" w:type="dxa"/>
            <w:gridSpan w:val="15"/>
            <w:tcMar>
              <w:top w:w="57" w:type="dxa"/>
              <w:bottom w:w="57" w:type="dxa"/>
            </w:tcMar>
          </w:tcPr>
          <w:p w:rsidR="0042757D" w:rsidRPr="00DF526A" w:rsidRDefault="0042757D" w:rsidP="0042757D">
            <w:pPr>
              <w:pStyle w:val="PLANNING"/>
              <w:rPr>
                <w:rFonts w:asciiTheme="minorHAnsi" w:hAnsiTheme="minorHAnsi" w:cstheme="minorHAnsi"/>
                <w:b/>
                <w:bCs/>
                <w:szCs w:val="22"/>
              </w:rPr>
            </w:pPr>
            <w:r w:rsidRPr="00DF526A">
              <w:rPr>
                <w:rFonts w:asciiTheme="minorHAnsi" w:hAnsiTheme="minorHAnsi" w:cstheme="minorHAnsi"/>
                <w:b/>
                <w:bCs/>
                <w:szCs w:val="22"/>
              </w:rPr>
              <w:t>Ribble Valley Core Strategy:</w:t>
            </w:r>
          </w:p>
          <w:p w:rsidR="0076002E" w:rsidRPr="0076002E" w:rsidRDefault="0076002E" w:rsidP="0076002E">
            <w:pPr>
              <w:pStyle w:val="Default"/>
              <w:rPr>
                <w:rFonts w:asciiTheme="minorHAnsi" w:hAnsiTheme="minorHAnsi" w:cstheme="minorHAnsi"/>
                <w:sz w:val="22"/>
                <w:szCs w:val="22"/>
              </w:rPr>
            </w:pPr>
            <w:r w:rsidRPr="0076002E">
              <w:rPr>
                <w:rFonts w:asciiTheme="minorHAnsi" w:hAnsiTheme="minorHAnsi" w:cstheme="minorHAnsi"/>
                <w:sz w:val="22"/>
                <w:szCs w:val="22"/>
              </w:rPr>
              <w:t>Key Statement DS1 – Development Strategy</w:t>
            </w:r>
          </w:p>
          <w:p w:rsidR="0076002E" w:rsidRPr="0076002E" w:rsidRDefault="0076002E" w:rsidP="0076002E">
            <w:pPr>
              <w:pStyle w:val="Default"/>
              <w:rPr>
                <w:rFonts w:asciiTheme="minorHAnsi" w:hAnsiTheme="minorHAnsi" w:cstheme="minorHAnsi"/>
                <w:sz w:val="22"/>
                <w:szCs w:val="22"/>
              </w:rPr>
            </w:pPr>
            <w:r w:rsidRPr="0076002E">
              <w:rPr>
                <w:rFonts w:asciiTheme="minorHAnsi" w:hAnsiTheme="minorHAnsi" w:cstheme="minorHAnsi"/>
                <w:sz w:val="22"/>
                <w:szCs w:val="22"/>
              </w:rPr>
              <w:t>Key Statement DS2 – Sustainable Development</w:t>
            </w:r>
          </w:p>
          <w:p w:rsidR="0076002E" w:rsidRPr="0076002E" w:rsidRDefault="0076002E" w:rsidP="0076002E">
            <w:pPr>
              <w:pStyle w:val="Default"/>
              <w:rPr>
                <w:rFonts w:asciiTheme="minorHAnsi" w:hAnsiTheme="minorHAnsi" w:cstheme="minorHAnsi"/>
                <w:sz w:val="22"/>
                <w:szCs w:val="22"/>
              </w:rPr>
            </w:pPr>
            <w:r w:rsidRPr="0076002E">
              <w:rPr>
                <w:rFonts w:asciiTheme="minorHAnsi" w:hAnsiTheme="minorHAnsi" w:cstheme="minorHAnsi"/>
                <w:sz w:val="22"/>
                <w:szCs w:val="22"/>
              </w:rPr>
              <w:t>Key Statement EN2 - Landscape</w:t>
            </w:r>
          </w:p>
          <w:p w:rsidR="0076002E" w:rsidRPr="0076002E" w:rsidRDefault="0076002E" w:rsidP="0076002E">
            <w:pPr>
              <w:pStyle w:val="Default"/>
              <w:rPr>
                <w:rFonts w:asciiTheme="minorHAnsi" w:hAnsiTheme="minorHAnsi" w:cstheme="minorHAnsi"/>
                <w:sz w:val="22"/>
                <w:szCs w:val="22"/>
              </w:rPr>
            </w:pPr>
            <w:r w:rsidRPr="0076002E">
              <w:rPr>
                <w:rFonts w:asciiTheme="minorHAnsi" w:hAnsiTheme="minorHAnsi" w:cstheme="minorHAnsi"/>
                <w:sz w:val="22"/>
                <w:szCs w:val="22"/>
              </w:rPr>
              <w:t>Key Statement H1 – Housing Provision</w:t>
            </w:r>
          </w:p>
          <w:p w:rsidR="0076002E" w:rsidRPr="0076002E" w:rsidRDefault="0076002E" w:rsidP="0076002E">
            <w:pPr>
              <w:pStyle w:val="Default"/>
              <w:rPr>
                <w:rFonts w:asciiTheme="minorHAnsi" w:hAnsiTheme="minorHAnsi" w:cstheme="minorHAnsi"/>
                <w:sz w:val="22"/>
                <w:szCs w:val="22"/>
              </w:rPr>
            </w:pPr>
            <w:r w:rsidRPr="0076002E">
              <w:rPr>
                <w:rFonts w:asciiTheme="minorHAnsi" w:hAnsiTheme="minorHAnsi" w:cstheme="minorHAnsi"/>
                <w:sz w:val="22"/>
                <w:szCs w:val="22"/>
              </w:rPr>
              <w:t>Policy DMG1 – General Considerations</w:t>
            </w:r>
          </w:p>
          <w:p w:rsidR="0076002E" w:rsidRPr="0076002E" w:rsidRDefault="0076002E" w:rsidP="0076002E">
            <w:pPr>
              <w:pStyle w:val="Default"/>
              <w:rPr>
                <w:rFonts w:asciiTheme="minorHAnsi" w:hAnsiTheme="minorHAnsi" w:cstheme="minorHAnsi"/>
                <w:sz w:val="22"/>
                <w:szCs w:val="22"/>
              </w:rPr>
            </w:pPr>
            <w:r w:rsidRPr="0076002E">
              <w:rPr>
                <w:rFonts w:asciiTheme="minorHAnsi" w:hAnsiTheme="minorHAnsi" w:cstheme="minorHAnsi"/>
                <w:sz w:val="22"/>
                <w:szCs w:val="22"/>
              </w:rPr>
              <w:t>Policy DMG2 – Strategic Considerations</w:t>
            </w:r>
          </w:p>
          <w:p w:rsidR="0076002E" w:rsidRPr="0076002E" w:rsidRDefault="0076002E" w:rsidP="0076002E">
            <w:pPr>
              <w:pStyle w:val="Default"/>
              <w:rPr>
                <w:rFonts w:asciiTheme="minorHAnsi" w:hAnsiTheme="minorHAnsi" w:cstheme="minorHAnsi"/>
                <w:sz w:val="22"/>
                <w:szCs w:val="22"/>
              </w:rPr>
            </w:pPr>
            <w:r w:rsidRPr="0076002E">
              <w:rPr>
                <w:rFonts w:asciiTheme="minorHAnsi" w:hAnsiTheme="minorHAnsi" w:cstheme="minorHAnsi"/>
                <w:sz w:val="22"/>
                <w:szCs w:val="22"/>
              </w:rPr>
              <w:t>Policy DMG3 – Transport and Mobility</w:t>
            </w:r>
          </w:p>
          <w:p w:rsidR="0076002E" w:rsidRPr="0076002E" w:rsidRDefault="0076002E" w:rsidP="0076002E">
            <w:pPr>
              <w:pStyle w:val="Default"/>
              <w:rPr>
                <w:rFonts w:asciiTheme="minorHAnsi" w:hAnsiTheme="minorHAnsi" w:cstheme="minorHAnsi"/>
                <w:sz w:val="22"/>
                <w:szCs w:val="22"/>
              </w:rPr>
            </w:pPr>
            <w:r w:rsidRPr="0076002E">
              <w:rPr>
                <w:rFonts w:asciiTheme="minorHAnsi" w:hAnsiTheme="minorHAnsi" w:cstheme="minorHAnsi"/>
                <w:sz w:val="22"/>
                <w:szCs w:val="22"/>
              </w:rPr>
              <w:t>Policy DME1 – Protecting Trees and Woodlands</w:t>
            </w:r>
          </w:p>
          <w:p w:rsidR="0076002E" w:rsidRPr="0076002E" w:rsidRDefault="0076002E" w:rsidP="0076002E">
            <w:pPr>
              <w:pStyle w:val="Default"/>
              <w:rPr>
                <w:rFonts w:asciiTheme="minorHAnsi" w:hAnsiTheme="minorHAnsi" w:cstheme="minorHAnsi"/>
                <w:sz w:val="22"/>
                <w:szCs w:val="22"/>
              </w:rPr>
            </w:pPr>
            <w:r w:rsidRPr="0076002E">
              <w:rPr>
                <w:rFonts w:asciiTheme="minorHAnsi" w:hAnsiTheme="minorHAnsi" w:cstheme="minorHAnsi"/>
                <w:sz w:val="22"/>
                <w:szCs w:val="22"/>
              </w:rPr>
              <w:t>Policy DME3 – Site and Species Protection and Conservation</w:t>
            </w:r>
          </w:p>
          <w:p w:rsidR="003520CC" w:rsidRDefault="0076002E" w:rsidP="0076002E">
            <w:pPr>
              <w:jc w:val="both"/>
              <w:rPr>
                <w:rFonts w:asciiTheme="minorHAnsi" w:hAnsiTheme="minorHAnsi" w:cstheme="minorHAnsi"/>
                <w:szCs w:val="22"/>
              </w:rPr>
            </w:pPr>
            <w:r w:rsidRPr="0076002E">
              <w:rPr>
                <w:rFonts w:asciiTheme="minorHAnsi" w:hAnsiTheme="minorHAnsi" w:cstheme="minorHAnsi"/>
                <w:szCs w:val="22"/>
              </w:rPr>
              <w:t>Policy DMH3 – Dwellings in the Open Countryside &amp; AONB</w:t>
            </w:r>
          </w:p>
          <w:p w:rsidR="0076002E" w:rsidRPr="00DF526A" w:rsidRDefault="0076002E" w:rsidP="0076002E">
            <w:pPr>
              <w:jc w:val="both"/>
              <w:rPr>
                <w:rFonts w:asciiTheme="minorHAnsi" w:hAnsiTheme="minorHAnsi" w:cstheme="minorHAnsi"/>
              </w:rPr>
            </w:pPr>
          </w:p>
          <w:p w:rsidR="0042757D" w:rsidRPr="00DF526A" w:rsidRDefault="0042757D" w:rsidP="0042757D">
            <w:pPr>
              <w:jc w:val="both"/>
              <w:rPr>
                <w:rFonts w:asciiTheme="minorHAnsi" w:hAnsiTheme="minorHAnsi" w:cstheme="minorHAnsi"/>
                <w:b/>
              </w:rPr>
            </w:pPr>
            <w:r w:rsidRPr="00DF526A">
              <w:rPr>
                <w:rFonts w:asciiTheme="minorHAnsi" w:hAnsiTheme="minorHAnsi" w:cstheme="minorHAnsi"/>
                <w:b/>
              </w:rPr>
              <w:t>National Planning Policy Framework</w:t>
            </w:r>
          </w:p>
          <w:p w:rsidR="000671C4" w:rsidRPr="007D0F8F" w:rsidRDefault="0042757D" w:rsidP="0042757D">
            <w:pPr>
              <w:jc w:val="both"/>
              <w:rPr>
                <w:rFonts w:asciiTheme="minorHAnsi" w:hAnsiTheme="minorHAnsi" w:cstheme="minorHAnsi"/>
                <w:b/>
              </w:rPr>
            </w:pPr>
            <w:r w:rsidRPr="00DF526A">
              <w:rPr>
                <w:rFonts w:asciiTheme="minorHAnsi" w:hAnsiTheme="minorHAnsi" w:cstheme="minorHAnsi"/>
                <w:b/>
              </w:rPr>
              <w:t>National Planning Policy Guidance</w:t>
            </w:r>
          </w:p>
        </w:tc>
      </w:tr>
      <w:tr w:rsidR="008C75E4" w:rsidRPr="0042757D" w:rsidTr="00455961">
        <w:trPr>
          <w:trHeight w:val="359"/>
          <w:jc w:val="center"/>
        </w:trPr>
        <w:tc>
          <w:tcPr>
            <w:tcW w:w="9493" w:type="dxa"/>
            <w:gridSpan w:val="15"/>
            <w:tcBorders>
              <w:bottom w:val="single" w:sz="4" w:space="0" w:color="BFBFBF" w:themeColor="background1" w:themeShade="BF"/>
            </w:tcBorders>
            <w:tcMar>
              <w:top w:w="57" w:type="dxa"/>
              <w:bottom w:w="57" w:type="dxa"/>
            </w:tcMar>
          </w:tcPr>
          <w:p w:rsidR="00C0704D" w:rsidRDefault="00C0704D" w:rsidP="006126D1">
            <w:pPr>
              <w:pStyle w:val="PLANNING"/>
              <w:rPr>
                <w:rFonts w:asciiTheme="minorHAnsi" w:hAnsiTheme="minorHAnsi" w:cstheme="minorHAnsi"/>
                <w:b/>
                <w:bCs/>
                <w:szCs w:val="22"/>
              </w:rPr>
            </w:pPr>
            <w:r w:rsidRPr="00A2019B">
              <w:rPr>
                <w:rFonts w:asciiTheme="minorHAnsi" w:hAnsiTheme="minorHAnsi" w:cstheme="minorHAnsi"/>
                <w:b/>
                <w:bCs/>
                <w:szCs w:val="22"/>
              </w:rPr>
              <w:t>Relevant Planning History:</w:t>
            </w:r>
          </w:p>
          <w:p w:rsidR="007346A8" w:rsidRPr="00EC56C1" w:rsidRDefault="008555A0" w:rsidP="0042757D">
            <w:pPr>
              <w:jc w:val="both"/>
              <w:rPr>
                <w:rFonts w:asciiTheme="minorHAnsi" w:hAnsiTheme="minorHAnsi" w:cstheme="minorHAnsi"/>
                <w:szCs w:val="22"/>
                <w:shd w:val="clear" w:color="auto" w:fill="FFFFFF"/>
              </w:rPr>
            </w:pPr>
            <w:r w:rsidRPr="00EC56C1">
              <w:rPr>
                <w:rFonts w:asciiTheme="minorHAnsi" w:hAnsiTheme="minorHAnsi" w:cstheme="minorHAnsi"/>
                <w:szCs w:val="22"/>
              </w:rPr>
              <w:t xml:space="preserve">3/2019/0783 - </w:t>
            </w:r>
            <w:r w:rsidR="009534E3" w:rsidRPr="00EC56C1">
              <w:rPr>
                <w:rFonts w:asciiTheme="minorHAnsi" w:hAnsiTheme="minorHAnsi" w:cstheme="minorHAnsi"/>
                <w:szCs w:val="22"/>
                <w:shd w:val="clear" w:color="auto" w:fill="FFFFFF"/>
              </w:rPr>
              <w:t>Replacement five-bedroom dwelling and site redevelopment including extension of residential curtilage and erection of stables. Approved with conditions.</w:t>
            </w:r>
          </w:p>
          <w:p w:rsidR="009534E3" w:rsidRPr="00EC56C1" w:rsidRDefault="009534E3" w:rsidP="0042757D">
            <w:pPr>
              <w:jc w:val="both"/>
              <w:rPr>
                <w:rFonts w:asciiTheme="minorHAnsi" w:hAnsiTheme="minorHAnsi" w:cstheme="minorHAnsi"/>
                <w:szCs w:val="22"/>
              </w:rPr>
            </w:pPr>
          </w:p>
          <w:p w:rsidR="009534E3" w:rsidRDefault="009534E3" w:rsidP="0042757D">
            <w:pPr>
              <w:jc w:val="both"/>
              <w:rPr>
                <w:rFonts w:asciiTheme="minorHAnsi" w:hAnsiTheme="minorHAnsi" w:cstheme="minorHAnsi"/>
                <w:szCs w:val="22"/>
              </w:rPr>
            </w:pPr>
            <w:r w:rsidRPr="00EC56C1">
              <w:rPr>
                <w:rFonts w:asciiTheme="minorHAnsi" w:hAnsiTheme="minorHAnsi" w:cstheme="minorHAnsi"/>
                <w:szCs w:val="22"/>
              </w:rPr>
              <w:t>3/2020/0278 - Discharge of conditions 9 (Japanese Knotweed) and 12 (Bat roost) on application 3/2019/0783</w:t>
            </w:r>
            <w:r w:rsidR="00EC56C1" w:rsidRPr="00EC56C1">
              <w:rPr>
                <w:rFonts w:asciiTheme="minorHAnsi" w:hAnsiTheme="minorHAnsi" w:cstheme="minorHAnsi"/>
                <w:szCs w:val="22"/>
              </w:rPr>
              <w:t>.</w:t>
            </w:r>
          </w:p>
          <w:p w:rsidR="00EC56C1" w:rsidRPr="003520CC" w:rsidRDefault="00EC56C1" w:rsidP="0042757D">
            <w:pPr>
              <w:jc w:val="both"/>
              <w:rPr>
                <w:rFonts w:asciiTheme="minorHAnsi" w:hAnsiTheme="minorHAnsi" w:cstheme="minorHAnsi"/>
              </w:rPr>
            </w:pPr>
          </w:p>
        </w:tc>
      </w:tr>
      <w:tr w:rsidR="008C75E4" w:rsidRPr="008C75E4" w:rsidTr="007346A8">
        <w:trPr>
          <w:trHeight w:hRule="exact" w:val="144"/>
          <w:jc w:val="center"/>
        </w:trPr>
        <w:tc>
          <w:tcPr>
            <w:tcW w:w="9493" w:type="dxa"/>
            <w:gridSpan w:val="15"/>
            <w:tcBorders>
              <w:left w:val="nil"/>
              <w:right w:val="nil"/>
            </w:tcBorders>
            <w:tcMar>
              <w:top w:w="57" w:type="dxa"/>
              <w:bottom w:w="57" w:type="dxa"/>
            </w:tcMar>
          </w:tcPr>
          <w:p w:rsidR="003F16AA" w:rsidRPr="000D2CC4" w:rsidRDefault="003F16AA" w:rsidP="00504440">
            <w:pPr>
              <w:rPr>
                <w:sz w:val="4"/>
                <w:szCs w:val="4"/>
              </w:rPr>
            </w:pPr>
          </w:p>
        </w:tc>
      </w:tr>
      <w:tr w:rsidR="008C75E4" w:rsidRPr="008C75E4" w:rsidTr="007346A8">
        <w:trPr>
          <w:jc w:val="center"/>
        </w:trPr>
        <w:tc>
          <w:tcPr>
            <w:tcW w:w="9493" w:type="dxa"/>
            <w:gridSpan w:val="15"/>
            <w:tcMar>
              <w:top w:w="57" w:type="dxa"/>
              <w:bottom w:w="57" w:type="dxa"/>
            </w:tcMar>
          </w:tcPr>
          <w:p w:rsidR="00C0704D" w:rsidRPr="000D2CC4" w:rsidRDefault="00C0704D" w:rsidP="006126D1">
            <w:pPr>
              <w:jc w:val="both"/>
              <w:rPr>
                <w:rFonts w:ascii="Calibri" w:hAnsi="Calibri"/>
                <w:b/>
                <w:szCs w:val="22"/>
              </w:rPr>
            </w:pPr>
            <w:r w:rsidRPr="000D2CC4">
              <w:rPr>
                <w:rFonts w:ascii="Calibri" w:hAnsi="Calibri"/>
                <w:b/>
                <w:bCs/>
                <w:szCs w:val="22"/>
              </w:rPr>
              <w:t>ASSESSMENT PROPOSED DEVELOPMENT:</w:t>
            </w:r>
            <w:r w:rsidR="00A2019B">
              <w:rPr>
                <w:rFonts w:ascii="Calibri" w:hAnsi="Calibri"/>
                <w:b/>
                <w:bCs/>
                <w:szCs w:val="22"/>
              </w:rPr>
              <w:t xml:space="preserve"> </w:t>
            </w:r>
          </w:p>
        </w:tc>
      </w:tr>
      <w:tr w:rsidR="008C75E4" w:rsidRPr="008C75E4" w:rsidTr="007346A8">
        <w:trPr>
          <w:trHeight w:val="1152"/>
          <w:jc w:val="center"/>
        </w:trPr>
        <w:tc>
          <w:tcPr>
            <w:tcW w:w="9493" w:type="dxa"/>
            <w:gridSpan w:val="15"/>
            <w:tcMar>
              <w:top w:w="57" w:type="dxa"/>
              <w:bottom w:w="57" w:type="dxa"/>
            </w:tcMar>
          </w:tcPr>
          <w:p w:rsidR="00AE4372" w:rsidRDefault="00C0704D" w:rsidP="007D0F8F">
            <w:pPr>
              <w:pStyle w:val="Header"/>
              <w:tabs>
                <w:tab w:val="clear" w:pos="4153"/>
                <w:tab w:val="clear" w:pos="8306"/>
              </w:tabs>
              <w:contextualSpacing/>
              <w:jc w:val="both"/>
              <w:rPr>
                <w:rFonts w:asciiTheme="minorHAnsi" w:hAnsiTheme="minorHAnsi" w:cstheme="minorHAnsi"/>
                <w:b/>
                <w:szCs w:val="22"/>
              </w:rPr>
            </w:pPr>
            <w:r w:rsidRPr="009F7A60">
              <w:rPr>
                <w:rFonts w:asciiTheme="minorHAnsi" w:hAnsiTheme="minorHAnsi" w:cstheme="minorHAnsi"/>
                <w:b/>
                <w:szCs w:val="22"/>
              </w:rPr>
              <w:t>Site Description and Surrounding Area:</w:t>
            </w:r>
          </w:p>
          <w:p w:rsidR="0076002E" w:rsidRDefault="0076002E" w:rsidP="0076002E">
            <w:pPr>
              <w:pStyle w:val="Header"/>
              <w:jc w:val="both"/>
              <w:rPr>
                <w:rFonts w:asciiTheme="minorHAnsi" w:hAnsiTheme="minorHAnsi" w:cstheme="minorHAnsi"/>
              </w:rPr>
            </w:pPr>
            <w:r w:rsidRPr="0076002E">
              <w:rPr>
                <w:rFonts w:asciiTheme="minorHAnsi" w:hAnsiTheme="minorHAnsi" w:cstheme="minorHAnsi"/>
              </w:rPr>
              <w:t xml:space="preserve">This </w:t>
            </w:r>
            <w:r w:rsidR="00422DC2">
              <w:rPr>
                <w:rFonts w:asciiTheme="minorHAnsi" w:hAnsiTheme="minorHAnsi" w:cstheme="minorHAnsi"/>
              </w:rPr>
              <w:t xml:space="preserve">is a re-submission of a previously approved application for the erection of a replacement dwelling and re-development of the associated stable building and yard at </w:t>
            </w:r>
            <w:r w:rsidRPr="0076002E">
              <w:rPr>
                <w:rFonts w:asciiTheme="minorHAnsi" w:hAnsiTheme="minorHAnsi" w:cstheme="minorHAnsi"/>
              </w:rPr>
              <w:t>Ingledale, Longsight Road, Clayton le Dale.</w:t>
            </w:r>
          </w:p>
          <w:p w:rsidR="0076002E" w:rsidRPr="0076002E" w:rsidRDefault="0076002E" w:rsidP="0076002E">
            <w:pPr>
              <w:pStyle w:val="Header"/>
              <w:jc w:val="both"/>
              <w:rPr>
                <w:rFonts w:asciiTheme="minorHAnsi" w:hAnsiTheme="minorHAnsi" w:cstheme="minorHAnsi"/>
              </w:rPr>
            </w:pPr>
          </w:p>
          <w:p w:rsidR="0076002E" w:rsidRDefault="0076002E" w:rsidP="0076002E">
            <w:pPr>
              <w:pStyle w:val="Header"/>
              <w:jc w:val="both"/>
              <w:rPr>
                <w:rFonts w:asciiTheme="minorHAnsi" w:hAnsiTheme="minorHAnsi" w:cstheme="minorHAnsi"/>
              </w:rPr>
            </w:pPr>
            <w:r w:rsidRPr="0076002E">
              <w:rPr>
                <w:rFonts w:asciiTheme="minorHAnsi" w:hAnsiTheme="minorHAnsi" w:cstheme="minorHAnsi"/>
              </w:rPr>
              <w:t>The application building is a modest bungalow faced with render and a tile roof and is located on the north side of the A59, Longsight Road in an area designated as open countryside. To the rear of the building is an extensive area of hardstanding, timber stable building, a polytunnel and ménage.</w:t>
            </w:r>
          </w:p>
          <w:p w:rsidR="00116200" w:rsidRPr="00146BF5" w:rsidRDefault="00116200" w:rsidP="0076002E">
            <w:pPr>
              <w:pStyle w:val="Header"/>
              <w:tabs>
                <w:tab w:val="clear" w:pos="4153"/>
                <w:tab w:val="clear" w:pos="8306"/>
              </w:tabs>
              <w:jc w:val="both"/>
              <w:rPr>
                <w:rFonts w:asciiTheme="minorHAnsi" w:hAnsiTheme="minorHAnsi" w:cstheme="minorHAnsi"/>
              </w:rPr>
            </w:pPr>
          </w:p>
        </w:tc>
      </w:tr>
      <w:tr w:rsidR="008C75E4" w:rsidRPr="008C75E4" w:rsidTr="007346A8">
        <w:trPr>
          <w:trHeight w:val="1152"/>
          <w:jc w:val="center"/>
        </w:trPr>
        <w:tc>
          <w:tcPr>
            <w:tcW w:w="9493" w:type="dxa"/>
            <w:gridSpan w:val="15"/>
            <w:tcMar>
              <w:top w:w="57" w:type="dxa"/>
              <w:bottom w:w="57" w:type="dxa"/>
            </w:tcMar>
          </w:tcPr>
          <w:p w:rsidR="00F8201E" w:rsidRDefault="00C0704D" w:rsidP="00422DC2">
            <w:pPr>
              <w:pStyle w:val="Header"/>
              <w:tabs>
                <w:tab w:val="clear" w:pos="4153"/>
                <w:tab w:val="clear" w:pos="8306"/>
              </w:tabs>
              <w:jc w:val="both"/>
              <w:rPr>
                <w:rFonts w:asciiTheme="minorHAnsi" w:hAnsiTheme="minorHAnsi" w:cstheme="minorHAnsi"/>
                <w:b/>
                <w:szCs w:val="22"/>
              </w:rPr>
            </w:pPr>
            <w:r w:rsidRPr="00014E55">
              <w:rPr>
                <w:rFonts w:asciiTheme="minorHAnsi" w:hAnsiTheme="minorHAnsi" w:cstheme="minorHAnsi"/>
                <w:b/>
                <w:szCs w:val="22"/>
              </w:rPr>
              <w:t>Proposed Development for which consent is sought:</w:t>
            </w:r>
          </w:p>
          <w:p w:rsidR="008555A0" w:rsidRDefault="00422DC2" w:rsidP="00422DC2">
            <w:pPr>
              <w:pStyle w:val="Header"/>
              <w:jc w:val="both"/>
              <w:rPr>
                <w:rFonts w:asciiTheme="minorHAnsi" w:hAnsiTheme="minorHAnsi" w:cstheme="minorHAnsi"/>
                <w:szCs w:val="22"/>
              </w:rPr>
            </w:pPr>
            <w:r w:rsidRPr="00422DC2">
              <w:rPr>
                <w:rFonts w:asciiTheme="minorHAnsi" w:hAnsiTheme="minorHAnsi" w:cstheme="minorHAnsi"/>
                <w:szCs w:val="22"/>
              </w:rPr>
              <w:t xml:space="preserve">It is proposed to replace the existing bungalow with a </w:t>
            </w:r>
            <w:r w:rsidR="00444E3F">
              <w:rPr>
                <w:rFonts w:asciiTheme="minorHAnsi" w:hAnsiTheme="minorHAnsi" w:cstheme="minorHAnsi"/>
                <w:szCs w:val="22"/>
              </w:rPr>
              <w:t>4</w:t>
            </w:r>
            <w:r w:rsidRPr="00422DC2">
              <w:rPr>
                <w:rFonts w:asciiTheme="minorHAnsi" w:hAnsiTheme="minorHAnsi" w:cstheme="minorHAnsi"/>
                <w:szCs w:val="22"/>
              </w:rPr>
              <w:t xml:space="preserve">-bed two storey dwelling built from natural stone and a slate roof. </w:t>
            </w:r>
            <w:r w:rsidR="008555A0">
              <w:rPr>
                <w:rFonts w:asciiTheme="minorHAnsi" w:hAnsiTheme="minorHAnsi" w:cstheme="minorHAnsi"/>
                <w:szCs w:val="22"/>
              </w:rPr>
              <w:t>The design of the replacement dwelling now proposed includes a basement level. The dwelling would be faced with stone and slate and would have a ridge height of 7.6 metres. It would be set back into the plot</w:t>
            </w:r>
            <w:r w:rsidR="00576664">
              <w:rPr>
                <w:rFonts w:asciiTheme="minorHAnsi" w:hAnsiTheme="minorHAnsi" w:cstheme="minorHAnsi"/>
                <w:szCs w:val="22"/>
              </w:rPr>
              <w:t xml:space="preserve"> by approximately 23 metres.</w:t>
            </w:r>
          </w:p>
          <w:p w:rsidR="008555A0" w:rsidRDefault="008555A0" w:rsidP="00422DC2">
            <w:pPr>
              <w:pStyle w:val="Header"/>
              <w:jc w:val="both"/>
              <w:rPr>
                <w:rFonts w:asciiTheme="minorHAnsi" w:hAnsiTheme="minorHAnsi" w:cstheme="minorHAnsi"/>
                <w:szCs w:val="22"/>
              </w:rPr>
            </w:pPr>
          </w:p>
          <w:p w:rsidR="008555A0" w:rsidRDefault="008555A0" w:rsidP="00422DC2">
            <w:pPr>
              <w:pStyle w:val="Header"/>
              <w:jc w:val="both"/>
              <w:rPr>
                <w:rFonts w:asciiTheme="minorHAnsi" w:hAnsiTheme="minorHAnsi" w:cstheme="minorHAnsi"/>
                <w:szCs w:val="22"/>
              </w:rPr>
            </w:pPr>
            <w:r>
              <w:rPr>
                <w:rFonts w:asciiTheme="minorHAnsi" w:hAnsiTheme="minorHAnsi" w:cstheme="minorHAnsi"/>
                <w:szCs w:val="22"/>
              </w:rPr>
              <w:t xml:space="preserve">To the rear of the existing bungalow is a yard and stables. It is proposed to re-arrange the layout by replacing the existing stables close to the western site boundary with a new stable building on the east side. The proposed stable building would be notably larger than the one it would replace but is no larger in size and scale than the stable building already granted permission under application </w:t>
            </w:r>
            <w:r w:rsidRPr="008555A0">
              <w:rPr>
                <w:rFonts w:asciiTheme="minorHAnsi" w:hAnsiTheme="minorHAnsi" w:cstheme="minorHAnsi"/>
                <w:szCs w:val="22"/>
              </w:rPr>
              <w:t>3/2019/0783</w:t>
            </w:r>
            <w:r>
              <w:rPr>
                <w:rFonts w:asciiTheme="minorHAnsi" w:hAnsiTheme="minorHAnsi" w:cstheme="minorHAnsi"/>
                <w:szCs w:val="22"/>
              </w:rPr>
              <w:t xml:space="preserve"> and its design has been simplified and now proposes a low-level natural stone finish instead of concrete.</w:t>
            </w:r>
          </w:p>
          <w:p w:rsidR="008555A0" w:rsidRDefault="008555A0" w:rsidP="00422DC2">
            <w:pPr>
              <w:pStyle w:val="Header"/>
              <w:jc w:val="both"/>
              <w:rPr>
                <w:rFonts w:asciiTheme="minorHAnsi" w:hAnsiTheme="minorHAnsi" w:cstheme="minorHAnsi"/>
                <w:szCs w:val="22"/>
              </w:rPr>
            </w:pPr>
          </w:p>
          <w:p w:rsidR="008555A0" w:rsidRDefault="008555A0" w:rsidP="00422DC2">
            <w:pPr>
              <w:pStyle w:val="Header"/>
              <w:jc w:val="both"/>
              <w:rPr>
                <w:rFonts w:asciiTheme="minorHAnsi" w:hAnsiTheme="minorHAnsi" w:cstheme="minorHAnsi"/>
                <w:szCs w:val="22"/>
              </w:rPr>
            </w:pPr>
            <w:r>
              <w:rPr>
                <w:rFonts w:asciiTheme="minorHAnsi" w:hAnsiTheme="minorHAnsi" w:cstheme="minorHAnsi"/>
                <w:szCs w:val="22"/>
              </w:rPr>
              <w:t>Alterations are proposed to the access including walls to the entrance and new access gates set back from the edge of the carriageway.</w:t>
            </w:r>
          </w:p>
          <w:p w:rsidR="00D64562" w:rsidRPr="00BC6600" w:rsidRDefault="00D64562" w:rsidP="008555A0">
            <w:pPr>
              <w:pStyle w:val="Header"/>
              <w:tabs>
                <w:tab w:val="clear" w:pos="4153"/>
                <w:tab w:val="clear" w:pos="8306"/>
              </w:tabs>
              <w:jc w:val="both"/>
              <w:rPr>
                <w:rFonts w:asciiTheme="minorHAnsi" w:hAnsiTheme="minorHAnsi" w:cstheme="minorHAnsi"/>
                <w:szCs w:val="22"/>
              </w:rPr>
            </w:pPr>
          </w:p>
        </w:tc>
      </w:tr>
      <w:tr w:rsidR="00C214A6" w:rsidRPr="008C75E4" w:rsidTr="007346A8">
        <w:trPr>
          <w:trHeight w:val="864"/>
          <w:jc w:val="center"/>
        </w:trPr>
        <w:tc>
          <w:tcPr>
            <w:tcW w:w="9493" w:type="dxa"/>
            <w:gridSpan w:val="15"/>
            <w:tcMar>
              <w:top w:w="57" w:type="dxa"/>
              <w:bottom w:w="57" w:type="dxa"/>
            </w:tcMar>
          </w:tcPr>
          <w:p w:rsidR="00FB2660" w:rsidRDefault="000671C4" w:rsidP="00422DC2">
            <w:pPr>
              <w:contextualSpacing/>
              <w:jc w:val="both"/>
              <w:rPr>
                <w:rFonts w:asciiTheme="minorHAnsi" w:hAnsiTheme="minorHAnsi" w:cstheme="minorHAnsi"/>
                <w:b/>
                <w:bCs/>
                <w:szCs w:val="22"/>
              </w:rPr>
            </w:pPr>
            <w:r w:rsidRPr="000671C4">
              <w:rPr>
                <w:rFonts w:asciiTheme="minorHAnsi" w:hAnsiTheme="minorHAnsi" w:cstheme="minorHAnsi"/>
                <w:b/>
                <w:bCs/>
                <w:szCs w:val="22"/>
              </w:rPr>
              <w:t>Observations/Consideration of Matters Raised/Conclusion:</w:t>
            </w:r>
          </w:p>
          <w:p w:rsidR="008555A0" w:rsidRPr="008555A0" w:rsidRDefault="00422CFA" w:rsidP="00422DC2">
            <w:pPr>
              <w:contextualSpacing/>
              <w:jc w:val="both"/>
              <w:rPr>
                <w:rFonts w:asciiTheme="minorHAnsi" w:hAnsiTheme="minorHAnsi" w:cstheme="minorHAnsi"/>
                <w:bCs/>
                <w:szCs w:val="22"/>
              </w:rPr>
            </w:pPr>
            <w:r>
              <w:rPr>
                <w:rFonts w:asciiTheme="minorHAnsi" w:hAnsiTheme="minorHAnsi" w:cstheme="minorHAnsi"/>
                <w:szCs w:val="22"/>
              </w:rPr>
              <w:t>As set out in Core Strategy Policy DMH3, the erection of a replacement dwelling in the open countryside is acceptable subject to no adverse impact on the landscape or need to extend the existing curtilage.</w:t>
            </w:r>
            <w:r>
              <w:rPr>
                <w:rFonts w:asciiTheme="minorHAnsi" w:hAnsiTheme="minorHAnsi" w:cstheme="minorHAnsi"/>
                <w:bCs/>
                <w:szCs w:val="22"/>
              </w:rPr>
              <w:t xml:space="preserve"> Furthermore, the proposed private stables are considered to be a small-scale recreational development appropriate for a rural area as required in the open countryside by Policy DMG2.</w:t>
            </w:r>
          </w:p>
          <w:p w:rsidR="008555A0" w:rsidRDefault="008555A0" w:rsidP="00422DC2">
            <w:pPr>
              <w:contextualSpacing/>
              <w:jc w:val="both"/>
              <w:rPr>
                <w:rFonts w:asciiTheme="minorHAnsi" w:hAnsiTheme="minorHAnsi" w:cstheme="minorHAnsi"/>
                <w:b/>
                <w:bCs/>
                <w:szCs w:val="22"/>
              </w:rPr>
            </w:pPr>
          </w:p>
          <w:p w:rsidR="009A32ED" w:rsidRDefault="009A32ED" w:rsidP="00422DC2">
            <w:pPr>
              <w:contextualSpacing/>
              <w:jc w:val="both"/>
              <w:rPr>
                <w:rFonts w:asciiTheme="minorHAnsi" w:hAnsiTheme="minorHAnsi" w:cstheme="minorHAnsi"/>
                <w:b/>
                <w:bCs/>
                <w:szCs w:val="22"/>
              </w:rPr>
            </w:pPr>
            <w:r>
              <w:rPr>
                <w:rFonts w:asciiTheme="minorHAnsi" w:hAnsiTheme="minorHAnsi" w:cstheme="minorHAnsi"/>
                <w:b/>
                <w:bCs/>
                <w:szCs w:val="22"/>
              </w:rPr>
              <w:t>Design and Appearance:</w:t>
            </w:r>
          </w:p>
          <w:p w:rsidR="009A32ED" w:rsidRDefault="00950076" w:rsidP="00422DC2">
            <w:pPr>
              <w:contextualSpacing/>
              <w:jc w:val="both"/>
              <w:rPr>
                <w:rFonts w:asciiTheme="minorHAnsi" w:hAnsiTheme="minorHAnsi" w:cstheme="minorHAnsi"/>
                <w:bCs/>
                <w:szCs w:val="22"/>
              </w:rPr>
            </w:pPr>
            <w:r>
              <w:rPr>
                <w:rFonts w:asciiTheme="minorHAnsi" w:hAnsiTheme="minorHAnsi" w:cstheme="minorHAnsi"/>
                <w:bCs/>
                <w:szCs w:val="22"/>
              </w:rPr>
              <w:t xml:space="preserve">The </w:t>
            </w:r>
            <w:r w:rsidR="00422CFA">
              <w:rPr>
                <w:rFonts w:asciiTheme="minorHAnsi" w:hAnsiTheme="minorHAnsi" w:cstheme="minorHAnsi"/>
                <w:bCs/>
                <w:szCs w:val="22"/>
              </w:rPr>
              <w:t xml:space="preserve">proposed </w:t>
            </w:r>
            <w:r>
              <w:rPr>
                <w:rFonts w:asciiTheme="minorHAnsi" w:hAnsiTheme="minorHAnsi" w:cstheme="minorHAnsi"/>
                <w:bCs/>
                <w:szCs w:val="22"/>
              </w:rPr>
              <w:t>replacement dwelling would not be dissimilar in size and scale when compared with the already appro</w:t>
            </w:r>
            <w:r w:rsidRPr="009A32ED">
              <w:rPr>
                <w:rFonts w:asciiTheme="minorHAnsi" w:hAnsiTheme="minorHAnsi" w:cstheme="minorHAnsi"/>
                <w:bCs/>
                <w:szCs w:val="22"/>
              </w:rPr>
              <w:t xml:space="preserve">ved development and is considered to </w:t>
            </w:r>
            <w:r w:rsidR="00576664">
              <w:rPr>
                <w:rFonts w:asciiTheme="minorHAnsi" w:hAnsiTheme="minorHAnsi" w:cstheme="minorHAnsi"/>
                <w:bCs/>
                <w:szCs w:val="22"/>
              </w:rPr>
              <w:t>be an improvement on the previous design</w:t>
            </w:r>
            <w:r w:rsidR="00422CFA">
              <w:rPr>
                <w:rFonts w:asciiTheme="minorHAnsi" w:hAnsiTheme="minorHAnsi" w:cstheme="minorHAnsi"/>
                <w:bCs/>
                <w:szCs w:val="22"/>
              </w:rPr>
              <w:t>, being set wall back from the carriageway.</w:t>
            </w:r>
          </w:p>
          <w:p w:rsidR="00576664" w:rsidRPr="009A32ED" w:rsidRDefault="00576664" w:rsidP="00422DC2">
            <w:pPr>
              <w:contextualSpacing/>
              <w:jc w:val="both"/>
              <w:rPr>
                <w:rFonts w:asciiTheme="minorHAnsi" w:hAnsiTheme="minorHAnsi" w:cstheme="minorHAnsi"/>
                <w:bCs/>
                <w:szCs w:val="22"/>
              </w:rPr>
            </w:pPr>
          </w:p>
          <w:p w:rsidR="008555A0" w:rsidRPr="009A32ED" w:rsidRDefault="00950076" w:rsidP="00422DC2">
            <w:pPr>
              <w:contextualSpacing/>
              <w:jc w:val="both"/>
              <w:rPr>
                <w:rFonts w:asciiTheme="minorHAnsi" w:hAnsiTheme="minorHAnsi" w:cstheme="minorHAnsi"/>
              </w:rPr>
            </w:pPr>
            <w:r w:rsidRPr="009A32ED">
              <w:rPr>
                <w:rFonts w:asciiTheme="minorHAnsi" w:hAnsiTheme="minorHAnsi" w:cstheme="minorHAnsi"/>
                <w:bCs/>
                <w:szCs w:val="22"/>
              </w:rPr>
              <w:t>In addition, the proposed stable building design has been simplified and now incorporates natural stone walling at low level. Whilst the stable building is relatively large for what would normally be considered acceptable for personal use</w:t>
            </w:r>
            <w:r w:rsidR="00576664">
              <w:rPr>
                <w:rFonts w:asciiTheme="minorHAnsi" w:hAnsiTheme="minorHAnsi" w:cstheme="minorHAnsi"/>
                <w:bCs/>
                <w:szCs w:val="22"/>
              </w:rPr>
              <w:t>, as part of the previous application</w:t>
            </w:r>
            <w:r w:rsidRPr="009A32ED">
              <w:rPr>
                <w:rFonts w:asciiTheme="minorHAnsi" w:hAnsiTheme="minorHAnsi" w:cstheme="minorHAnsi"/>
                <w:bCs/>
                <w:szCs w:val="22"/>
              </w:rPr>
              <w:t xml:space="preserve"> the applicant provided evidence </w:t>
            </w:r>
            <w:r w:rsidR="009A32ED" w:rsidRPr="009A32ED">
              <w:rPr>
                <w:rFonts w:asciiTheme="minorHAnsi" w:hAnsiTheme="minorHAnsi" w:cstheme="minorHAnsi"/>
                <w:bCs/>
                <w:szCs w:val="22"/>
              </w:rPr>
              <w:t xml:space="preserve">in the form of </w:t>
            </w:r>
            <w:r w:rsidR="009A32ED" w:rsidRPr="009A32ED">
              <w:rPr>
                <w:rFonts w:asciiTheme="minorHAnsi" w:hAnsiTheme="minorHAnsi" w:cstheme="minorHAnsi"/>
              </w:rPr>
              <w:t>animal passports and a personal statement to demonstrate that her family have a long history of keeping horses for leisure and recreation.</w:t>
            </w:r>
          </w:p>
          <w:p w:rsidR="009A32ED" w:rsidRPr="009A32ED" w:rsidRDefault="009A32ED" w:rsidP="00422DC2">
            <w:pPr>
              <w:contextualSpacing/>
              <w:jc w:val="both"/>
              <w:rPr>
                <w:rFonts w:asciiTheme="minorHAnsi" w:hAnsiTheme="minorHAnsi" w:cstheme="minorHAnsi"/>
                <w:bCs/>
                <w:szCs w:val="22"/>
              </w:rPr>
            </w:pPr>
          </w:p>
          <w:p w:rsidR="009A32ED" w:rsidRDefault="009A32ED" w:rsidP="009A32ED">
            <w:pPr>
              <w:pStyle w:val="BodyText2"/>
              <w:spacing w:after="0" w:line="240" w:lineRule="auto"/>
              <w:rPr>
                <w:rFonts w:asciiTheme="minorHAnsi" w:hAnsiTheme="minorHAnsi" w:cstheme="minorHAnsi"/>
              </w:rPr>
            </w:pPr>
            <w:r w:rsidRPr="009A32ED">
              <w:rPr>
                <w:rFonts w:asciiTheme="minorHAnsi" w:hAnsiTheme="minorHAnsi" w:cstheme="minorHAnsi"/>
              </w:rPr>
              <w:t xml:space="preserve">Should consent be granted there would be a requirement for the stables to be limited to use by the applicant for private use (rather than any formal livery or business) and therefore the intensity should not raise any adverse issues for the adjacent properties. Furthermore, </w:t>
            </w:r>
            <w:r w:rsidR="00455961">
              <w:rPr>
                <w:rFonts w:asciiTheme="minorHAnsi" w:hAnsiTheme="minorHAnsi" w:cstheme="minorHAnsi"/>
              </w:rPr>
              <w:t xml:space="preserve">details of any external lighting must be submitted to the LPA prior to installation </w:t>
            </w:r>
            <w:r w:rsidRPr="009A32ED">
              <w:rPr>
                <w:rFonts w:asciiTheme="minorHAnsi" w:hAnsiTheme="minorHAnsi" w:cstheme="minorHAnsi"/>
              </w:rPr>
              <w:t>since careful consideration would need to be given to any lighting scheme to ensure it would not harm the amenity of the area or the residential amenity of the occupants of adjacent homes.</w:t>
            </w:r>
          </w:p>
          <w:p w:rsidR="009A32ED" w:rsidRDefault="009A32ED" w:rsidP="009A32ED">
            <w:pPr>
              <w:pStyle w:val="BodyText2"/>
              <w:spacing w:after="0" w:line="240" w:lineRule="auto"/>
              <w:rPr>
                <w:rFonts w:asciiTheme="minorHAnsi" w:hAnsiTheme="minorHAnsi" w:cstheme="minorHAnsi"/>
              </w:rPr>
            </w:pPr>
          </w:p>
          <w:p w:rsidR="009A32ED" w:rsidRPr="009A32ED" w:rsidRDefault="009A32ED" w:rsidP="009A32ED">
            <w:pPr>
              <w:pStyle w:val="BodyText2"/>
              <w:spacing w:after="0" w:line="240" w:lineRule="auto"/>
              <w:rPr>
                <w:rFonts w:asciiTheme="minorHAnsi" w:hAnsiTheme="minorHAnsi" w:cstheme="minorHAnsi"/>
              </w:rPr>
            </w:pPr>
            <w:r>
              <w:rPr>
                <w:rFonts w:asciiTheme="minorHAnsi" w:hAnsiTheme="minorHAnsi" w:cstheme="minorHAnsi"/>
              </w:rPr>
              <w:t xml:space="preserve">It is noted that changes are proposed to the frontage boundary </w:t>
            </w:r>
            <w:r w:rsidR="0045604C">
              <w:rPr>
                <w:rFonts w:asciiTheme="minorHAnsi" w:hAnsiTheme="minorHAnsi" w:cstheme="minorHAnsi"/>
              </w:rPr>
              <w:t>as shown on submitted illustrations. It is not thought that the introduction of a low stone wall</w:t>
            </w:r>
            <w:r w:rsidR="00EC623E">
              <w:rPr>
                <w:rFonts w:asciiTheme="minorHAnsi" w:hAnsiTheme="minorHAnsi" w:cstheme="minorHAnsi"/>
              </w:rPr>
              <w:t xml:space="preserve"> with</w:t>
            </w:r>
            <w:r w:rsidR="0045604C">
              <w:rPr>
                <w:rFonts w:asciiTheme="minorHAnsi" w:hAnsiTheme="minorHAnsi" w:cstheme="minorHAnsi"/>
              </w:rPr>
              <w:t xml:space="preserve"> railings above would be unduly harmful and </w:t>
            </w:r>
            <w:r w:rsidR="0045604C">
              <w:rPr>
                <w:rFonts w:asciiTheme="minorHAnsi" w:hAnsiTheme="minorHAnsi" w:cstheme="minorHAnsi"/>
              </w:rPr>
              <w:lastRenderedPageBreak/>
              <w:t>would replicate the boundary treatment seen at the neighbouring dwelling. However, further details of boundary treatments including the new access gates and piers would be required to be submitted and agreed by the LPA.</w:t>
            </w:r>
          </w:p>
          <w:p w:rsidR="009A32ED" w:rsidRDefault="009A32ED" w:rsidP="00422DC2">
            <w:pPr>
              <w:contextualSpacing/>
              <w:jc w:val="both"/>
              <w:rPr>
                <w:rFonts w:asciiTheme="minorHAnsi" w:hAnsiTheme="minorHAnsi" w:cstheme="minorHAnsi"/>
                <w:bCs/>
                <w:szCs w:val="22"/>
              </w:rPr>
            </w:pPr>
          </w:p>
          <w:p w:rsidR="009A32ED" w:rsidRDefault="009A32ED" w:rsidP="00422DC2">
            <w:pPr>
              <w:contextualSpacing/>
              <w:jc w:val="both"/>
              <w:rPr>
                <w:rFonts w:asciiTheme="minorHAnsi" w:hAnsiTheme="minorHAnsi" w:cstheme="minorHAnsi"/>
                <w:b/>
                <w:bCs/>
                <w:szCs w:val="22"/>
              </w:rPr>
            </w:pPr>
            <w:r>
              <w:rPr>
                <w:rFonts w:asciiTheme="minorHAnsi" w:hAnsiTheme="minorHAnsi" w:cstheme="minorHAnsi"/>
                <w:b/>
                <w:bCs/>
                <w:szCs w:val="22"/>
              </w:rPr>
              <w:t>Impact on Residential Amenity:</w:t>
            </w:r>
          </w:p>
          <w:p w:rsidR="009A32ED" w:rsidRPr="009A32ED" w:rsidRDefault="009A32ED" w:rsidP="00422DC2">
            <w:pPr>
              <w:contextualSpacing/>
              <w:jc w:val="both"/>
              <w:rPr>
                <w:rFonts w:asciiTheme="minorHAnsi" w:hAnsiTheme="minorHAnsi" w:cstheme="minorHAnsi"/>
                <w:bCs/>
                <w:szCs w:val="22"/>
              </w:rPr>
            </w:pPr>
            <w:r w:rsidRPr="009A32ED">
              <w:rPr>
                <w:rFonts w:asciiTheme="minorHAnsi" w:hAnsiTheme="minorHAnsi" w:cstheme="minorHAnsi"/>
                <w:bCs/>
                <w:szCs w:val="22"/>
              </w:rPr>
              <w:t>There is one adjacent dwelling to the west, Sunnydale. This property is set well back into its plot away from the closest boundary with Ingledale.</w:t>
            </w:r>
            <w:r>
              <w:rPr>
                <w:rFonts w:asciiTheme="minorHAnsi" w:hAnsiTheme="minorHAnsi" w:cstheme="minorHAnsi"/>
                <w:bCs/>
                <w:szCs w:val="22"/>
              </w:rPr>
              <w:t xml:space="preserve"> As proposed, there are first floor habitable room windows on the side elevation of the new dwelling facing Sunnydale. The proposed windows to serve bedroom two would, however, be </w:t>
            </w:r>
            <w:r w:rsidR="00783042">
              <w:rPr>
                <w:rFonts w:asciiTheme="minorHAnsi" w:hAnsiTheme="minorHAnsi" w:cstheme="minorHAnsi"/>
                <w:bCs/>
                <w:szCs w:val="22"/>
              </w:rPr>
              <w:t>around 15 metres</w:t>
            </w:r>
            <w:r>
              <w:rPr>
                <w:rFonts w:asciiTheme="minorHAnsi" w:hAnsiTheme="minorHAnsi" w:cstheme="minorHAnsi"/>
                <w:bCs/>
                <w:szCs w:val="22"/>
              </w:rPr>
              <w:t xml:space="preserve"> from the garden boundary of Sunnydale and therefore this relationship is considered acceptable. </w:t>
            </w:r>
          </w:p>
          <w:p w:rsidR="00422DC2" w:rsidRPr="0045604C" w:rsidRDefault="00422DC2" w:rsidP="00422DC2">
            <w:pPr>
              <w:pStyle w:val="BodyText2"/>
              <w:spacing w:after="0" w:line="240" w:lineRule="auto"/>
              <w:rPr>
                <w:rFonts w:asciiTheme="minorHAnsi" w:hAnsiTheme="minorHAnsi" w:cstheme="minorHAnsi"/>
              </w:rPr>
            </w:pPr>
          </w:p>
          <w:p w:rsidR="00422DC2" w:rsidRPr="0045604C" w:rsidRDefault="00422DC2" w:rsidP="00422DC2">
            <w:pPr>
              <w:pStyle w:val="BodyText2"/>
              <w:spacing w:after="0" w:line="240" w:lineRule="auto"/>
              <w:rPr>
                <w:rFonts w:asciiTheme="minorHAnsi" w:hAnsiTheme="minorHAnsi" w:cstheme="minorHAnsi"/>
                <w:b/>
              </w:rPr>
            </w:pPr>
            <w:r w:rsidRPr="0045604C">
              <w:rPr>
                <w:rFonts w:asciiTheme="minorHAnsi" w:hAnsiTheme="minorHAnsi" w:cstheme="minorHAnsi"/>
                <w:b/>
              </w:rPr>
              <w:t>Highway Safety</w:t>
            </w:r>
            <w:r w:rsidR="0045604C">
              <w:rPr>
                <w:rFonts w:asciiTheme="minorHAnsi" w:hAnsiTheme="minorHAnsi" w:cstheme="minorHAnsi"/>
                <w:b/>
              </w:rPr>
              <w:t>:</w:t>
            </w:r>
          </w:p>
          <w:p w:rsidR="0045604C" w:rsidRPr="0045604C" w:rsidRDefault="00422DC2" w:rsidP="00422DC2">
            <w:pPr>
              <w:pStyle w:val="BodyText2"/>
              <w:spacing w:after="0" w:line="240" w:lineRule="auto"/>
              <w:rPr>
                <w:rFonts w:asciiTheme="minorHAnsi" w:hAnsiTheme="minorHAnsi" w:cstheme="minorHAnsi"/>
              </w:rPr>
            </w:pPr>
            <w:r w:rsidRPr="0045604C">
              <w:rPr>
                <w:rFonts w:asciiTheme="minorHAnsi" w:hAnsiTheme="minorHAnsi" w:cstheme="minorHAnsi"/>
              </w:rPr>
              <w:t xml:space="preserve">The proposal seeks to utilise the existing entrance from the A59. There would be some alterations to the existing access including widening at the point it abuts the highway. The County Surveyor </w:t>
            </w:r>
            <w:r w:rsidR="0045604C" w:rsidRPr="0045604C">
              <w:rPr>
                <w:rFonts w:asciiTheme="minorHAnsi" w:hAnsiTheme="minorHAnsi" w:cstheme="minorHAnsi"/>
              </w:rPr>
              <w:t>has raised no objections subject to the imposition of planning conditions including that any gates be set back 10 metres from the highway to allow vehicles to pull clear and that the first 10 metres into the site be surfaced in a bound material.</w:t>
            </w:r>
          </w:p>
          <w:p w:rsidR="00422DC2" w:rsidRPr="00422DC2" w:rsidRDefault="00422DC2" w:rsidP="00422DC2">
            <w:pPr>
              <w:pStyle w:val="BodyText2"/>
              <w:spacing w:after="0" w:line="240" w:lineRule="auto"/>
              <w:rPr>
                <w:rFonts w:asciiTheme="minorHAnsi" w:hAnsiTheme="minorHAnsi" w:cstheme="minorHAnsi"/>
                <w:color w:val="FF0000"/>
              </w:rPr>
            </w:pPr>
          </w:p>
          <w:p w:rsidR="00422DC2" w:rsidRPr="009534E3" w:rsidRDefault="00422DC2" w:rsidP="00422DC2">
            <w:pPr>
              <w:pStyle w:val="BodyText2"/>
              <w:spacing w:after="0" w:line="240" w:lineRule="auto"/>
              <w:rPr>
                <w:rFonts w:asciiTheme="minorHAnsi" w:hAnsiTheme="minorHAnsi" w:cstheme="minorHAnsi"/>
                <w:b/>
              </w:rPr>
            </w:pPr>
            <w:r w:rsidRPr="009534E3">
              <w:rPr>
                <w:rFonts w:asciiTheme="minorHAnsi" w:hAnsiTheme="minorHAnsi" w:cstheme="minorHAnsi"/>
                <w:b/>
              </w:rPr>
              <w:t>Trees and Ecology</w:t>
            </w:r>
            <w:r w:rsidR="009534E3">
              <w:rPr>
                <w:rFonts w:asciiTheme="minorHAnsi" w:hAnsiTheme="minorHAnsi" w:cstheme="minorHAnsi"/>
                <w:b/>
              </w:rPr>
              <w:t>:</w:t>
            </w:r>
          </w:p>
          <w:p w:rsidR="00422DC2" w:rsidRPr="0045604C" w:rsidRDefault="00422DC2" w:rsidP="00422DC2">
            <w:pPr>
              <w:pStyle w:val="BodyText2"/>
              <w:spacing w:after="0" w:line="240" w:lineRule="auto"/>
              <w:rPr>
                <w:rFonts w:asciiTheme="minorHAnsi" w:hAnsiTheme="minorHAnsi" w:cstheme="minorHAnsi"/>
              </w:rPr>
            </w:pPr>
            <w:r w:rsidRPr="0045604C">
              <w:rPr>
                <w:rFonts w:asciiTheme="minorHAnsi" w:hAnsiTheme="minorHAnsi" w:cstheme="minorHAnsi"/>
              </w:rPr>
              <w:t xml:space="preserve">The application is submitted with an Arboricultural Constraints Appraisal and Preliminary Ecological Appraisal. The development proposals would require the removal of </w:t>
            </w:r>
            <w:r w:rsidR="009534E3">
              <w:rPr>
                <w:rFonts w:asciiTheme="minorHAnsi" w:hAnsiTheme="minorHAnsi" w:cstheme="minorHAnsi"/>
              </w:rPr>
              <w:t>a number of trees</w:t>
            </w:r>
            <w:r w:rsidRPr="0045604C">
              <w:rPr>
                <w:rFonts w:asciiTheme="minorHAnsi" w:hAnsiTheme="minorHAnsi" w:cstheme="minorHAnsi"/>
              </w:rPr>
              <w:t xml:space="preserve"> located within the main body of the site. </w:t>
            </w:r>
            <w:r w:rsidR="009534E3">
              <w:rPr>
                <w:rFonts w:asciiTheme="minorHAnsi" w:hAnsiTheme="minorHAnsi" w:cstheme="minorHAnsi"/>
              </w:rPr>
              <w:t>These</w:t>
            </w:r>
            <w:r w:rsidRPr="0045604C">
              <w:rPr>
                <w:rFonts w:asciiTheme="minorHAnsi" w:hAnsiTheme="minorHAnsi" w:cstheme="minorHAnsi"/>
              </w:rPr>
              <w:t xml:space="preserve"> trees are classified as being of low quality and value and </w:t>
            </w:r>
            <w:r w:rsidR="009534E3">
              <w:rPr>
                <w:rFonts w:asciiTheme="minorHAnsi" w:hAnsiTheme="minorHAnsi" w:cstheme="minorHAnsi"/>
              </w:rPr>
              <w:t xml:space="preserve">they </w:t>
            </w:r>
            <w:r w:rsidRPr="0045604C">
              <w:rPr>
                <w:rFonts w:asciiTheme="minorHAnsi" w:hAnsiTheme="minorHAnsi" w:cstheme="minorHAnsi"/>
              </w:rPr>
              <w:t>are not considered to make a notable contribution to the visual amenity of the area</w:t>
            </w:r>
            <w:r w:rsidR="00576664">
              <w:rPr>
                <w:rFonts w:asciiTheme="minorHAnsi" w:hAnsiTheme="minorHAnsi" w:cstheme="minorHAnsi"/>
              </w:rPr>
              <w:t xml:space="preserve"> t</w:t>
            </w:r>
            <w:r w:rsidRPr="0045604C">
              <w:rPr>
                <w:rFonts w:asciiTheme="minorHAnsi" w:hAnsiTheme="minorHAnsi" w:cstheme="minorHAnsi"/>
              </w:rPr>
              <w:t>herefore</w:t>
            </w:r>
            <w:r w:rsidR="009534E3">
              <w:rPr>
                <w:rFonts w:asciiTheme="minorHAnsi" w:hAnsiTheme="minorHAnsi" w:cstheme="minorHAnsi"/>
              </w:rPr>
              <w:t>,</w:t>
            </w:r>
            <w:r w:rsidRPr="0045604C">
              <w:rPr>
                <w:rFonts w:asciiTheme="minorHAnsi" w:hAnsiTheme="minorHAnsi" w:cstheme="minorHAnsi"/>
              </w:rPr>
              <w:t xml:space="preserve"> their removal does not raise serious concern. The remainder of the trees at the site would be retained and should be protected during the period of construction</w:t>
            </w:r>
            <w:r w:rsidR="009534E3">
              <w:rPr>
                <w:rFonts w:asciiTheme="minorHAnsi" w:hAnsiTheme="minorHAnsi" w:cstheme="minorHAnsi"/>
              </w:rPr>
              <w:t>,</w:t>
            </w:r>
            <w:r w:rsidRPr="0045604C">
              <w:rPr>
                <w:rFonts w:asciiTheme="minorHAnsi" w:hAnsiTheme="minorHAnsi" w:cstheme="minorHAnsi"/>
              </w:rPr>
              <w:t xml:space="preserve"> should consent be granted.</w:t>
            </w:r>
            <w:r w:rsidR="009534E3">
              <w:rPr>
                <w:rFonts w:asciiTheme="minorHAnsi" w:hAnsiTheme="minorHAnsi" w:cstheme="minorHAnsi"/>
              </w:rPr>
              <w:t xml:space="preserve"> It is also considered reasonable to request the submission of landscaping scheme for the site which should include a suitable number of replacement trees.</w:t>
            </w:r>
          </w:p>
          <w:p w:rsidR="00422DC2" w:rsidRPr="00422DC2" w:rsidRDefault="00422DC2" w:rsidP="00422DC2">
            <w:pPr>
              <w:pStyle w:val="BodyText2"/>
              <w:spacing w:after="0" w:line="240" w:lineRule="auto"/>
              <w:rPr>
                <w:rFonts w:asciiTheme="minorHAnsi" w:hAnsiTheme="minorHAnsi" w:cstheme="minorHAnsi"/>
                <w:color w:val="FF0000"/>
              </w:rPr>
            </w:pPr>
          </w:p>
          <w:p w:rsidR="00422DC2" w:rsidRPr="009534E3" w:rsidRDefault="00422DC2" w:rsidP="00422DC2">
            <w:pPr>
              <w:pStyle w:val="BodyText2"/>
              <w:spacing w:after="0" w:line="240" w:lineRule="auto"/>
              <w:rPr>
                <w:rFonts w:asciiTheme="minorHAnsi" w:hAnsiTheme="minorHAnsi" w:cstheme="minorHAnsi"/>
              </w:rPr>
            </w:pPr>
            <w:r w:rsidRPr="0045604C">
              <w:rPr>
                <w:rFonts w:asciiTheme="minorHAnsi" w:hAnsiTheme="minorHAnsi" w:cstheme="minorHAnsi"/>
              </w:rPr>
              <w:t xml:space="preserve">The ecological assessment confirms that no evidence of bats was found during inspection of the existing bungalow or stables. All trees on the site were also inspected for roosting bats and there is no bat roost potential associated with any of the trees on site. However, the surrounding area provides a good foraging area for bats and </w:t>
            </w:r>
            <w:r w:rsidRPr="009534E3">
              <w:rPr>
                <w:rFonts w:asciiTheme="minorHAnsi" w:hAnsiTheme="minorHAnsi" w:cstheme="minorHAnsi"/>
              </w:rPr>
              <w:t>there would be a requirement, in accordance with Policy DME3 of the Core Strategy, for biodiversity enhancement to be sought in the form of artificial bat roosting features.</w:t>
            </w:r>
          </w:p>
          <w:p w:rsidR="00422DC2" w:rsidRPr="009534E3" w:rsidRDefault="00422DC2" w:rsidP="00422DC2">
            <w:pPr>
              <w:pStyle w:val="BodyText2"/>
              <w:spacing w:after="0" w:line="240" w:lineRule="auto"/>
              <w:rPr>
                <w:rFonts w:asciiTheme="minorHAnsi" w:hAnsiTheme="minorHAnsi" w:cstheme="minorHAnsi"/>
              </w:rPr>
            </w:pPr>
          </w:p>
          <w:p w:rsidR="00422DC2" w:rsidRPr="009534E3" w:rsidRDefault="00422DC2" w:rsidP="00422DC2">
            <w:pPr>
              <w:pStyle w:val="BodyText2"/>
              <w:spacing w:after="0" w:line="240" w:lineRule="auto"/>
              <w:rPr>
                <w:rFonts w:asciiTheme="minorHAnsi" w:hAnsiTheme="minorHAnsi" w:cstheme="minorHAnsi"/>
              </w:rPr>
            </w:pPr>
            <w:r w:rsidRPr="009534E3">
              <w:rPr>
                <w:rFonts w:asciiTheme="minorHAnsi" w:hAnsiTheme="minorHAnsi" w:cstheme="minorHAnsi"/>
              </w:rPr>
              <w:t xml:space="preserve">The recommendations section of the report highlights a number of principles to be applied including avoidance of illumination of boundary hedges. As stated above, any lighting scheme must be </w:t>
            </w:r>
            <w:r w:rsidR="00455961">
              <w:rPr>
                <w:rFonts w:asciiTheme="minorHAnsi" w:hAnsiTheme="minorHAnsi" w:cstheme="minorHAnsi"/>
              </w:rPr>
              <w:t>submitted to the Council for approval prior to installation</w:t>
            </w:r>
            <w:r w:rsidRPr="009534E3">
              <w:rPr>
                <w:rFonts w:asciiTheme="minorHAnsi" w:hAnsiTheme="minorHAnsi" w:cstheme="minorHAnsi"/>
              </w:rPr>
              <w:t xml:space="preserve"> </w:t>
            </w:r>
            <w:r w:rsidR="00455961">
              <w:rPr>
                <w:rFonts w:asciiTheme="minorHAnsi" w:hAnsiTheme="minorHAnsi" w:cstheme="minorHAnsi"/>
              </w:rPr>
              <w:t>and should consider the impact on protected species</w:t>
            </w:r>
            <w:r w:rsidRPr="009534E3">
              <w:rPr>
                <w:rFonts w:asciiTheme="minorHAnsi" w:hAnsiTheme="minorHAnsi" w:cstheme="minorHAnsi"/>
              </w:rPr>
              <w:t>.</w:t>
            </w:r>
          </w:p>
          <w:p w:rsidR="00422DC2" w:rsidRPr="009534E3" w:rsidRDefault="00422DC2" w:rsidP="00422DC2">
            <w:pPr>
              <w:pStyle w:val="BodyText2"/>
              <w:spacing w:after="0" w:line="240" w:lineRule="auto"/>
              <w:rPr>
                <w:rFonts w:asciiTheme="minorHAnsi" w:hAnsiTheme="minorHAnsi" w:cstheme="minorHAnsi"/>
              </w:rPr>
            </w:pPr>
          </w:p>
          <w:p w:rsidR="00422DC2" w:rsidRPr="009534E3" w:rsidRDefault="00422DC2" w:rsidP="00422DC2">
            <w:pPr>
              <w:pStyle w:val="BodyText2"/>
              <w:spacing w:after="0" w:line="240" w:lineRule="auto"/>
              <w:rPr>
                <w:rFonts w:asciiTheme="minorHAnsi" w:hAnsiTheme="minorHAnsi" w:cstheme="minorHAnsi"/>
              </w:rPr>
            </w:pPr>
            <w:r w:rsidRPr="009534E3">
              <w:rPr>
                <w:rFonts w:asciiTheme="minorHAnsi" w:hAnsiTheme="minorHAnsi" w:cstheme="minorHAnsi"/>
              </w:rPr>
              <w:t>No evidence of nesting birds was found in any of the buildings earmarked for demolition. There would be a requirement for pre-commencement checks of vegetation/trees before any removal takes place during the bird nesting season.</w:t>
            </w:r>
          </w:p>
          <w:p w:rsidR="00422DC2" w:rsidRPr="009534E3" w:rsidRDefault="00422DC2" w:rsidP="00422DC2">
            <w:pPr>
              <w:pStyle w:val="BodyText2"/>
              <w:spacing w:after="0" w:line="240" w:lineRule="auto"/>
              <w:rPr>
                <w:rFonts w:asciiTheme="minorHAnsi" w:hAnsiTheme="minorHAnsi" w:cstheme="minorHAnsi"/>
              </w:rPr>
            </w:pPr>
          </w:p>
          <w:p w:rsidR="00422DC2" w:rsidRPr="009534E3" w:rsidRDefault="00422DC2" w:rsidP="00422DC2">
            <w:pPr>
              <w:pStyle w:val="BodyText2"/>
              <w:spacing w:after="0" w:line="240" w:lineRule="auto"/>
              <w:rPr>
                <w:rFonts w:asciiTheme="minorHAnsi" w:hAnsiTheme="minorHAnsi" w:cstheme="minorHAnsi"/>
                <w:b/>
              </w:rPr>
            </w:pPr>
            <w:r w:rsidRPr="009534E3">
              <w:rPr>
                <w:rFonts w:asciiTheme="minorHAnsi" w:hAnsiTheme="minorHAnsi" w:cstheme="minorHAnsi"/>
                <w:b/>
              </w:rPr>
              <w:t>Conclusion</w:t>
            </w:r>
            <w:r w:rsidR="009534E3" w:rsidRPr="009534E3">
              <w:rPr>
                <w:rFonts w:asciiTheme="minorHAnsi" w:hAnsiTheme="minorHAnsi" w:cstheme="minorHAnsi"/>
                <w:b/>
              </w:rPr>
              <w:t>:</w:t>
            </w:r>
          </w:p>
          <w:p w:rsidR="00576664" w:rsidRDefault="00422DC2" w:rsidP="00422DC2">
            <w:pPr>
              <w:pStyle w:val="BodyText2"/>
              <w:spacing w:after="0" w:line="240" w:lineRule="auto"/>
              <w:rPr>
                <w:rFonts w:asciiTheme="minorHAnsi" w:hAnsiTheme="minorHAnsi" w:cstheme="minorHAnsi"/>
              </w:rPr>
            </w:pPr>
            <w:r w:rsidRPr="009534E3">
              <w:rPr>
                <w:rFonts w:asciiTheme="minorHAnsi" w:hAnsiTheme="minorHAnsi" w:cstheme="minorHAnsi"/>
              </w:rPr>
              <w:t xml:space="preserve">In summary the proposed replacement dwelling would not adversely affect neighbour amenity or the appearance of the local area and the proposed stable building is considered to be appropriate in terms of its design, scale and materials. </w:t>
            </w:r>
            <w:r w:rsidR="00576664">
              <w:rPr>
                <w:rFonts w:asciiTheme="minorHAnsi" w:hAnsiTheme="minorHAnsi" w:cstheme="minorHAnsi"/>
              </w:rPr>
              <w:t>It was noted during the site visit that a riding arena have been created to the rear of the plot, beyond the application site. The applicant has been advised to submit a separate planning application in order to regularise this development.</w:t>
            </w:r>
          </w:p>
          <w:p w:rsidR="00576664" w:rsidRDefault="00576664" w:rsidP="00422DC2">
            <w:pPr>
              <w:pStyle w:val="BodyText2"/>
              <w:spacing w:after="0" w:line="240" w:lineRule="auto"/>
              <w:rPr>
                <w:rFonts w:asciiTheme="minorHAnsi" w:hAnsiTheme="minorHAnsi" w:cstheme="minorHAnsi"/>
              </w:rPr>
            </w:pPr>
          </w:p>
          <w:p w:rsidR="000671C4" w:rsidRPr="009534E3" w:rsidRDefault="00422DC2" w:rsidP="00422DC2">
            <w:pPr>
              <w:pStyle w:val="BodyText2"/>
              <w:spacing w:after="0" w:line="240" w:lineRule="auto"/>
              <w:rPr>
                <w:rFonts w:asciiTheme="minorHAnsi" w:hAnsiTheme="minorHAnsi" w:cstheme="minorHAnsi"/>
                <w:color w:val="FF0000"/>
              </w:rPr>
            </w:pPr>
            <w:r w:rsidRPr="009534E3">
              <w:rPr>
                <w:rFonts w:asciiTheme="minorHAnsi" w:hAnsiTheme="minorHAnsi" w:cstheme="minorHAnsi"/>
              </w:rPr>
              <w:t>It is recommended that the application be approved subject to appropriate planning conditions.</w:t>
            </w:r>
          </w:p>
        </w:tc>
      </w:tr>
      <w:tr w:rsidR="000E61F1" w:rsidRPr="003452DF" w:rsidTr="007346A8">
        <w:trPr>
          <w:jc w:val="center"/>
        </w:trPr>
        <w:tc>
          <w:tcPr>
            <w:tcW w:w="2837" w:type="dxa"/>
            <w:gridSpan w:val="5"/>
            <w:tcMar>
              <w:top w:w="57" w:type="dxa"/>
              <w:bottom w:w="57" w:type="dxa"/>
            </w:tcMar>
          </w:tcPr>
          <w:p w:rsidR="00C0704D" w:rsidRPr="000671C4" w:rsidRDefault="00C0704D" w:rsidP="006126D1">
            <w:pPr>
              <w:jc w:val="both"/>
              <w:rPr>
                <w:rFonts w:asciiTheme="minorHAnsi" w:hAnsiTheme="minorHAnsi" w:cstheme="minorHAnsi"/>
                <w:b/>
                <w:bCs/>
                <w:szCs w:val="22"/>
              </w:rPr>
            </w:pPr>
            <w:r w:rsidRPr="000671C4">
              <w:rPr>
                <w:rFonts w:asciiTheme="minorHAnsi" w:hAnsiTheme="minorHAnsi" w:cstheme="minorHAnsi"/>
                <w:b/>
                <w:szCs w:val="22"/>
              </w:rPr>
              <w:lastRenderedPageBreak/>
              <w:t>RECOMMENDATION</w:t>
            </w:r>
            <w:r w:rsidRPr="000671C4">
              <w:rPr>
                <w:rFonts w:asciiTheme="minorHAnsi" w:hAnsiTheme="minorHAnsi" w:cstheme="minorHAnsi"/>
                <w:szCs w:val="22"/>
              </w:rPr>
              <w:t>:</w:t>
            </w:r>
          </w:p>
        </w:tc>
        <w:tc>
          <w:tcPr>
            <w:tcW w:w="6656" w:type="dxa"/>
            <w:gridSpan w:val="10"/>
          </w:tcPr>
          <w:p w:rsidR="00C0704D" w:rsidRPr="000671C4" w:rsidRDefault="000671C4" w:rsidP="006126D1">
            <w:pPr>
              <w:jc w:val="both"/>
              <w:rPr>
                <w:rFonts w:asciiTheme="minorHAnsi" w:hAnsiTheme="minorHAnsi" w:cstheme="minorHAnsi"/>
                <w:bCs/>
                <w:szCs w:val="22"/>
              </w:rPr>
            </w:pPr>
            <w:r w:rsidRPr="000671C4">
              <w:rPr>
                <w:rFonts w:asciiTheme="minorHAnsi" w:hAnsiTheme="minorHAnsi" w:cstheme="minorHAnsi"/>
                <w:bCs/>
                <w:szCs w:val="22"/>
              </w:rPr>
              <w:t>That planning consent be granted.</w:t>
            </w:r>
          </w:p>
        </w:tc>
      </w:tr>
    </w:tbl>
    <w:p w:rsidR="00925FB4" w:rsidRPr="003452DF" w:rsidRDefault="00925FB4" w:rsidP="006126D1">
      <w:pPr>
        <w:jc w:val="both"/>
        <w:rPr>
          <w:rFonts w:ascii="Calibri" w:hAnsi="Calibri"/>
          <w:color w:val="FF0000"/>
          <w:szCs w:val="22"/>
        </w:rPr>
      </w:pPr>
    </w:p>
    <w:sectPr w:rsidR="00925FB4" w:rsidRPr="003452DF"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49E3" w:rsidRDefault="00B949E3" w:rsidP="006D0B5F">
      <w:r>
        <w:separator/>
      </w:r>
    </w:p>
  </w:endnote>
  <w:endnote w:type="continuationSeparator" w:id="0">
    <w:p w:rsidR="00B949E3" w:rsidRDefault="00B949E3"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49E3" w:rsidRDefault="00B949E3" w:rsidP="006D0B5F">
      <w:r>
        <w:separator/>
      </w:r>
    </w:p>
  </w:footnote>
  <w:footnote w:type="continuationSeparator" w:id="0">
    <w:p w:rsidR="00B949E3" w:rsidRDefault="00B949E3"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C530E"/>
    <w:multiLevelType w:val="hybridMultilevel"/>
    <w:tmpl w:val="1BBC7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601B81"/>
    <w:multiLevelType w:val="hybridMultilevel"/>
    <w:tmpl w:val="96469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F0E42"/>
    <w:multiLevelType w:val="hybridMultilevel"/>
    <w:tmpl w:val="4788B32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AE5A88"/>
    <w:multiLevelType w:val="hybridMultilevel"/>
    <w:tmpl w:val="345401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5733CF"/>
    <w:multiLevelType w:val="hybridMultilevel"/>
    <w:tmpl w:val="88BE8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366519"/>
    <w:multiLevelType w:val="hybridMultilevel"/>
    <w:tmpl w:val="9DE6F0A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073A5A"/>
    <w:multiLevelType w:val="hybridMultilevel"/>
    <w:tmpl w:val="A20C2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C33355"/>
    <w:multiLevelType w:val="hybridMultilevel"/>
    <w:tmpl w:val="E7426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1940D17"/>
    <w:multiLevelType w:val="hybridMultilevel"/>
    <w:tmpl w:val="B40EF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6A4DA5"/>
    <w:multiLevelType w:val="hybridMultilevel"/>
    <w:tmpl w:val="0B6EE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6"/>
  </w:num>
  <w:num w:numId="4">
    <w:abstractNumId w:val="7"/>
  </w:num>
  <w:num w:numId="5">
    <w:abstractNumId w:val="1"/>
  </w:num>
  <w:num w:numId="6">
    <w:abstractNumId w:val="3"/>
  </w:num>
  <w:num w:numId="7">
    <w:abstractNumId w:val="8"/>
  </w:num>
  <w:num w:numId="8">
    <w:abstractNumId w:val="16"/>
  </w:num>
  <w:num w:numId="9">
    <w:abstractNumId w:val="5"/>
  </w:num>
  <w:num w:numId="10">
    <w:abstractNumId w:val="9"/>
  </w:num>
  <w:num w:numId="11">
    <w:abstractNumId w:val="4"/>
  </w:num>
  <w:num w:numId="12">
    <w:abstractNumId w:val="18"/>
  </w:num>
  <w:num w:numId="13">
    <w:abstractNumId w:val="11"/>
  </w:num>
  <w:num w:numId="14">
    <w:abstractNumId w:val="2"/>
  </w:num>
  <w:num w:numId="15">
    <w:abstractNumId w:val="14"/>
  </w:num>
  <w:num w:numId="16">
    <w:abstractNumId w:val="17"/>
  </w:num>
  <w:num w:numId="17">
    <w:abstractNumId w:val="15"/>
  </w:num>
  <w:num w:numId="18">
    <w:abstractNumId w:val="12"/>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4E55"/>
    <w:rsid w:val="00016A73"/>
    <w:rsid w:val="00041FBF"/>
    <w:rsid w:val="00055B13"/>
    <w:rsid w:val="00063C13"/>
    <w:rsid w:val="000671C4"/>
    <w:rsid w:val="000707BC"/>
    <w:rsid w:val="0007275C"/>
    <w:rsid w:val="0008638E"/>
    <w:rsid w:val="00095B4A"/>
    <w:rsid w:val="000A4F2E"/>
    <w:rsid w:val="000A5BCC"/>
    <w:rsid w:val="000A7F3F"/>
    <w:rsid w:val="000B38CB"/>
    <w:rsid w:val="000B4889"/>
    <w:rsid w:val="000B5CB5"/>
    <w:rsid w:val="000C7A57"/>
    <w:rsid w:val="000D2CC4"/>
    <w:rsid w:val="000E340E"/>
    <w:rsid w:val="000E61F1"/>
    <w:rsid w:val="00101855"/>
    <w:rsid w:val="0010371E"/>
    <w:rsid w:val="00106932"/>
    <w:rsid w:val="00116200"/>
    <w:rsid w:val="00130035"/>
    <w:rsid w:val="00141512"/>
    <w:rsid w:val="00146BF5"/>
    <w:rsid w:val="00161FE9"/>
    <w:rsid w:val="0016428F"/>
    <w:rsid w:val="00174004"/>
    <w:rsid w:val="00187363"/>
    <w:rsid w:val="001946E0"/>
    <w:rsid w:val="00195741"/>
    <w:rsid w:val="00196722"/>
    <w:rsid w:val="001B5BCE"/>
    <w:rsid w:val="001B769B"/>
    <w:rsid w:val="001C1453"/>
    <w:rsid w:val="001C4A8B"/>
    <w:rsid w:val="001D4F7A"/>
    <w:rsid w:val="001D5ADD"/>
    <w:rsid w:val="001F264B"/>
    <w:rsid w:val="001F6CBD"/>
    <w:rsid w:val="00203F50"/>
    <w:rsid w:val="00206E24"/>
    <w:rsid w:val="00224E91"/>
    <w:rsid w:val="00237DA1"/>
    <w:rsid w:val="00250879"/>
    <w:rsid w:val="00284480"/>
    <w:rsid w:val="0028751A"/>
    <w:rsid w:val="0029334A"/>
    <w:rsid w:val="002A01CF"/>
    <w:rsid w:val="002A7DF7"/>
    <w:rsid w:val="002B7854"/>
    <w:rsid w:val="002C6277"/>
    <w:rsid w:val="002D2A75"/>
    <w:rsid w:val="002D4346"/>
    <w:rsid w:val="002E108F"/>
    <w:rsid w:val="002E2952"/>
    <w:rsid w:val="002E7CC1"/>
    <w:rsid w:val="002F041D"/>
    <w:rsid w:val="002F2580"/>
    <w:rsid w:val="002F7502"/>
    <w:rsid w:val="003137E0"/>
    <w:rsid w:val="00314B77"/>
    <w:rsid w:val="00316DB8"/>
    <w:rsid w:val="00320A6F"/>
    <w:rsid w:val="00321B6E"/>
    <w:rsid w:val="00333925"/>
    <w:rsid w:val="003359D0"/>
    <w:rsid w:val="00341E8D"/>
    <w:rsid w:val="003452DF"/>
    <w:rsid w:val="00345BCC"/>
    <w:rsid w:val="00347F5E"/>
    <w:rsid w:val="003520CC"/>
    <w:rsid w:val="003634D9"/>
    <w:rsid w:val="00366AB8"/>
    <w:rsid w:val="0036759A"/>
    <w:rsid w:val="003825D5"/>
    <w:rsid w:val="00387489"/>
    <w:rsid w:val="003918E8"/>
    <w:rsid w:val="003A4376"/>
    <w:rsid w:val="003B5FA1"/>
    <w:rsid w:val="003C28E1"/>
    <w:rsid w:val="003E2151"/>
    <w:rsid w:val="003F16AA"/>
    <w:rsid w:val="003F16B4"/>
    <w:rsid w:val="003F3DB5"/>
    <w:rsid w:val="003F481A"/>
    <w:rsid w:val="00401392"/>
    <w:rsid w:val="00404C72"/>
    <w:rsid w:val="00412187"/>
    <w:rsid w:val="00422600"/>
    <w:rsid w:val="00422CFA"/>
    <w:rsid w:val="00422DC2"/>
    <w:rsid w:val="004230B7"/>
    <w:rsid w:val="0042757D"/>
    <w:rsid w:val="00435FC9"/>
    <w:rsid w:val="0044039F"/>
    <w:rsid w:val="00440CB6"/>
    <w:rsid w:val="00444E3F"/>
    <w:rsid w:val="00454754"/>
    <w:rsid w:val="00455961"/>
    <w:rsid w:val="0045604C"/>
    <w:rsid w:val="00456940"/>
    <w:rsid w:val="00463832"/>
    <w:rsid w:val="004654DD"/>
    <w:rsid w:val="004854EC"/>
    <w:rsid w:val="004936A6"/>
    <w:rsid w:val="004947BB"/>
    <w:rsid w:val="004A5EA9"/>
    <w:rsid w:val="004C2434"/>
    <w:rsid w:val="004D0BB4"/>
    <w:rsid w:val="004D670C"/>
    <w:rsid w:val="004D6FC7"/>
    <w:rsid w:val="004E58E3"/>
    <w:rsid w:val="004E7CFB"/>
    <w:rsid w:val="004F0649"/>
    <w:rsid w:val="004F1043"/>
    <w:rsid w:val="004F1E99"/>
    <w:rsid w:val="0050432D"/>
    <w:rsid w:val="00504440"/>
    <w:rsid w:val="00510DBF"/>
    <w:rsid w:val="00510FA2"/>
    <w:rsid w:val="00510FE3"/>
    <w:rsid w:val="00521ABA"/>
    <w:rsid w:val="00525341"/>
    <w:rsid w:val="00527A31"/>
    <w:rsid w:val="00534611"/>
    <w:rsid w:val="00545D8C"/>
    <w:rsid w:val="0055323C"/>
    <w:rsid w:val="00555D53"/>
    <w:rsid w:val="00556ECD"/>
    <w:rsid w:val="005631B3"/>
    <w:rsid w:val="005633B0"/>
    <w:rsid w:val="005635FF"/>
    <w:rsid w:val="00573B90"/>
    <w:rsid w:val="00576664"/>
    <w:rsid w:val="005878FE"/>
    <w:rsid w:val="00593040"/>
    <w:rsid w:val="005A5A59"/>
    <w:rsid w:val="005B0A0E"/>
    <w:rsid w:val="005D01CF"/>
    <w:rsid w:val="005D3432"/>
    <w:rsid w:val="005E1C6C"/>
    <w:rsid w:val="005E22EA"/>
    <w:rsid w:val="005E374C"/>
    <w:rsid w:val="005E5C8E"/>
    <w:rsid w:val="005E65DF"/>
    <w:rsid w:val="00611072"/>
    <w:rsid w:val="006126D1"/>
    <w:rsid w:val="006229E5"/>
    <w:rsid w:val="00627387"/>
    <w:rsid w:val="006326A2"/>
    <w:rsid w:val="00641F80"/>
    <w:rsid w:val="00661CAA"/>
    <w:rsid w:val="00665C24"/>
    <w:rsid w:val="00680ED9"/>
    <w:rsid w:val="00690EC3"/>
    <w:rsid w:val="00692B60"/>
    <w:rsid w:val="00695F88"/>
    <w:rsid w:val="006A71AD"/>
    <w:rsid w:val="006C126E"/>
    <w:rsid w:val="006C2BFA"/>
    <w:rsid w:val="006D0B5F"/>
    <w:rsid w:val="006D4E58"/>
    <w:rsid w:val="006D54CD"/>
    <w:rsid w:val="006D7624"/>
    <w:rsid w:val="006E3308"/>
    <w:rsid w:val="006F137D"/>
    <w:rsid w:val="006F4D38"/>
    <w:rsid w:val="0070054B"/>
    <w:rsid w:val="0070168D"/>
    <w:rsid w:val="00706480"/>
    <w:rsid w:val="00710DBB"/>
    <w:rsid w:val="0071401C"/>
    <w:rsid w:val="00714436"/>
    <w:rsid w:val="00725F1C"/>
    <w:rsid w:val="007346A8"/>
    <w:rsid w:val="007430C8"/>
    <w:rsid w:val="00755FCC"/>
    <w:rsid w:val="0076002E"/>
    <w:rsid w:val="00762889"/>
    <w:rsid w:val="00776AE2"/>
    <w:rsid w:val="00776C26"/>
    <w:rsid w:val="00783042"/>
    <w:rsid w:val="007921CD"/>
    <w:rsid w:val="0079795D"/>
    <w:rsid w:val="007C5713"/>
    <w:rsid w:val="007C791C"/>
    <w:rsid w:val="007D0F8F"/>
    <w:rsid w:val="007D6D02"/>
    <w:rsid w:val="007D7DF4"/>
    <w:rsid w:val="007E0D23"/>
    <w:rsid w:val="007F196D"/>
    <w:rsid w:val="00805895"/>
    <w:rsid w:val="008075CB"/>
    <w:rsid w:val="00811771"/>
    <w:rsid w:val="00811F38"/>
    <w:rsid w:val="008133B3"/>
    <w:rsid w:val="008154DD"/>
    <w:rsid w:val="00824647"/>
    <w:rsid w:val="00831115"/>
    <w:rsid w:val="00835CBB"/>
    <w:rsid w:val="008542DE"/>
    <w:rsid w:val="008555A0"/>
    <w:rsid w:val="008638DE"/>
    <w:rsid w:val="00891182"/>
    <w:rsid w:val="008A28C8"/>
    <w:rsid w:val="008B46C0"/>
    <w:rsid w:val="008C75E4"/>
    <w:rsid w:val="008E5FA6"/>
    <w:rsid w:val="008F4EE4"/>
    <w:rsid w:val="008F6B58"/>
    <w:rsid w:val="0090282C"/>
    <w:rsid w:val="00903DD4"/>
    <w:rsid w:val="0090401A"/>
    <w:rsid w:val="00906D0C"/>
    <w:rsid w:val="00925FB4"/>
    <w:rsid w:val="00934B34"/>
    <w:rsid w:val="00940D6E"/>
    <w:rsid w:val="0094348F"/>
    <w:rsid w:val="00950076"/>
    <w:rsid w:val="009534E3"/>
    <w:rsid w:val="009565F5"/>
    <w:rsid w:val="009744F0"/>
    <w:rsid w:val="009825FF"/>
    <w:rsid w:val="00985097"/>
    <w:rsid w:val="00985279"/>
    <w:rsid w:val="00994EF1"/>
    <w:rsid w:val="009A32ED"/>
    <w:rsid w:val="009C4BCF"/>
    <w:rsid w:val="009C7F61"/>
    <w:rsid w:val="009D0395"/>
    <w:rsid w:val="009D5722"/>
    <w:rsid w:val="009D60E4"/>
    <w:rsid w:val="009E6A8B"/>
    <w:rsid w:val="009F332E"/>
    <w:rsid w:val="009F7A60"/>
    <w:rsid w:val="00A04A96"/>
    <w:rsid w:val="00A1089F"/>
    <w:rsid w:val="00A117E8"/>
    <w:rsid w:val="00A2019B"/>
    <w:rsid w:val="00A36D6F"/>
    <w:rsid w:val="00A40070"/>
    <w:rsid w:val="00A42E82"/>
    <w:rsid w:val="00A46EE9"/>
    <w:rsid w:val="00A55E83"/>
    <w:rsid w:val="00A579BB"/>
    <w:rsid w:val="00A63D55"/>
    <w:rsid w:val="00A67781"/>
    <w:rsid w:val="00A74473"/>
    <w:rsid w:val="00A82792"/>
    <w:rsid w:val="00A8441B"/>
    <w:rsid w:val="00A852B2"/>
    <w:rsid w:val="00A9088C"/>
    <w:rsid w:val="00A9168C"/>
    <w:rsid w:val="00A92448"/>
    <w:rsid w:val="00A95D89"/>
    <w:rsid w:val="00AB3243"/>
    <w:rsid w:val="00AB5232"/>
    <w:rsid w:val="00AD02FA"/>
    <w:rsid w:val="00AD094F"/>
    <w:rsid w:val="00AD5B50"/>
    <w:rsid w:val="00AE4372"/>
    <w:rsid w:val="00B05C4C"/>
    <w:rsid w:val="00B14DDC"/>
    <w:rsid w:val="00B30A5E"/>
    <w:rsid w:val="00B31505"/>
    <w:rsid w:val="00B470F6"/>
    <w:rsid w:val="00B6269C"/>
    <w:rsid w:val="00B74C73"/>
    <w:rsid w:val="00B93EB5"/>
    <w:rsid w:val="00B949E3"/>
    <w:rsid w:val="00B96F5A"/>
    <w:rsid w:val="00BA12C7"/>
    <w:rsid w:val="00BA2247"/>
    <w:rsid w:val="00BA5D97"/>
    <w:rsid w:val="00BA6B19"/>
    <w:rsid w:val="00BB1C52"/>
    <w:rsid w:val="00BB2A50"/>
    <w:rsid w:val="00BC1E48"/>
    <w:rsid w:val="00BC6600"/>
    <w:rsid w:val="00BD3F03"/>
    <w:rsid w:val="00BF560C"/>
    <w:rsid w:val="00C0704D"/>
    <w:rsid w:val="00C10202"/>
    <w:rsid w:val="00C11AF9"/>
    <w:rsid w:val="00C214A6"/>
    <w:rsid w:val="00C24A51"/>
    <w:rsid w:val="00C25722"/>
    <w:rsid w:val="00C44E40"/>
    <w:rsid w:val="00C50517"/>
    <w:rsid w:val="00C536CA"/>
    <w:rsid w:val="00C618DB"/>
    <w:rsid w:val="00C61B21"/>
    <w:rsid w:val="00C630B5"/>
    <w:rsid w:val="00C6456D"/>
    <w:rsid w:val="00C6777F"/>
    <w:rsid w:val="00C71FAD"/>
    <w:rsid w:val="00C900A5"/>
    <w:rsid w:val="00C93384"/>
    <w:rsid w:val="00CA28BA"/>
    <w:rsid w:val="00CC2824"/>
    <w:rsid w:val="00CD1729"/>
    <w:rsid w:val="00CD2E03"/>
    <w:rsid w:val="00CD38B1"/>
    <w:rsid w:val="00D06CF2"/>
    <w:rsid w:val="00D102D9"/>
    <w:rsid w:val="00D1063F"/>
    <w:rsid w:val="00D11007"/>
    <w:rsid w:val="00D1420C"/>
    <w:rsid w:val="00D23470"/>
    <w:rsid w:val="00D2449B"/>
    <w:rsid w:val="00D423D8"/>
    <w:rsid w:val="00D54384"/>
    <w:rsid w:val="00D54E67"/>
    <w:rsid w:val="00D54F48"/>
    <w:rsid w:val="00D632BB"/>
    <w:rsid w:val="00D64562"/>
    <w:rsid w:val="00D729D7"/>
    <w:rsid w:val="00D80310"/>
    <w:rsid w:val="00D84821"/>
    <w:rsid w:val="00D9608A"/>
    <w:rsid w:val="00D96DF7"/>
    <w:rsid w:val="00D97AA3"/>
    <w:rsid w:val="00DA27B6"/>
    <w:rsid w:val="00DC3C8A"/>
    <w:rsid w:val="00DD62F6"/>
    <w:rsid w:val="00DD7E97"/>
    <w:rsid w:val="00DE740E"/>
    <w:rsid w:val="00DF1736"/>
    <w:rsid w:val="00DF2E9A"/>
    <w:rsid w:val="00DF42DA"/>
    <w:rsid w:val="00DF526A"/>
    <w:rsid w:val="00E03AFD"/>
    <w:rsid w:val="00E0485E"/>
    <w:rsid w:val="00E06DFC"/>
    <w:rsid w:val="00E07442"/>
    <w:rsid w:val="00E23FB0"/>
    <w:rsid w:val="00E2608A"/>
    <w:rsid w:val="00E46243"/>
    <w:rsid w:val="00E62CC4"/>
    <w:rsid w:val="00E66534"/>
    <w:rsid w:val="00E719D1"/>
    <w:rsid w:val="00E71A35"/>
    <w:rsid w:val="00E72F6C"/>
    <w:rsid w:val="00E80113"/>
    <w:rsid w:val="00EA09F9"/>
    <w:rsid w:val="00EA1673"/>
    <w:rsid w:val="00EB0C6F"/>
    <w:rsid w:val="00EB7D74"/>
    <w:rsid w:val="00EC23C7"/>
    <w:rsid w:val="00EC56C1"/>
    <w:rsid w:val="00EC623E"/>
    <w:rsid w:val="00ED00B7"/>
    <w:rsid w:val="00EE6AF6"/>
    <w:rsid w:val="00EF1341"/>
    <w:rsid w:val="00EF44E6"/>
    <w:rsid w:val="00F012FA"/>
    <w:rsid w:val="00F01F0C"/>
    <w:rsid w:val="00F055D3"/>
    <w:rsid w:val="00F129DD"/>
    <w:rsid w:val="00F16D0F"/>
    <w:rsid w:val="00F32789"/>
    <w:rsid w:val="00F351E7"/>
    <w:rsid w:val="00F35412"/>
    <w:rsid w:val="00F71D53"/>
    <w:rsid w:val="00F731F5"/>
    <w:rsid w:val="00F75F59"/>
    <w:rsid w:val="00F8201E"/>
    <w:rsid w:val="00FB20D7"/>
    <w:rsid w:val="00FB23AF"/>
    <w:rsid w:val="00FB2660"/>
    <w:rsid w:val="00FB5E89"/>
    <w:rsid w:val="00FC046F"/>
    <w:rsid w:val="00FC2360"/>
    <w:rsid w:val="00FC6A11"/>
    <w:rsid w:val="00FC77EC"/>
    <w:rsid w:val="00FD334A"/>
    <w:rsid w:val="00FD6AE3"/>
    <w:rsid w:val="00FE511D"/>
    <w:rsid w:val="00FE7206"/>
    <w:rsid w:val="00FF218C"/>
    <w:rsid w:val="00FF50CC"/>
    <w:rsid w:val="00FF5EFD"/>
    <w:rsid w:val="00FF6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412187"/>
    <w:rPr>
      <w:b/>
      <w:bCs/>
    </w:rPr>
  </w:style>
  <w:style w:type="paragraph" w:styleId="PlainText">
    <w:name w:val="Plain Text"/>
    <w:basedOn w:val="Normal"/>
    <w:link w:val="PlainTextChar"/>
    <w:uiPriority w:val="99"/>
    <w:unhideWhenUsed/>
    <w:rsid w:val="00DF1736"/>
    <w:pPr>
      <w:overflowPunct/>
      <w:autoSpaceDE/>
      <w:autoSpaceDN/>
      <w:adjustRightInd/>
      <w:textAlignment w:val="auto"/>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DF1736"/>
    <w:rPr>
      <w:rFonts w:ascii="Calibri" w:hAnsi="Calibri"/>
      <w:szCs w:val="21"/>
    </w:rPr>
  </w:style>
  <w:style w:type="paragraph" w:customStyle="1" w:styleId="Default">
    <w:name w:val="Default"/>
    <w:rsid w:val="00DF526A"/>
    <w:pPr>
      <w:autoSpaceDE w:val="0"/>
      <w:autoSpaceDN w:val="0"/>
      <w:adjustRightInd w:val="0"/>
      <w:spacing w:after="0" w:line="240" w:lineRule="auto"/>
    </w:pPr>
    <w:rPr>
      <w:rFonts w:ascii="Arial" w:hAnsi="Arial" w:cs="Arial"/>
      <w:color w:val="000000"/>
      <w:sz w:val="24"/>
      <w:szCs w:val="24"/>
    </w:rPr>
  </w:style>
  <w:style w:type="paragraph" w:styleId="BodyText2">
    <w:name w:val="Body Text 2"/>
    <w:basedOn w:val="Normal"/>
    <w:link w:val="BodyText2Char"/>
    <w:uiPriority w:val="99"/>
    <w:unhideWhenUsed/>
    <w:rsid w:val="00925FB4"/>
    <w:pPr>
      <w:overflowPunct/>
      <w:autoSpaceDE/>
      <w:autoSpaceDN/>
      <w:adjustRightInd/>
      <w:spacing w:after="120" w:line="480" w:lineRule="auto"/>
      <w:jc w:val="both"/>
      <w:textAlignment w:val="auto"/>
    </w:pPr>
    <w:rPr>
      <w:szCs w:val="24"/>
    </w:rPr>
  </w:style>
  <w:style w:type="character" w:customStyle="1" w:styleId="BodyText2Char">
    <w:name w:val="Body Text 2 Char"/>
    <w:basedOn w:val="DefaultParagraphFont"/>
    <w:link w:val="BodyText2"/>
    <w:uiPriority w:val="99"/>
    <w:rsid w:val="00925FB4"/>
    <w:rPr>
      <w:rFonts w:ascii="Arial" w:eastAsia="Times New Roman" w:hAnsi="Arial"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475943">
      <w:bodyDiv w:val="1"/>
      <w:marLeft w:val="0"/>
      <w:marRight w:val="0"/>
      <w:marTop w:val="0"/>
      <w:marBottom w:val="0"/>
      <w:divBdr>
        <w:top w:val="none" w:sz="0" w:space="0" w:color="auto"/>
        <w:left w:val="none" w:sz="0" w:space="0" w:color="auto"/>
        <w:bottom w:val="none" w:sz="0" w:space="0" w:color="auto"/>
        <w:right w:val="none" w:sz="0" w:space="0" w:color="auto"/>
      </w:divBdr>
    </w:div>
    <w:div w:id="383524478">
      <w:bodyDiv w:val="1"/>
      <w:marLeft w:val="0"/>
      <w:marRight w:val="0"/>
      <w:marTop w:val="0"/>
      <w:marBottom w:val="0"/>
      <w:divBdr>
        <w:top w:val="none" w:sz="0" w:space="0" w:color="auto"/>
        <w:left w:val="none" w:sz="0" w:space="0" w:color="auto"/>
        <w:bottom w:val="none" w:sz="0" w:space="0" w:color="auto"/>
        <w:right w:val="none" w:sz="0" w:space="0" w:color="auto"/>
      </w:divBdr>
    </w:div>
    <w:div w:id="560866249">
      <w:bodyDiv w:val="1"/>
      <w:marLeft w:val="0"/>
      <w:marRight w:val="0"/>
      <w:marTop w:val="0"/>
      <w:marBottom w:val="0"/>
      <w:divBdr>
        <w:top w:val="none" w:sz="0" w:space="0" w:color="auto"/>
        <w:left w:val="none" w:sz="0" w:space="0" w:color="auto"/>
        <w:bottom w:val="none" w:sz="0" w:space="0" w:color="auto"/>
        <w:right w:val="none" w:sz="0" w:space="0" w:color="auto"/>
      </w:divBdr>
    </w:div>
    <w:div w:id="691536123">
      <w:bodyDiv w:val="1"/>
      <w:marLeft w:val="0"/>
      <w:marRight w:val="0"/>
      <w:marTop w:val="0"/>
      <w:marBottom w:val="0"/>
      <w:divBdr>
        <w:top w:val="none" w:sz="0" w:space="0" w:color="auto"/>
        <w:left w:val="none" w:sz="0" w:space="0" w:color="auto"/>
        <w:bottom w:val="none" w:sz="0" w:space="0" w:color="auto"/>
        <w:right w:val="none" w:sz="0" w:space="0" w:color="auto"/>
      </w:divBdr>
    </w:div>
    <w:div w:id="701370192">
      <w:bodyDiv w:val="1"/>
      <w:marLeft w:val="0"/>
      <w:marRight w:val="0"/>
      <w:marTop w:val="0"/>
      <w:marBottom w:val="0"/>
      <w:divBdr>
        <w:top w:val="none" w:sz="0" w:space="0" w:color="auto"/>
        <w:left w:val="none" w:sz="0" w:space="0" w:color="auto"/>
        <w:bottom w:val="none" w:sz="0" w:space="0" w:color="auto"/>
        <w:right w:val="none" w:sz="0" w:space="0" w:color="auto"/>
      </w:divBdr>
    </w:div>
    <w:div w:id="785657129">
      <w:bodyDiv w:val="1"/>
      <w:marLeft w:val="0"/>
      <w:marRight w:val="0"/>
      <w:marTop w:val="0"/>
      <w:marBottom w:val="0"/>
      <w:divBdr>
        <w:top w:val="none" w:sz="0" w:space="0" w:color="auto"/>
        <w:left w:val="none" w:sz="0" w:space="0" w:color="auto"/>
        <w:bottom w:val="none" w:sz="0" w:space="0" w:color="auto"/>
        <w:right w:val="none" w:sz="0" w:space="0" w:color="auto"/>
      </w:divBdr>
    </w:div>
    <w:div w:id="1022361709">
      <w:bodyDiv w:val="1"/>
      <w:marLeft w:val="0"/>
      <w:marRight w:val="0"/>
      <w:marTop w:val="0"/>
      <w:marBottom w:val="0"/>
      <w:divBdr>
        <w:top w:val="none" w:sz="0" w:space="0" w:color="auto"/>
        <w:left w:val="none" w:sz="0" w:space="0" w:color="auto"/>
        <w:bottom w:val="none" w:sz="0" w:space="0" w:color="auto"/>
        <w:right w:val="none" w:sz="0" w:space="0" w:color="auto"/>
      </w:divBdr>
    </w:div>
    <w:div w:id="1140611153">
      <w:bodyDiv w:val="1"/>
      <w:marLeft w:val="0"/>
      <w:marRight w:val="0"/>
      <w:marTop w:val="0"/>
      <w:marBottom w:val="0"/>
      <w:divBdr>
        <w:top w:val="none" w:sz="0" w:space="0" w:color="auto"/>
        <w:left w:val="none" w:sz="0" w:space="0" w:color="auto"/>
        <w:bottom w:val="none" w:sz="0" w:space="0" w:color="auto"/>
        <w:right w:val="none" w:sz="0" w:space="0" w:color="auto"/>
      </w:divBdr>
    </w:div>
    <w:div w:id="1434324961">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0212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6A8F3-CBC8-44E7-8BF8-44DE6742C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Adam Birkett</cp:lastModifiedBy>
  <cp:revision>2</cp:revision>
  <cp:lastPrinted>2020-12-15T15:32:00Z</cp:lastPrinted>
  <dcterms:created xsi:type="dcterms:W3CDTF">2020-12-16T12:26:00Z</dcterms:created>
  <dcterms:modified xsi:type="dcterms:W3CDTF">2020-12-16T12:26:00Z</dcterms:modified>
</cp:coreProperties>
</file>