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681"/>
        <w:gridCol w:w="201"/>
        <w:gridCol w:w="1030"/>
        <w:gridCol w:w="1030"/>
        <w:gridCol w:w="519"/>
        <w:gridCol w:w="579"/>
        <w:gridCol w:w="428"/>
        <w:gridCol w:w="602"/>
        <w:gridCol w:w="1030"/>
        <w:gridCol w:w="999"/>
      </w:tblGrid>
      <w:tr w:rsidR="008C75E4" w:rsidRPr="008C75E4" w:rsidTr="000E61F1">
        <w:trPr>
          <w:jc w:val="center"/>
        </w:trPr>
        <w:tc>
          <w:tcPr>
            <w:tcW w:w="9493" w:type="dxa"/>
            <w:gridSpan w:val="13"/>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0E61F1">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3"/>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4936A6" w:rsidP="00D2449B">
            <w:pPr>
              <w:jc w:val="center"/>
              <w:rPr>
                <w:rFonts w:ascii="Calibri" w:hAnsi="Calibri"/>
                <w:b/>
                <w:szCs w:val="22"/>
              </w:rPr>
            </w:pP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999" w:type="dxa"/>
          </w:tcPr>
          <w:p w:rsidR="004936A6" w:rsidRPr="008C75E4" w:rsidRDefault="004936A6" w:rsidP="00D2449B">
            <w:pPr>
              <w:jc w:val="center"/>
              <w:rPr>
                <w:rFonts w:ascii="Calibri" w:hAnsi="Calibri"/>
                <w:b/>
                <w:szCs w:val="22"/>
              </w:rPr>
            </w:pPr>
          </w:p>
        </w:tc>
      </w:tr>
      <w:tr w:rsidR="00E06DFC" w:rsidRPr="008C75E4" w:rsidTr="000E61F1">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1080" w:type="dxa"/>
            <w:gridSpan w:val="3"/>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4D670C" w:rsidRDefault="00E06DFC" w:rsidP="004D670C">
            <w:pPr>
              <w:ind w:left="360"/>
              <w:jc w:val="center"/>
              <w:rPr>
                <w:rFonts w:ascii="Calibri" w:hAnsi="Calibri"/>
                <w:b/>
                <w:szCs w:val="22"/>
              </w:rPr>
            </w:pPr>
          </w:p>
        </w:tc>
        <w:tc>
          <w:tcPr>
            <w:tcW w:w="5187"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0E61F1">
        <w:trPr>
          <w:jc w:val="center"/>
        </w:trPr>
        <w:tc>
          <w:tcPr>
            <w:tcW w:w="9493" w:type="dxa"/>
            <w:gridSpan w:val="13"/>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0E61F1">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5"/>
          </w:tcPr>
          <w:p w:rsidR="004A5EA9" w:rsidRPr="008C75E4" w:rsidRDefault="00555D53" w:rsidP="008F6B58">
            <w:pPr>
              <w:rPr>
                <w:rFonts w:ascii="Calibri" w:hAnsi="Calibri"/>
                <w:szCs w:val="22"/>
              </w:rPr>
            </w:pPr>
            <w:r>
              <w:rPr>
                <w:rFonts w:ascii="Calibri" w:hAnsi="Calibri"/>
                <w:szCs w:val="22"/>
              </w:rPr>
              <w:t>3/2020/0</w:t>
            </w:r>
            <w:r w:rsidR="001F6CBD">
              <w:rPr>
                <w:rFonts w:ascii="Calibri" w:hAnsi="Calibri"/>
                <w:szCs w:val="22"/>
              </w:rPr>
              <w:t>8</w:t>
            </w:r>
            <w:r w:rsidR="001108DE">
              <w:rPr>
                <w:rFonts w:ascii="Calibri" w:hAnsi="Calibri"/>
                <w:szCs w:val="22"/>
              </w:rPr>
              <w:t>92</w:t>
            </w:r>
          </w:p>
        </w:tc>
        <w:tc>
          <w:tcPr>
            <w:tcW w:w="3638"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0E61F1">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5"/>
          </w:tcPr>
          <w:p w:rsidR="004A5EA9" w:rsidRPr="008C75E4" w:rsidRDefault="00FD3602" w:rsidP="002C6277">
            <w:pPr>
              <w:rPr>
                <w:rFonts w:ascii="Calibri" w:hAnsi="Calibri"/>
                <w:szCs w:val="22"/>
              </w:rPr>
            </w:pPr>
            <w:r>
              <w:rPr>
                <w:rFonts w:ascii="Calibri" w:hAnsi="Calibri"/>
                <w:szCs w:val="22"/>
              </w:rPr>
              <w:t>25/11/2020</w:t>
            </w:r>
          </w:p>
        </w:tc>
        <w:tc>
          <w:tcPr>
            <w:tcW w:w="3638" w:type="dxa"/>
            <w:gridSpan w:val="5"/>
            <w:vMerge/>
            <w:tcMar>
              <w:top w:w="57" w:type="dxa"/>
              <w:bottom w:w="57" w:type="dxa"/>
            </w:tcMar>
          </w:tcPr>
          <w:p w:rsidR="004A5EA9" w:rsidRPr="008C75E4" w:rsidRDefault="004A5EA9">
            <w:pPr>
              <w:rPr>
                <w:rFonts w:ascii="Calibri" w:hAnsi="Calibri"/>
                <w:szCs w:val="22"/>
              </w:rPr>
            </w:pPr>
          </w:p>
        </w:tc>
      </w:tr>
      <w:tr w:rsidR="008C75E4" w:rsidRPr="008C75E4" w:rsidTr="000E61F1">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5"/>
          </w:tcPr>
          <w:p w:rsidR="004A5EA9" w:rsidRPr="00454754" w:rsidRDefault="00555D53" w:rsidP="00811771">
            <w:pPr>
              <w:rPr>
                <w:rFonts w:ascii="Calibri" w:hAnsi="Calibri"/>
                <w:b/>
                <w:szCs w:val="22"/>
              </w:rPr>
            </w:pPr>
            <w:r>
              <w:rPr>
                <w:rFonts w:ascii="Calibri" w:hAnsi="Calibri"/>
                <w:b/>
                <w:szCs w:val="22"/>
              </w:rPr>
              <w:t>AB</w:t>
            </w:r>
          </w:p>
        </w:tc>
        <w:tc>
          <w:tcPr>
            <w:tcW w:w="3638" w:type="dxa"/>
            <w:gridSpan w:val="5"/>
            <w:vMerge/>
            <w:tcMar>
              <w:top w:w="57" w:type="dxa"/>
              <w:bottom w:w="57" w:type="dxa"/>
            </w:tcMar>
          </w:tcPr>
          <w:p w:rsidR="004A5EA9" w:rsidRPr="008C75E4" w:rsidRDefault="004A5EA9">
            <w:pPr>
              <w:rPr>
                <w:rFonts w:ascii="Calibri" w:hAnsi="Calibri"/>
                <w:szCs w:val="22"/>
              </w:rPr>
            </w:pPr>
          </w:p>
        </w:tc>
      </w:tr>
      <w:tr w:rsidR="00FD334A" w:rsidRPr="008C75E4" w:rsidTr="000E61F1">
        <w:trPr>
          <w:jc w:val="center"/>
        </w:trPr>
        <w:tc>
          <w:tcPr>
            <w:tcW w:w="5855" w:type="dxa"/>
            <w:gridSpan w:val="8"/>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31" w:type="dxa"/>
            <w:gridSpan w:val="3"/>
            <w:tcBorders>
              <w:bottom w:val="single" w:sz="4" w:space="0" w:color="BFBFBF" w:themeColor="background1" w:themeShade="BF"/>
            </w:tcBorders>
          </w:tcPr>
          <w:p w:rsidR="00FD334A" w:rsidRPr="008C75E4" w:rsidRDefault="005E22EA" w:rsidP="000B38CB">
            <w:pPr>
              <w:jc w:val="center"/>
              <w:rPr>
                <w:rFonts w:ascii="Calibri" w:hAnsi="Calibri"/>
                <w:b/>
                <w:szCs w:val="22"/>
              </w:rPr>
            </w:pPr>
            <w:r>
              <w:rPr>
                <w:rFonts w:ascii="Calibri" w:hAnsi="Calibri"/>
                <w:b/>
                <w:szCs w:val="22"/>
              </w:rPr>
              <w:t>APPROVED</w:t>
            </w:r>
          </w:p>
        </w:tc>
      </w:tr>
      <w:tr w:rsidR="008C75E4" w:rsidRPr="008C75E4" w:rsidTr="000E61F1">
        <w:trPr>
          <w:trHeight w:hRule="exact" w:val="144"/>
          <w:jc w:val="center"/>
        </w:trPr>
        <w:tc>
          <w:tcPr>
            <w:tcW w:w="9493" w:type="dxa"/>
            <w:gridSpan w:val="13"/>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0E61F1">
        <w:trPr>
          <w:jc w:val="center"/>
        </w:trPr>
        <w:tc>
          <w:tcPr>
            <w:tcW w:w="3075" w:type="dxa"/>
            <w:gridSpan w:val="4"/>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18" w:type="dxa"/>
            <w:gridSpan w:val="9"/>
          </w:tcPr>
          <w:p w:rsidR="004A5EA9" w:rsidRPr="004E7CFB" w:rsidRDefault="007D0F8F" w:rsidP="007D0F8F">
            <w:pPr>
              <w:rPr>
                <w:rFonts w:asciiTheme="minorHAnsi" w:hAnsiTheme="minorHAnsi" w:cstheme="minorHAnsi"/>
                <w:b/>
                <w:color w:val="000000" w:themeColor="text1"/>
                <w:szCs w:val="22"/>
              </w:rPr>
            </w:pPr>
            <w:r w:rsidRPr="007D0F8F">
              <w:rPr>
                <w:rFonts w:asciiTheme="minorHAnsi" w:hAnsiTheme="minorHAnsi" w:cstheme="minorHAnsi"/>
                <w:b/>
                <w:color w:val="000000" w:themeColor="text1"/>
                <w:szCs w:val="22"/>
              </w:rPr>
              <w:t>Extension to existing agricultural building for livestock.</w:t>
            </w:r>
          </w:p>
        </w:tc>
      </w:tr>
      <w:tr w:rsidR="008C75E4" w:rsidRPr="008C75E4" w:rsidTr="000E61F1">
        <w:trPr>
          <w:jc w:val="center"/>
        </w:trPr>
        <w:tc>
          <w:tcPr>
            <w:tcW w:w="3075" w:type="dxa"/>
            <w:gridSpan w:val="4"/>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18" w:type="dxa"/>
            <w:gridSpan w:val="9"/>
            <w:tcBorders>
              <w:bottom w:val="single" w:sz="4" w:space="0" w:color="BFBFBF" w:themeColor="background1" w:themeShade="BF"/>
            </w:tcBorders>
          </w:tcPr>
          <w:p w:rsidR="002A01CF" w:rsidRPr="009F332E" w:rsidRDefault="001108DE" w:rsidP="00A42E82">
            <w:pPr>
              <w:rPr>
                <w:rFonts w:asciiTheme="minorHAnsi" w:hAnsiTheme="minorHAnsi" w:cstheme="minorHAnsi"/>
                <w:b/>
                <w:szCs w:val="22"/>
              </w:rPr>
            </w:pPr>
            <w:r w:rsidRPr="001108DE">
              <w:rPr>
                <w:rFonts w:asciiTheme="minorHAnsi" w:hAnsiTheme="minorHAnsi" w:cstheme="minorHAnsi"/>
                <w:b/>
                <w:szCs w:val="22"/>
              </w:rPr>
              <w:t>59 Downham Road</w:t>
            </w:r>
            <w:r>
              <w:rPr>
                <w:rFonts w:asciiTheme="minorHAnsi" w:hAnsiTheme="minorHAnsi" w:cstheme="minorHAnsi"/>
                <w:b/>
                <w:szCs w:val="22"/>
              </w:rPr>
              <w:t>,</w:t>
            </w:r>
            <w:r w:rsidRPr="001108DE">
              <w:rPr>
                <w:rFonts w:asciiTheme="minorHAnsi" w:hAnsiTheme="minorHAnsi" w:cstheme="minorHAnsi"/>
                <w:b/>
                <w:szCs w:val="22"/>
              </w:rPr>
              <w:t xml:space="preserve"> Chatburn</w:t>
            </w:r>
            <w:r>
              <w:rPr>
                <w:rFonts w:asciiTheme="minorHAnsi" w:hAnsiTheme="minorHAnsi" w:cstheme="minorHAnsi"/>
                <w:b/>
                <w:szCs w:val="22"/>
              </w:rPr>
              <w:t xml:space="preserve">, </w:t>
            </w:r>
            <w:r w:rsidRPr="001108DE">
              <w:rPr>
                <w:rFonts w:asciiTheme="minorHAnsi" w:hAnsiTheme="minorHAnsi" w:cstheme="minorHAnsi"/>
                <w:b/>
                <w:szCs w:val="22"/>
              </w:rPr>
              <w:t>BB7 4AU</w:t>
            </w:r>
          </w:p>
        </w:tc>
      </w:tr>
      <w:tr w:rsidR="008C75E4" w:rsidRPr="008C75E4" w:rsidTr="000E61F1">
        <w:trPr>
          <w:trHeight w:hRule="exact" w:val="144"/>
          <w:jc w:val="center"/>
        </w:trPr>
        <w:tc>
          <w:tcPr>
            <w:tcW w:w="9493" w:type="dxa"/>
            <w:gridSpan w:val="13"/>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0E61F1">
        <w:trPr>
          <w:jc w:val="center"/>
        </w:trPr>
        <w:tc>
          <w:tcPr>
            <w:tcW w:w="3075" w:type="dxa"/>
            <w:gridSpan w:val="4"/>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18"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4E7CFB" w:rsidTr="000E61F1">
        <w:trPr>
          <w:jc w:val="center"/>
        </w:trPr>
        <w:tc>
          <w:tcPr>
            <w:tcW w:w="9493" w:type="dxa"/>
            <w:gridSpan w:val="13"/>
            <w:tcBorders>
              <w:bottom w:val="single" w:sz="4" w:space="0" w:color="BFBFBF" w:themeColor="background1" w:themeShade="BF"/>
            </w:tcBorders>
            <w:tcMar>
              <w:top w:w="57" w:type="dxa"/>
              <w:bottom w:w="57" w:type="dxa"/>
            </w:tcMar>
          </w:tcPr>
          <w:p w:rsidR="003A4376" w:rsidRPr="00831115" w:rsidRDefault="001108DE" w:rsidP="00831115">
            <w:pPr>
              <w:pStyle w:val="PlainText"/>
            </w:pPr>
            <w:r>
              <w:t>No observations to make.</w:t>
            </w:r>
          </w:p>
        </w:tc>
      </w:tr>
      <w:tr w:rsidR="008C75E4" w:rsidRPr="008C75E4" w:rsidTr="000E61F1">
        <w:trPr>
          <w:trHeight w:hRule="exact" w:val="144"/>
          <w:jc w:val="center"/>
        </w:trPr>
        <w:tc>
          <w:tcPr>
            <w:tcW w:w="9493" w:type="dxa"/>
            <w:gridSpan w:val="13"/>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bl>
    <w:tbl>
      <w:tblPr>
        <w:tblStyle w:val="TableGrid"/>
        <w:tblpPr w:leftFromText="180" w:rightFromText="180" w:vertAnchor="text" w:tblpXSpec="center"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65"/>
        <w:gridCol w:w="6066"/>
      </w:tblGrid>
      <w:tr w:rsidR="00AB3914" w:rsidRPr="0095114B" w:rsidTr="00AB3914">
        <w:tc>
          <w:tcPr>
            <w:tcW w:w="3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AB3914" w:rsidRPr="0095114B" w:rsidRDefault="00AB3914" w:rsidP="00AB3914">
            <w:pPr>
              <w:rPr>
                <w:rFonts w:asciiTheme="minorHAnsi" w:hAnsiTheme="minorHAnsi" w:cstheme="minorHAnsi"/>
                <w:b/>
                <w:szCs w:val="22"/>
              </w:rPr>
            </w:pPr>
            <w:r w:rsidRPr="0095114B">
              <w:rPr>
                <w:rFonts w:asciiTheme="minorHAnsi" w:hAnsiTheme="minorHAnsi" w:cstheme="minorHAnsi"/>
                <w:b/>
                <w:szCs w:val="22"/>
              </w:rPr>
              <w:t xml:space="preserve">CONSULTATIONS: </w:t>
            </w:r>
          </w:p>
        </w:tc>
        <w:tc>
          <w:tcPr>
            <w:tcW w:w="60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B3914" w:rsidRPr="0095114B" w:rsidRDefault="00AB3914" w:rsidP="00AB3914">
            <w:pPr>
              <w:rPr>
                <w:rFonts w:asciiTheme="minorHAnsi" w:hAnsiTheme="minorHAnsi" w:cstheme="minorHAnsi"/>
                <w:b/>
                <w:szCs w:val="22"/>
              </w:rPr>
            </w:pPr>
            <w:r w:rsidRPr="0095114B">
              <w:rPr>
                <w:rFonts w:asciiTheme="minorHAnsi" w:hAnsiTheme="minorHAnsi" w:cstheme="minorHAnsi"/>
                <w:b/>
                <w:szCs w:val="22"/>
              </w:rPr>
              <w:t>Highways/Water Authority/Other Bodies</w:t>
            </w:r>
          </w:p>
        </w:tc>
      </w:tr>
      <w:tr w:rsidR="00AB3914" w:rsidRPr="0095114B" w:rsidTr="00AB3914">
        <w:tc>
          <w:tcPr>
            <w:tcW w:w="3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AB3914" w:rsidRPr="0095114B" w:rsidRDefault="00AB3914" w:rsidP="00AB3914">
            <w:pPr>
              <w:rPr>
                <w:rFonts w:asciiTheme="minorHAnsi" w:hAnsiTheme="minorHAnsi" w:cstheme="minorHAnsi"/>
                <w:b/>
                <w:szCs w:val="22"/>
              </w:rPr>
            </w:pPr>
            <w:r w:rsidRPr="0095114B">
              <w:rPr>
                <w:rFonts w:asciiTheme="minorHAnsi" w:hAnsiTheme="minorHAnsi" w:cstheme="minorHAnsi"/>
                <w:b/>
                <w:szCs w:val="22"/>
              </w:rPr>
              <w:t>LCC Highways:</w:t>
            </w:r>
          </w:p>
        </w:tc>
        <w:tc>
          <w:tcPr>
            <w:tcW w:w="60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B3914" w:rsidRPr="0095114B" w:rsidRDefault="00AB3914" w:rsidP="00AB3914">
            <w:pPr>
              <w:rPr>
                <w:rFonts w:asciiTheme="minorHAnsi" w:hAnsiTheme="minorHAnsi" w:cstheme="minorHAnsi"/>
                <w:b/>
                <w:szCs w:val="22"/>
              </w:rPr>
            </w:pPr>
          </w:p>
        </w:tc>
      </w:tr>
      <w:tr w:rsidR="00AB3914" w:rsidRPr="0095114B" w:rsidTr="00AB3914">
        <w:tc>
          <w:tcPr>
            <w:tcW w:w="95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AB3914" w:rsidRPr="0095114B" w:rsidRDefault="00AB3914" w:rsidP="00AB3914">
            <w:pPr>
              <w:rPr>
                <w:rFonts w:asciiTheme="minorHAnsi" w:hAnsiTheme="minorHAnsi" w:cstheme="minorHAnsi"/>
                <w:szCs w:val="22"/>
              </w:rPr>
            </w:pPr>
            <w:r>
              <w:rPr>
                <w:rFonts w:asciiTheme="minorHAnsi" w:hAnsiTheme="minorHAnsi" w:cstheme="minorHAnsi"/>
                <w:szCs w:val="22"/>
              </w:rPr>
              <w:t>No objection.</w:t>
            </w:r>
          </w:p>
        </w:tc>
      </w:tr>
    </w:tbl>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7"/>
        <w:gridCol w:w="238"/>
        <w:gridCol w:w="6418"/>
      </w:tblGrid>
      <w:tr w:rsidR="008C75E4" w:rsidRPr="008C75E4" w:rsidTr="00AB3914">
        <w:trPr>
          <w:jc w:val="center"/>
        </w:trPr>
        <w:tc>
          <w:tcPr>
            <w:tcW w:w="3075" w:type="dxa"/>
            <w:gridSpan w:val="2"/>
            <w:tcMar>
              <w:top w:w="57" w:type="dxa"/>
              <w:bottom w:w="57" w:type="dxa"/>
            </w:tcMar>
          </w:tcPr>
          <w:p w:rsidR="00C0704D" w:rsidRPr="000E61F1" w:rsidRDefault="00C0704D" w:rsidP="006126D1">
            <w:pPr>
              <w:jc w:val="both"/>
              <w:rPr>
                <w:rFonts w:asciiTheme="minorHAnsi" w:hAnsiTheme="minorHAnsi"/>
                <w:b/>
                <w:szCs w:val="22"/>
              </w:rPr>
            </w:pPr>
            <w:r w:rsidRPr="000E61F1">
              <w:rPr>
                <w:rFonts w:asciiTheme="minorHAnsi" w:hAnsiTheme="minorHAnsi"/>
                <w:b/>
                <w:szCs w:val="22"/>
              </w:rPr>
              <w:t xml:space="preserve">CONSULTATIONS: </w:t>
            </w:r>
          </w:p>
        </w:tc>
        <w:tc>
          <w:tcPr>
            <w:tcW w:w="6418" w:type="dxa"/>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AB3914">
        <w:trPr>
          <w:jc w:val="center"/>
        </w:trPr>
        <w:tc>
          <w:tcPr>
            <w:tcW w:w="9493" w:type="dxa"/>
            <w:gridSpan w:val="3"/>
            <w:tcBorders>
              <w:bottom w:val="single" w:sz="4" w:space="0" w:color="BFBFBF" w:themeColor="background1" w:themeShade="BF"/>
            </w:tcBorders>
            <w:tcMar>
              <w:top w:w="57" w:type="dxa"/>
              <w:bottom w:w="57" w:type="dxa"/>
            </w:tcMar>
          </w:tcPr>
          <w:p w:rsidR="005E374C" w:rsidRPr="000E61F1" w:rsidRDefault="006D54CD" w:rsidP="006D54CD">
            <w:pPr>
              <w:jc w:val="both"/>
              <w:rPr>
                <w:rFonts w:asciiTheme="minorHAnsi" w:hAnsiTheme="minorHAnsi"/>
                <w:szCs w:val="22"/>
              </w:rPr>
            </w:pPr>
            <w:r w:rsidRPr="000E61F1">
              <w:rPr>
                <w:rFonts w:asciiTheme="minorHAnsi" w:hAnsiTheme="minorHAnsi"/>
                <w:szCs w:val="22"/>
              </w:rPr>
              <w:t>No representations have been received.</w:t>
            </w:r>
          </w:p>
        </w:tc>
      </w:tr>
      <w:tr w:rsidR="008C75E4" w:rsidRPr="008C75E4" w:rsidTr="00AB3914">
        <w:trPr>
          <w:trHeight w:hRule="exact" w:val="144"/>
          <w:jc w:val="center"/>
        </w:trPr>
        <w:tc>
          <w:tcPr>
            <w:tcW w:w="9493" w:type="dxa"/>
            <w:gridSpan w:val="3"/>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42757D" w:rsidTr="00AB3914">
        <w:trPr>
          <w:jc w:val="center"/>
        </w:trPr>
        <w:tc>
          <w:tcPr>
            <w:tcW w:w="9493" w:type="dxa"/>
            <w:gridSpan w:val="3"/>
            <w:tcMar>
              <w:top w:w="57" w:type="dxa"/>
              <w:bottom w:w="57" w:type="dxa"/>
            </w:tcMar>
          </w:tcPr>
          <w:p w:rsidR="00C0704D" w:rsidRPr="0042757D" w:rsidRDefault="00C0704D" w:rsidP="006126D1">
            <w:pPr>
              <w:jc w:val="both"/>
              <w:rPr>
                <w:rFonts w:asciiTheme="minorHAnsi" w:hAnsiTheme="minorHAnsi" w:cstheme="minorHAnsi"/>
                <w:b/>
                <w:szCs w:val="22"/>
              </w:rPr>
            </w:pPr>
            <w:r w:rsidRPr="0042757D">
              <w:rPr>
                <w:rFonts w:asciiTheme="minorHAnsi" w:hAnsiTheme="minorHAnsi" w:cstheme="minorHAnsi"/>
                <w:b/>
                <w:szCs w:val="22"/>
              </w:rPr>
              <w:t>RELEVANT POLICIES AND SITE PLANNING HISTORY:</w:t>
            </w:r>
          </w:p>
        </w:tc>
      </w:tr>
      <w:tr w:rsidR="008C75E4" w:rsidRPr="0042757D" w:rsidTr="00AB3914">
        <w:trPr>
          <w:trHeight w:val="864"/>
          <w:jc w:val="center"/>
        </w:trPr>
        <w:tc>
          <w:tcPr>
            <w:tcW w:w="9493" w:type="dxa"/>
            <w:gridSpan w:val="3"/>
            <w:tcMar>
              <w:top w:w="57" w:type="dxa"/>
              <w:bottom w:w="57" w:type="dxa"/>
            </w:tcMar>
          </w:tcPr>
          <w:p w:rsidR="0042757D" w:rsidRPr="00DF526A" w:rsidRDefault="0042757D" w:rsidP="0042757D">
            <w:pPr>
              <w:pStyle w:val="PLANNING"/>
              <w:rPr>
                <w:rFonts w:asciiTheme="minorHAnsi" w:hAnsiTheme="minorHAnsi" w:cstheme="minorHAnsi"/>
                <w:b/>
                <w:bCs/>
                <w:szCs w:val="22"/>
              </w:rPr>
            </w:pPr>
            <w:r w:rsidRPr="00DF526A">
              <w:rPr>
                <w:rFonts w:asciiTheme="minorHAnsi" w:hAnsiTheme="minorHAnsi" w:cstheme="minorHAnsi"/>
                <w:b/>
                <w:bCs/>
                <w:szCs w:val="22"/>
              </w:rPr>
              <w:t>Ribble Valley Core Strategy:</w:t>
            </w:r>
          </w:p>
          <w:p w:rsidR="00A2019B" w:rsidRDefault="00C4415A" w:rsidP="003520CC">
            <w:pPr>
              <w:jc w:val="both"/>
              <w:rPr>
                <w:rFonts w:asciiTheme="minorHAnsi" w:hAnsiTheme="minorHAnsi" w:cstheme="minorHAnsi"/>
                <w:szCs w:val="22"/>
              </w:rPr>
            </w:pPr>
            <w:r>
              <w:rPr>
                <w:rFonts w:asciiTheme="minorHAnsi" w:hAnsiTheme="minorHAnsi" w:cstheme="minorHAnsi"/>
                <w:szCs w:val="22"/>
              </w:rPr>
              <w:t>Key Statement DS1 – Development Strategy</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Key Statement EN5 - Heritage Assets</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Key Statement EC1 – Business and Employment Development</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Key Statement EC3 – Visitor Economy</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DMG1 – General Considerations</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DMG2 – Strategic Considerations</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DMG3 – Transport and Mobility</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DME2 – Landscape and Townscape Protection</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DME3 – Site and Species Protection and Conservation</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DME4 – Protecting Heritage Assets</w:t>
            </w:r>
          </w:p>
          <w:p w:rsidR="00C4415A" w:rsidRDefault="00C4415A" w:rsidP="003520CC">
            <w:pPr>
              <w:jc w:val="both"/>
              <w:rPr>
                <w:rFonts w:asciiTheme="minorHAnsi" w:hAnsiTheme="minorHAnsi" w:cstheme="minorHAnsi"/>
                <w:szCs w:val="22"/>
              </w:rPr>
            </w:pPr>
            <w:r>
              <w:rPr>
                <w:rFonts w:asciiTheme="minorHAnsi" w:hAnsiTheme="minorHAnsi" w:cstheme="minorHAnsi"/>
                <w:szCs w:val="22"/>
              </w:rPr>
              <w:t>Policy DMB3 – Recreation and Tourism Development</w:t>
            </w:r>
          </w:p>
          <w:p w:rsidR="003520CC" w:rsidRPr="00DF526A" w:rsidRDefault="003520CC" w:rsidP="003520CC">
            <w:pPr>
              <w:jc w:val="both"/>
              <w:rPr>
                <w:rFonts w:asciiTheme="minorHAnsi" w:hAnsiTheme="minorHAnsi" w:cstheme="minorHAnsi"/>
              </w:rPr>
            </w:pPr>
          </w:p>
          <w:p w:rsidR="0042757D" w:rsidRPr="00DF526A" w:rsidRDefault="0042757D" w:rsidP="0042757D">
            <w:pPr>
              <w:jc w:val="both"/>
              <w:rPr>
                <w:rFonts w:asciiTheme="minorHAnsi" w:hAnsiTheme="minorHAnsi" w:cstheme="minorHAnsi"/>
                <w:b/>
              </w:rPr>
            </w:pPr>
            <w:r w:rsidRPr="00DF526A">
              <w:rPr>
                <w:rFonts w:asciiTheme="minorHAnsi" w:hAnsiTheme="minorHAnsi" w:cstheme="minorHAnsi"/>
                <w:b/>
              </w:rPr>
              <w:t>National Planning Policy Framework</w:t>
            </w:r>
          </w:p>
          <w:p w:rsidR="000671C4" w:rsidRPr="007D0F8F" w:rsidRDefault="0042757D" w:rsidP="0042757D">
            <w:pPr>
              <w:jc w:val="both"/>
              <w:rPr>
                <w:rFonts w:asciiTheme="minorHAnsi" w:hAnsiTheme="minorHAnsi" w:cstheme="minorHAnsi"/>
                <w:b/>
              </w:rPr>
            </w:pPr>
            <w:r w:rsidRPr="00DF526A">
              <w:rPr>
                <w:rFonts w:asciiTheme="minorHAnsi" w:hAnsiTheme="minorHAnsi" w:cstheme="minorHAnsi"/>
                <w:b/>
              </w:rPr>
              <w:t>National Planning Policy Guidance</w:t>
            </w:r>
          </w:p>
        </w:tc>
      </w:tr>
      <w:tr w:rsidR="008C75E4" w:rsidRPr="0042757D" w:rsidTr="00AB3914">
        <w:trPr>
          <w:trHeight w:val="864"/>
          <w:jc w:val="center"/>
        </w:trPr>
        <w:tc>
          <w:tcPr>
            <w:tcW w:w="9493" w:type="dxa"/>
            <w:gridSpan w:val="3"/>
            <w:tcBorders>
              <w:bottom w:val="single" w:sz="4" w:space="0" w:color="BFBFBF" w:themeColor="background1" w:themeShade="BF"/>
            </w:tcBorders>
            <w:tcMar>
              <w:top w:w="57" w:type="dxa"/>
              <w:bottom w:w="57" w:type="dxa"/>
            </w:tcMar>
          </w:tcPr>
          <w:p w:rsidR="00C0704D" w:rsidRDefault="00C0704D" w:rsidP="006126D1">
            <w:pPr>
              <w:pStyle w:val="PLANNING"/>
              <w:rPr>
                <w:rFonts w:asciiTheme="minorHAnsi" w:hAnsiTheme="minorHAnsi" w:cstheme="minorHAnsi"/>
                <w:b/>
                <w:bCs/>
                <w:szCs w:val="22"/>
              </w:rPr>
            </w:pPr>
            <w:r w:rsidRPr="00A2019B">
              <w:rPr>
                <w:rFonts w:asciiTheme="minorHAnsi" w:hAnsiTheme="minorHAnsi" w:cstheme="minorHAnsi"/>
                <w:b/>
                <w:bCs/>
                <w:szCs w:val="22"/>
              </w:rPr>
              <w:t>Relevant Planning History:</w:t>
            </w:r>
          </w:p>
          <w:p w:rsidR="007D0F8F" w:rsidRDefault="00A64BC2" w:rsidP="0042757D">
            <w:pPr>
              <w:jc w:val="both"/>
              <w:rPr>
                <w:rFonts w:asciiTheme="minorHAnsi" w:hAnsiTheme="minorHAnsi" w:cstheme="minorHAnsi"/>
              </w:rPr>
            </w:pPr>
            <w:r w:rsidRPr="00A64BC2">
              <w:rPr>
                <w:rFonts w:asciiTheme="minorHAnsi" w:hAnsiTheme="minorHAnsi" w:cstheme="minorHAnsi"/>
              </w:rPr>
              <w:t xml:space="preserve">3/2014/0353 </w:t>
            </w:r>
            <w:r w:rsidR="007D0F8F">
              <w:rPr>
                <w:rFonts w:asciiTheme="minorHAnsi" w:hAnsiTheme="minorHAnsi" w:cstheme="minorHAnsi"/>
              </w:rPr>
              <w:t xml:space="preserve">– </w:t>
            </w:r>
            <w:r w:rsidRPr="00A64BC2">
              <w:rPr>
                <w:rFonts w:asciiTheme="minorHAnsi" w:hAnsiTheme="minorHAnsi" w:cstheme="minorHAnsi"/>
              </w:rPr>
              <w:t>Demolition of outhouse and erection of single storey rear and side extension.  formation of new off-road parking and access road.  conversion of former cottage (currently garage) to self-contained annexe to main dwelling</w:t>
            </w:r>
            <w:r>
              <w:rPr>
                <w:rFonts w:asciiTheme="minorHAnsi" w:hAnsiTheme="minorHAnsi" w:cstheme="minorHAnsi"/>
              </w:rPr>
              <w:t>. Approved with Conditions.</w:t>
            </w:r>
          </w:p>
          <w:p w:rsidR="00A64BC2" w:rsidRDefault="00A64BC2" w:rsidP="0042757D">
            <w:pPr>
              <w:jc w:val="both"/>
              <w:rPr>
                <w:rFonts w:asciiTheme="minorHAnsi" w:hAnsiTheme="minorHAnsi" w:cstheme="minorHAnsi"/>
              </w:rPr>
            </w:pPr>
          </w:p>
          <w:p w:rsidR="00A64BC2" w:rsidRPr="003520CC" w:rsidRDefault="00A64BC2" w:rsidP="0042757D">
            <w:pPr>
              <w:jc w:val="both"/>
              <w:rPr>
                <w:rFonts w:asciiTheme="minorHAnsi" w:hAnsiTheme="minorHAnsi" w:cstheme="minorHAnsi"/>
              </w:rPr>
            </w:pPr>
            <w:r w:rsidRPr="00A64BC2">
              <w:rPr>
                <w:rFonts w:asciiTheme="minorHAnsi" w:hAnsiTheme="minorHAnsi" w:cstheme="minorHAnsi"/>
              </w:rPr>
              <w:t>3/2015/1029</w:t>
            </w:r>
            <w:r>
              <w:rPr>
                <w:rFonts w:asciiTheme="minorHAnsi" w:hAnsiTheme="minorHAnsi" w:cstheme="minorHAnsi"/>
              </w:rPr>
              <w:t xml:space="preserve"> - </w:t>
            </w:r>
            <w:r w:rsidRPr="00A64BC2">
              <w:rPr>
                <w:rFonts w:asciiTheme="minorHAnsi" w:hAnsiTheme="minorHAnsi" w:cstheme="minorHAnsi"/>
              </w:rPr>
              <w:t>Discharge of condition 3 materials of planning permission 3/2014/0353</w:t>
            </w:r>
            <w:r>
              <w:rPr>
                <w:rFonts w:asciiTheme="minorHAnsi" w:hAnsiTheme="minorHAnsi" w:cstheme="minorHAnsi"/>
              </w:rPr>
              <w:t>. Approved.</w:t>
            </w:r>
          </w:p>
        </w:tc>
      </w:tr>
      <w:tr w:rsidR="008C75E4" w:rsidRPr="008C75E4" w:rsidTr="00AB3914">
        <w:trPr>
          <w:trHeight w:hRule="exact" w:val="144"/>
          <w:jc w:val="center"/>
        </w:trPr>
        <w:tc>
          <w:tcPr>
            <w:tcW w:w="9493" w:type="dxa"/>
            <w:gridSpan w:val="3"/>
            <w:tcBorders>
              <w:left w:val="nil"/>
              <w:right w:val="nil"/>
            </w:tcBorders>
            <w:tcMar>
              <w:top w:w="57" w:type="dxa"/>
              <w:bottom w:w="57" w:type="dxa"/>
            </w:tcMar>
          </w:tcPr>
          <w:p w:rsidR="003F16AA" w:rsidRPr="000D2CC4" w:rsidRDefault="003F16AA" w:rsidP="00504440">
            <w:pPr>
              <w:rPr>
                <w:sz w:val="4"/>
                <w:szCs w:val="4"/>
              </w:rPr>
            </w:pPr>
          </w:p>
        </w:tc>
      </w:tr>
      <w:tr w:rsidR="008C75E4" w:rsidRPr="008C75E4" w:rsidTr="00AB3914">
        <w:trPr>
          <w:jc w:val="center"/>
        </w:trPr>
        <w:tc>
          <w:tcPr>
            <w:tcW w:w="9493" w:type="dxa"/>
            <w:gridSpan w:val="3"/>
            <w:tcMar>
              <w:top w:w="57" w:type="dxa"/>
              <w:bottom w:w="57" w:type="dxa"/>
            </w:tcMar>
          </w:tcPr>
          <w:p w:rsidR="00C0704D" w:rsidRPr="000D2CC4" w:rsidRDefault="00C0704D" w:rsidP="006126D1">
            <w:pPr>
              <w:jc w:val="both"/>
              <w:rPr>
                <w:rFonts w:ascii="Calibri" w:hAnsi="Calibri"/>
                <w:b/>
                <w:szCs w:val="22"/>
              </w:rPr>
            </w:pPr>
            <w:r w:rsidRPr="000D2CC4">
              <w:rPr>
                <w:rFonts w:ascii="Calibri" w:hAnsi="Calibri"/>
                <w:b/>
                <w:bCs/>
                <w:szCs w:val="22"/>
              </w:rPr>
              <w:lastRenderedPageBreak/>
              <w:t>ASSESSMENT PROPOSED DEVELOPMENT:</w:t>
            </w:r>
            <w:r w:rsidR="00A2019B">
              <w:rPr>
                <w:rFonts w:ascii="Calibri" w:hAnsi="Calibri"/>
                <w:b/>
                <w:bCs/>
                <w:szCs w:val="22"/>
              </w:rPr>
              <w:t xml:space="preserve"> </w:t>
            </w:r>
          </w:p>
        </w:tc>
      </w:tr>
      <w:tr w:rsidR="008C75E4" w:rsidRPr="008C75E4" w:rsidTr="00AB3914">
        <w:trPr>
          <w:trHeight w:val="1152"/>
          <w:jc w:val="center"/>
        </w:trPr>
        <w:tc>
          <w:tcPr>
            <w:tcW w:w="9493" w:type="dxa"/>
            <w:gridSpan w:val="3"/>
            <w:tcMar>
              <w:top w:w="57" w:type="dxa"/>
              <w:bottom w:w="57" w:type="dxa"/>
            </w:tcMar>
          </w:tcPr>
          <w:p w:rsidR="00AE4372" w:rsidRDefault="00C0704D" w:rsidP="007D0F8F">
            <w:pPr>
              <w:pStyle w:val="Header"/>
              <w:tabs>
                <w:tab w:val="clear" w:pos="4153"/>
                <w:tab w:val="clear" w:pos="8306"/>
              </w:tabs>
              <w:contextualSpacing/>
              <w:jc w:val="both"/>
              <w:rPr>
                <w:rFonts w:asciiTheme="minorHAnsi" w:hAnsiTheme="minorHAnsi" w:cstheme="minorHAnsi"/>
                <w:b/>
                <w:szCs w:val="22"/>
              </w:rPr>
            </w:pPr>
            <w:r w:rsidRPr="009F7A60">
              <w:rPr>
                <w:rFonts w:asciiTheme="minorHAnsi" w:hAnsiTheme="minorHAnsi" w:cstheme="minorHAnsi"/>
                <w:b/>
                <w:szCs w:val="22"/>
              </w:rPr>
              <w:t>Site Description and Surrounding Area:</w:t>
            </w:r>
          </w:p>
          <w:p w:rsidR="003469AF" w:rsidRDefault="00C4415A" w:rsidP="007D0F8F">
            <w:pPr>
              <w:pStyle w:val="Header"/>
              <w:tabs>
                <w:tab w:val="clear" w:pos="4153"/>
                <w:tab w:val="clear" w:pos="8306"/>
              </w:tabs>
              <w:jc w:val="both"/>
              <w:rPr>
                <w:rFonts w:asciiTheme="minorHAnsi" w:hAnsiTheme="minorHAnsi" w:cstheme="minorHAnsi"/>
              </w:rPr>
            </w:pPr>
            <w:r>
              <w:rPr>
                <w:rFonts w:asciiTheme="minorHAnsi" w:hAnsiTheme="minorHAnsi" w:cstheme="minorHAnsi"/>
              </w:rPr>
              <w:t xml:space="preserve">The application site lies within the Tier 2 Settlement of Chatburn and is located within the Chatburn Conservation Area. 59 Downham Road is a detached two storey dwelling </w:t>
            </w:r>
            <w:r w:rsidR="00022159">
              <w:rPr>
                <w:rFonts w:asciiTheme="minorHAnsi" w:hAnsiTheme="minorHAnsi" w:cstheme="minorHAnsi"/>
              </w:rPr>
              <w:t>of traditional stone construction</w:t>
            </w:r>
            <w:r w:rsidR="003469AF">
              <w:rPr>
                <w:rFonts w:asciiTheme="minorHAnsi" w:hAnsiTheme="minorHAnsi" w:cstheme="minorHAnsi"/>
              </w:rPr>
              <w:t xml:space="preserve"> and was formerly a doctor’s surgery</w:t>
            </w:r>
            <w:r w:rsidR="00022159">
              <w:rPr>
                <w:rFonts w:asciiTheme="minorHAnsi" w:hAnsiTheme="minorHAnsi" w:cstheme="minorHAnsi"/>
              </w:rPr>
              <w:t>. Adjacent to the main property and in common ownership is a former cottage</w:t>
            </w:r>
            <w:r w:rsidR="007E2F00">
              <w:rPr>
                <w:rFonts w:asciiTheme="minorHAnsi" w:hAnsiTheme="minorHAnsi" w:cstheme="minorHAnsi"/>
              </w:rPr>
              <w:t xml:space="preserve"> (now garage)</w:t>
            </w:r>
            <w:r w:rsidR="00022159">
              <w:rPr>
                <w:rFonts w:asciiTheme="minorHAnsi" w:hAnsiTheme="minorHAnsi" w:cstheme="minorHAnsi"/>
              </w:rPr>
              <w:t xml:space="preserve"> which is the subject of this planning application. </w:t>
            </w:r>
          </w:p>
          <w:p w:rsidR="003469AF" w:rsidRDefault="003469AF" w:rsidP="007D0F8F">
            <w:pPr>
              <w:pStyle w:val="Header"/>
              <w:tabs>
                <w:tab w:val="clear" w:pos="4153"/>
                <w:tab w:val="clear" w:pos="8306"/>
              </w:tabs>
              <w:jc w:val="both"/>
              <w:rPr>
                <w:rFonts w:asciiTheme="minorHAnsi" w:hAnsiTheme="minorHAnsi" w:cstheme="minorHAnsi"/>
              </w:rPr>
            </w:pPr>
          </w:p>
          <w:p w:rsidR="00022159" w:rsidRPr="00146BF5" w:rsidRDefault="00022159" w:rsidP="007D0F8F">
            <w:pPr>
              <w:pStyle w:val="Header"/>
              <w:tabs>
                <w:tab w:val="clear" w:pos="4153"/>
                <w:tab w:val="clear" w:pos="8306"/>
              </w:tabs>
              <w:jc w:val="both"/>
              <w:rPr>
                <w:rFonts w:asciiTheme="minorHAnsi" w:hAnsiTheme="minorHAnsi" w:cstheme="minorHAnsi"/>
              </w:rPr>
            </w:pPr>
            <w:r>
              <w:rPr>
                <w:rFonts w:asciiTheme="minorHAnsi" w:hAnsiTheme="minorHAnsi" w:cstheme="minorHAnsi"/>
              </w:rPr>
              <w:t xml:space="preserve">This building is the end property of a </w:t>
            </w:r>
            <w:r w:rsidR="003469AF">
              <w:rPr>
                <w:rFonts w:asciiTheme="minorHAnsi" w:hAnsiTheme="minorHAnsi" w:cstheme="minorHAnsi"/>
              </w:rPr>
              <w:t>short-terraced</w:t>
            </w:r>
            <w:r>
              <w:rPr>
                <w:rFonts w:asciiTheme="minorHAnsi" w:hAnsiTheme="minorHAnsi" w:cstheme="minorHAnsi"/>
              </w:rPr>
              <w:t xml:space="preserve"> row which includes 53 and 55-57 Downham Road, the latter of which is grade II listed and directly adjoins the </w:t>
            </w:r>
            <w:r w:rsidR="007E2F00">
              <w:rPr>
                <w:rFonts w:asciiTheme="minorHAnsi" w:hAnsiTheme="minorHAnsi" w:cstheme="minorHAnsi"/>
              </w:rPr>
              <w:t>garage</w:t>
            </w:r>
            <w:r>
              <w:rPr>
                <w:rFonts w:asciiTheme="minorHAnsi" w:hAnsiTheme="minorHAnsi" w:cstheme="minorHAnsi"/>
              </w:rPr>
              <w:t xml:space="preserve"> building.</w:t>
            </w:r>
            <w:r w:rsidR="003469AF">
              <w:rPr>
                <w:rFonts w:asciiTheme="minorHAnsi" w:hAnsiTheme="minorHAnsi" w:cstheme="minorHAnsi"/>
              </w:rPr>
              <w:t xml:space="preserve"> The cottage is constructed from stone with a stone slate roof.</w:t>
            </w:r>
          </w:p>
        </w:tc>
      </w:tr>
      <w:tr w:rsidR="008C75E4" w:rsidRPr="008C75E4" w:rsidTr="00AB3914">
        <w:trPr>
          <w:trHeight w:val="1152"/>
          <w:jc w:val="center"/>
        </w:trPr>
        <w:tc>
          <w:tcPr>
            <w:tcW w:w="9493" w:type="dxa"/>
            <w:gridSpan w:val="3"/>
            <w:tcMar>
              <w:top w:w="57" w:type="dxa"/>
              <w:bottom w:w="57" w:type="dxa"/>
            </w:tcMar>
          </w:tcPr>
          <w:p w:rsidR="00F8201E" w:rsidRPr="00014E55" w:rsidRDefault="00C0704D" w:rsidP="00454754">
            <w:pPr>
              <w:pStyle w:val="Header"/>
              <w:tabs>
                <w:tab w:val="clear" w:pos="4153"/>
                <w:tab w:val="clear" w:pos="8306"/>
              </w:tabs>
              <w:jc w:val="both"/>
              <w:rPr>
                <w:rFonts w:asciiTheme="minorHAnsi" w:hAnsiTheme="minorHAnsi" w:cstheme="minorHAnsi"/>
                <w:b/>
                <w:szCs w:val="22"/>
              </w:rPr>
            </w:pPr>
            <w:r w:rsidRPr="00014E55">
              <w:rPr>
                <w:rFonts w:asciiTheme="minorHAnsi" w:hAnsiTheme="minorHAnsi" w:cstheme="minorHAnsi"/>
                <w:b/>
                <w:szCs w:val="22"/>
              </w:rPr>
              <w:t>Proposed Development for which consent is sought:</w:t>
            </w:r>
          </w:p>
          <w:p w:rsidR="003469AF" w:rsidRDefault="001F6CBD" w:rsidP="00BC6600">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The applicant seeks permission</w:t>
            </w:r>
            <w:r w:rsidR="003469AF">
              <w:rPr>
                <w:rFonts w:asciiTheme="minorHAnsi" w:hAnsiTheme="minorHAnsi" w:cstheme="minorHAnsi"/>
                <w:szCs w:val="22"/>
              </w:rPr>
              <w:t xml:space="preserve"> to the change use of the existing building into a single unit of holiday accommodation.</w:t>
            </w:r>
            <w:r w:rsidR="005B1262">
              <w:rPr>
                <w:rFonts w:asciiTheme="minorHAnsi" w:hAnsiTheme="minorHAnsi" w:cstheme="minorHAnsi"/>
                <w:szCs w:val="22"/>
              </w:rPr>
              <w:t xml:space="preserve"> The holiday cottage would provide one-bedroom accommodation with bedroom with en-suite at first floor and shared kitchen/living/dining space at ground floor. External alterations to the building include infilling part of the existing garage door opening to create a new door and window. No alterations are proposed to the rear. On the east (side) elevation existing doorways at ground and first floor would be altered to windows and an existing external stairway would be removed.</w:t>
            </w:r>
          </w:p>
          <w:p w:rsidR="003469AF" w:rsidRDefault="003469AF" w:rsidP="00BC6600">
            <w:pPr>
              <w:pStyle w:val="Header"/>
              <w:tabs>
                <w:tab w:val="clear" w:pos="4153"/>
                <w:tab w:val="clear" w:pos="8306"/>
              </w:tabs>
              <w:jc w:val="both"/>
              <w:rPr>
                <w:rFonts w:asciiTheme="minorHAnsi" w:hAnsiTheme="minorHAnsi" w:cstheme="minorHAnsi"/>
                <w:szCs w:val="22"/>
              </w:rPr>
            </w:pPr>
          </w:p>
          <w:p w:rsidR="00B470F6" w:rsidRPr="00BC6600" w:rsidRDefault="005B1262" w:rsidP="00BC6600">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 xml:space="preserve">Parking for the unit would be provided within the residential plot of 59 Downham Road with walkable access through an existing side gate between 59 Downham Road and the </w:t>
            </w:r>
            <w:r w:rsidR="007E2F00">
              <w:rPr>
                <w:rFonts w:asciiTheme="minorHAnsi" w:hAnsiTheme="minorHAnsi" w:cstheme="minorHAnsi"/>
                <w:szCs w:val="22"/>
              </w:rPr>
              <w:t>garage building</w:t>
            </w:r>
            <w:r>
              <w:rPr>
                <w:rFonts w:asciiTheme="minorHAnsi" w:hAnsiTheme="minorHAnsi" w:cstheme="minorHAnsi"/>
                <w:szCs w:val="22"/>
              </w:rPr>
              <w:t>.</w:t>
            </w:r>
          </w:p>
        </w:tc>
      </w:tr>
      <w:tr w:rsidR="00C214A6" w:rsidRPr="008C75E4" w:rsidTr="00AB3914">
        <w:trPr>
          <w:trHeight w:val="864"/>
          <w:jc w:val="center"/>
        </w:trPr>
        <w:tc>
          <w:tcPr>
            <w:tcW w:w="9493" w:type="dxa"/>
            <w:gridSpan w:val="3"/>
            <w:tcMar>
              <w:top w:w="57" w:type="dxa"/>
              <w:bottom w:w="57" w:type="dxa"/>
            </w:tcMar>
          </w:tcPr>
          <w:p w:rsidR="005B1262" w:rsidRDefault="005B1262" w:rsidP="000671C4">
            <w:pPr>
              <w:contextualSpacing/>
              <w:jc w:val="both"/>
              <w:rPr>
                <w:rFonts w:asciiTheme="minorHAnsi" w:hAnsiTheme="minorHAnsi" w:cstheme="minorHAnsi"/>
                <w:b/>
                <w:bCs/>
                <w:szCs w:val="22"/>
              </w:rPr>
            </w:pPr>
            <w:r>
              <w:rPr>
                <w:rFonts w:asciiTheme="minorHAnsi" w:hAnsiTheme="minorHAnsi" w:cstheme="minorHAnsi"/>
                <w:b/>
                <w:bCs/>
                <w:szCs w:val="22"/>
              </w:rPr>
              <w:t>Principle of Development:</w:t>
            </w:r>
          </w:p>
          <w:p w:rsidR="000671C4" w:rsidRPr="005B1262" w:rsidRDefault="005B1262" w:rsidP="005B1262">
            <w:pPr>
              <w:overflowPunct/>
              <w:jc w:val="both"/>
              <w:textAlignment w:val="auto"/>
              <w:rPr>
                <w:rFonts w:ascii="CIDFont+F2" w:eastAsiaTheme="minorHAnsi" w:hAnsi="CIDFont+F2" w:cs="CIDFont+F2"/>
                <w:szCs w:val="22"/>
              </w:rPr>
            </w:pPr>
            <w:r>
              <w:rPr>
                <w:rFonts w:ascii="CIDFont+F2" w:eastAsiaTheme="minorHAnsi" w:hAnsi="CIDFont+F2" w:cs="CIDFont+F2"/>
                <w:szCs w:val="22"/>
              </w:rPr>
              <w:t>Core Strategy Key Statement EC3 ‘Visitor Economy and policies DMG2 ‘Strategic Considerations’ and DMB3 ‘Recreation and Tourism Development’ generally support the creation of new holiday accommodation in the borough subject to a number of conditions. The proposal would be for the creation of small-scale tourism use within the settlement boundary of Chatburn. It would have good access to the highway network and would be within walkable distance of public transport. Therefore, in terms of its location the proposed building is considered entirely suitable for holiday use.</w:t>
            </w:r>
          </w:p>
        </w:tc>
      </w:tr>
      <w:tr w:rsidR="005B1262" w:rsidRPr="008C75E4" w:rsidTr="00AB3914">
        <w:trPr>
          <w:trHeight w:val="864"/>
          <w:jc w:val="center"/>
        </w:trPr>
        <w:tc>
          <w:tcPr>
            <w:tcW w:w="9493" w:type="dxa"/>
            <w:gridSpan w:val="3"/>
            <w:tcMar>
              <w:top w:w="57" w:type="dxa"/>
              <w:bottom w:w="57" w:type="dxa"/>
            </w:tcMar>
          </w:tcPr>
          <w:p w:rsidR="005B1262" w:rsidRDefault="00291F1E" w:rsidP="000671C4">
            <w:pPr>
              <w:contextualSpacing/>
              <w:jc w:val="both"/>
              <w:rPr>
                <w:rFonts w:asciiTheme="minorHAnsi" w:hAnsiTheme="minorHAnsi" w:cstheme="minorHAnsi"/>
                <w:b/>
                <w:bCs/>
                <w:szCs w:val="22"/>
              </w:rPr>
            </w:pPr>
            <w:r>
              <w:rPr>
                <w:rFonts w:asciiTheme="minorHAnsi" w:hAnsiTheme="minorHAnsi" w:cstheme="minorHAnsi"/>
                <w:b/>
                <w:bCs/>
                <w:szCs w:val="22"/>
              </w:rPr>
              <w:t>Design and Visual Appearance (including impact on Heritage Assets):</w:t>
            </w:r>
          </w:p>
          <w:p w:rsidR="00291F1E" w:rsidRPr="00291F1E" w:rsidRDefault="00291F1E" w:rsidP="00291F1E">
            <w:pPr>
              <w:overflowPunct/>
              <w:jc w:val="both"/>
              <w:textAlignment w:val="auto"/>
              <w:rPr>
                <w:rFonts w:asciiTheme="minorHAnsi" w:eastAsiaTheme="minorHAnsi" w:hAnsiTheme="minorHAnsi" w:cstheme="minorHAnsi"/>
                <w:szCs w:val="22"/>
              </w:rPr>
            </w:pPr>
            <w:r w:rsidRPr="00291F1E">
              <w:rPr>
                <w:rFonts w:asciiTheme="minorHAnsi" w:eastAsiaTheme="minorHAnsi" w:hAnsiTheme="minorHAnsi" w:cstheme="minorHAnsi"/>
                <w:szCs w:val="22"/>
              </w:rPr>
              <w:t>Consideration must be given to the impact of the proposals on the significance of the adjoining listed buildings and Chatburn Conservation Area. Heritage assets may be affected by direct physical change or by change in their setting.</w:t>
            </w:r>
          </w:p>
          <w:p w:rsidR="00291F1E" w:rsidRPr="00291F1E" w:rsidRDefault="00291F1E" w:rsidP="007E2F00">
            <w:pPr>
              <w:overflowPunct/>
              <w:jc w:val="both"/>
              <w:textAlignment w:val="auto"/>
              <w:rPr>
                <w:rFonts w:asciiTheme="minorHAnsi" w:eastAsiaTheme="minorHAnsi" w:hAnsiTheme="minorHAnsi" w:cstheme="minorHAnsi"/>
                <w:szCs w:val="22"/>
              </w:rPr>
            </w:pPr>
          </w:p>
          <w:p w:rsidR="00291F1E" w:rsidRPr="00291F1E" w:rsidRDefault="00291F1E" w:rsidP="007E2F00">
            <w:pPr>
              <w:jc w:val="both"/>
              <w:rPr>
                <w:rFonts w:asciiTheme="minorHAnsi" w:hAnsiTheme="minorHAnsi" w:cstheme="minorHAnsi"/>
                <w:szCs w:val="22"/>
                <w:shd w:val="clear" w:color="auto" w:fill="FFFFFF"/>
              </w:rPr>
            </w:pPr>
            <w:r w:rsidRPr="00291F1E">
              <w:rPr>
                <w:rFonts w:asciiTheme="minorHAnsi" w:hAnsiTheme="minorHAnsi" w:cstheme="minorHAnsi"/>
                <w:szCs w:val="22"/>
                <w:shd w:val="clear" w:color="auto" w:fill="FFFFFF"/>
              </w:rPr>
              <w:t xml:space="preserve">Section 66 </w:t>
            </w:r>
            <w:r w:rsidRPr="00291F1E">
              <w:rPr>
                <w:rFonts w:asciiTheme="minorHAnsi" w:hAnsiTheme="minorHAnsi" w:cstheme="minorHAnsi"/>
                <w:szCs w:val="22"/>
              </w:rPr>
              <w:t xml:space="preserve">of the Planning (Listed Buildings and Conservation Areas) Act 1990 </w:t>
            </w:r>
            <w:r w:rsidRPr="00291F1E">
              <w:rPr>
                <w:rFonts w:asciiTheme="minorHAnsi" w:hAnsiTheme="minorHAnsi" w:cstheme="minorHAnsi"/>
                <w:szCs w:val="22"/>
                <w:shd w:val="clear" w:color="auto" w:fill="FFFFFF"/>
              </w:rPr>
              <w:t>states: “In considering whether to grant planning permission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w:t>
            </w:r>
          </w:p>
          <w:p w:rsidR="00291F1E" w:rsidRPr="00291F1E" w:rsidRDefault="00291F1E" w:rsidP="007E2F00">
            <w:pPr>
              <w:overflowPunct/>
              <w:jc w:val="both"/>
              <w:textAlignment w:val="auto"/>
              <w:rPr>
                <w:rFonts w:asciiTheme="minorHAnsi" w:eastAsiaTheme="minorHAnsi" w:hAnsiTheme="minorHAnsi" w:cstheme="minorHAnsi"/>
                <w:szCs w:val="22"/>
              </w:rPr>
            </w:pPr>
          </w:p>
          <w:p w:rsidR="00291F1E" w:rsidRPr="00291F1E" w:rsidRDefault="00291F1E" w:rsidP="007E2F00">
            <w:pPr>
              <w:overflowPunct/>
              <w:jc w:val="both"/>
              <w:textAlignment w:val="auto"/>
              <w:rPr>
                <w:rFonts w:asciiTheme="minorHAnsi" w:hAnsiTheme="minorHAnsi" w:cstheme="minorHAnsi"/>
                <w:szCs w:val="22"/>
              </w:rPr>
            </w:pPr>
            <w:r w:rsidRPr="00291F1E">
              <w:rPr>
                <w:rFonts w:asciiTheme="minorHAnsi" w:hAnsiTheme="minorHAnsi" w:cstheme="minorHAnsi"/>
                <w:szCs w:val="22"/>
              </w:rPr>
              <w:t>Section 72(1) places a statutory duty upon the LPA to pay special attention to the desirability of preserving or enhancing the character or appearance of the conservation area.</w:t>
            </w:r>
          </w:p>
          <w:p w:rsidR="00291F1E" w:rsidRDefault="00291F1E" w:rsidP="007E2F00">
            <w:pPr>
              <w:overflowPunct/>
              <w:jc w:val="both"/>
              <w:textAlignment w:val="auto"/>
              <w:rPr>
                <w:rFonts w:ascii="CIDFont+F2" w:eastAsiaTheme="minorHAnsi" w:hAnsi="CIDFont+F2" w:cs="CIDFont+F2"/>
                <w:szCs w:val="22"/>
              </w:rPr>
            </w:pPr>
          </w:p>
          <w:p w:rsidR="00291F1E" w:rsidRDefault="00291F1E" w:rsidP="007E2F00">
            <w:pPr>
              <w:overflowPunct/>
              <w:jc w:val="both"/>
              <w:textAlignment w:val="auto"/>
              <w:rPr>
                <w:rFonts w:ascii="CIDFont+F2" w:eastAsiaTheme="minorHAnsi" w:hAnsi="CIDFont+F2" w:cs="CIDFont+F2"/>
                <w:szCs w:val="22"/>
              </w:rPr>
            </w:pPr>
            <w:r>
              <w:rPr>
                <w:rFonts w:ascii="CIDFont+F2" w:eastAsiaTheme="minorHAnsi" w:hAnsi="CIDFont+F2" w:cs="CIDFont+F2"/>
                <w:szCs w:val="22"/>
              </w:rPr>
              <w:t>A Heritage Statement supports the application.</w:t>
            </w:r>
            <w:r w:rsidR="007E2F00">
              <w:rPr>
                <w:rFonts w:ascii="CIDFont+F2" w:eastAsiaTheme="minorHAnsi" w:hAnsi="CIDFont+F2" w:cs="CIDFont+F2"/>
                <w:szCs w:val="22"/>
              </w:rPr>
              <w:t xml:space="preserve"> The author considers no.59 Downham Road and the existing garage building to be non-designated heritage assets and the garage is deemed to have a neutral, or minor negative, impact on the character of the Conservation Area. It is noted that whilst the building is cohesive with the rest of the row in terms of form and materials, the garage doors are anomalous within the streetscene.</w:t>
            </w:r>
          </w:p>
          <w:p w:rsidR="007E2F00" w:rsidRDefault="007E2F00" w:rsidP="007E2F00">
            <w:pPr>
              <w:overflowPunct/>
              <w:jc w:val="both"/>
              <w:textAlignment w:val="auto"/>
              <w:rPr>
                <w:rFonts w:ascii="CIDFont+F2" w:eastAsiaTheme="minorHAnsi" w:hAnsi="CIDFont+F2" w:cs="CIDFont+F2"/>
                <w:szCs w:val="22"/>
              </w:rPr>
            </w:pPr>
          </w:p>
          <w:p w:rsidR="007E2F00" w:rsidRDefault="007E2F00" w:rsidP="007E2F00">
            <w:pPr>
              <w:overflowPunct/>
              <w:jc w:val="both"/>
              <w:textAlignment w:val="auto"/>
              <w:rPr>
                <w:rFonts w:ascii="CIDFont+F2" w:eastAsiaTheme="minorHAnsi" w:hAnsi="CIDFont+F2" w:cs="CIDFont+F2"/>
                <w:szCs w:val="22"/>
              </w:rPr>
            </w:pPr>
            <w:r>
              <w:rPr>
                <w:rFonts w:ascii="CIDFont+F2" w:eastAsiaTheme="minorHAnsi" w:hAnsi="CIDFont+F2" w:cs="CIDFont+F2"/>
                <w:szCs w:val="22"/>
              </w:rPr>
              <w:t>Regarding the attached listed building</w:t>
            </w:r>
            <w:r w:rsidR="00E61E20">
              <w:rPr>
                <w:rFonts w:ascii="CIDFont+F2" w:eastAsiaTheme="minorHAnsi" w:hAnsi="CIDFont+F2" w:cs="CIDFont+F2"/>
                <w:szCs w:val="22"/>
              </w:rPr>
              <w:t>s, 55-57 Downham Road, their significance is considered to derive from their historic and architectural significance.</w:t>
            </w:r>
          </w:p>
          <w:p w:rsidR="00E61E20" w:rsidRDefault="00E61E20" w:rsidP="007E2F00">
            <w:pPr>
              <w:overflowPunct/>
              <w:jc w:val="both"/>
              <w:textAlignment w:val="auto"/>
              <w:rPr>
                <w:rFonts w:ascii="CIDFont+F2" w:eastAsiaTheme="minorHAnsi" w:hAnsi="CIDFont+F2" w:cs="CIDFont+F2"/>
                <w:szCs w:val="22"/>
              </w:rPr>
            </w:pPr>
          </w:p>
          <w:p w:rsidR="00291F1E" w:rsidRPr="00E61E20" w:rsidRDefault="00E61E20" w:rsidP="00E61E20">
            <w:pPr>
              <w:overflowPunct/>
              <w:jc w:val="both"/>
              <w:textAlignment w:val="auto"/>
              <w:rPr>
                <w:rFonts w:ascii="CIDFont+F2" w:eastAsiaTheme="minorHAnsi" w:hAnsi="CIDFont+F2" w:cs="CIDFont+F2"/>
                <w:szCs w:val="22"/>
              </w:rPr>
            </w:pPr>
            <w:r>
              <w:rPr>
                <w:rFonts w:ascii="CIDFont+F2" w:eastAsiaTheme="minorHAnsi" w:hAnsi="CIDFont+F2" w:cs="CIDFont+F2"/>
                <w:szCs w:val="22"/>
              </w:rPr>
              <w:t xml:space="preserve">It is proposed to remove the garage doors and rebuild the opening in matching coursed rubble limestone. The front elevation would be altered to replicate the appearance of nos. 55 and 57. All new windows would be timber casement windows. Having regard to the above, the proposals would continue the </w:t>
            </w:r>
            <w:r>
              <w:rPr>
                <w:rFonts w:ascii="CIDFont+F2" w:eastAsiaTheme="minorHAnsi" w:hAnsi="CIDFont+F2" w:cs="CIDFont+F2"/>
                <w:szCs w:val="22"/>
              </w:rPr>
              <w:lastRenderedPageBreak/>
              <w:t>architectural character of the row and would have no adverse impact of the setting of the adjacent listed building or the Conservation Area</w:t>
            </w:r>
            <w:r w:rsidR="00211FD6">
              <w:rPr>
                <w:rFonts w:ascii="CIDFont+F2" w:eastAsiaTheme="minorHAnsi" w:hAnsi="CIDFont+F2" w:cs="CIDFont+F2"/>
                <w:szCs w:val="22"/>
              </w:rPr>
              <w:t>, according with the requirements of Core Strategy Key Statement EN5 and Policy DME4</w:t>
            </w:r>
            <w:r w:rsidR="00FD3602">
              <w:rPr>
                <w:rFonts w:ascii="CIDFont+F2" w:eastAsiaTheme="minorHAnsi" w:hAnsi="CIDFont+F2" w:cs="CIDFont+F2"/>
                <w:szCs w:val="22"/>
              </w:rPr>
              <w:t xml:space="preserve"> subject to appropriate planning conditions</w:t>
            </w:r>
            <w:r>
              <w:rPr>
                <w:rFonts w:ascii="CIDFont+F2" w:eastAsiaTheme="minorHAnsi" w:hAnsi="CIDFont+F2" w:cs="CIDFont+F2"/>
                <w:szCs w:val="22"/>
              </w:rPr>
              <w:t>. In addition to this, there remains extant planning consent for conversion of the building to a residential annex with similar alterations to the building main façade and this is a material planning consideration.</w:t>
            </w:r>
          </w:p>
        </w:tc>
      </w:tr>
      <w:tr w:rsidR="005B1262" w:rsidRPr="008C75E4" w:rsidTr="00AB3914">
        <w:trPr>
          <w:trHeight w:val="864"/>
          <w:jc w:val="center"/>
        </w:trPr>
        <w:tc>
          <w:tcPr>
            <w:tcW w:w="9493" w:type="dxa"/>
            <w:gridSpan w:val="3"/>
            <w:tcMar>
              <w:top w:w="57" w:type="dxa"/>
              <w:bottom w:w="57" w:type="dxa"/>
            </w:tcMar>
          </w:tcPr>
          <w:p w:rsidR="005B1262" w:rsidRDefault="005B1262" w:rsidP="005B1262">
            <w:pPr>
              <w:contextualSpacing/>
              <w:jc w:val="both"/>
              <w:rPr>
                <w:rFonts w:asciiTheme="minorHAnsi" w:hAnsiTheme="minorHAnsi" w:cstheme="minorHAnsi"/>
                <w:b/>
                <w:bCs/>
                <w:szCs w:val="22"/>
              </w:rPr>
            </w:pPr>
            <w:r w:rsidRPr="000671C4">
              <w:rPr>
                <w:rFonts w:asciiTheme="minorHAnsi" w:hAnsiTheme="minorHAnsi" w:cstheme="minorHAnsi"/>
                <w:b/>
                <w:bCs/>
                <w:szCs w:val="22"/>
              </w:rPr>
              <w:lastRenderedPageBreak/>
              <w:t>Observations/Consideration of Matters Raised/Conclusion:</w:t>
            </w:r>
          </w:p>
          <w:p w:rsidR="00E61E20" w:rsidRDefault="00AB3700" w:rsidP="005B1262">
            <w:pPr>
              <w:contextualSpacing/>
              <w:jc w:val="both"/>
              <w:rPr>
                <w:rFonts w:asciiTheme="minorHAnsi" w:hAnsiTheme="minorHAnsi" w:cstheme="minorHAnsi"/>
                <w:bCs/>
                <w:szCs w:val="22"/>
              </w:rPr>
            </w:pPr>
            <w:r>
              <w:rPr>
                <w:rFonts w:asciiTheme="minorHAnsi" w:hAnsiTheme="minorHAnsi" w:cstheme="minorHAnsi"/>
                <w:bCs/>
                <w:szCs w:val="22"/>
              </w:rPr>
              <w:t>As submitted, the proposal included the creation of a detached garden area for use by guests. This area was to be located within part of the existing residential garden of 59 Downham Road and guests would have been required to walk along Downham Road, in the carriageway, due to the lack of footpath provision. Furthermore, no dedicated off-street parking was proposed.</w:t>
            </w:r>
          </w:p>
          <w:p w:rsidR="00AB3700" w:rsidRDefault="00AB3700" w:rsidP="005B1262">
            <w:pPr>
              <w:contextualSpacing/>
              <w:jc w:val="both"/>
              <w:rPr>
                <w:rFonts w:asciiTheme="minorHAnsi" w:hAnsiTheme="minorHAnsi" w:cstheme="minorHAnsi"/>
                <w:bCs/>
                <w:szCs w:val="22"/>
              </w:rPr>
            </w:pPr>
          </w:p>
          <w:p w:rsidR="00AB3700" w:rsidRDefault="00AB3700" w:rsidP="005B1262">
            <w:pPr>
              <w:contextualSpacing/>
              <w:jc w:val="both"/>
              <w:rPr>
                <w:rFonts w:asciiTheme="minorHAnsi" w:hAnsiTheme="minorHAnsi" w:cstheme="minorHAnsi"/>
                <w:bCs/>
                <w:szCs w:val="22"/>
              </w:rPr>
            </w:pPr>
            <w:r>
              <w:rPr>
                <w:rFonts w:asciiTheme="minorHAnsi" w:hAnsiTheme="minorHAnsi" w:cstheme="minorHAnsi"/>
                <w:bCs/>
                <w:szCs w:val="22"/>
              </w:rPr>
              <w:t xml:space="preserve">Following concerns raised by the Highway Officer, the garden area has been removed from the proposed scheme. </w:t>
            </w:r>
            <w:r w:rsidR="00211FD6">
              <w:rPr>
                <w:rFonts w:asciiTheme="minorHAnsi" w:hAnsiTheme="minorHAnsi" w:cstheme="minorHAnsi"/>
                <w:bCs/>
                <w:szCs w:val="22"/>
              </w:rPr>
              <w:t>As such, g</w:t>
            </w:r>
            <w:r>
              <w:rPr>
                <w:rFonts w:asciiTheme="minorHAnsi" w:hAnsiTheme="minorHAnsi" w:cstheme="minorHAnsi"/>
                <w:bCs/>
                <w:szCs w:val="22"/>
              </w:rPr>
              <w:t xml:space="preserve">uests would not have access to any private external amenity areas however this is not considered a fundamental requirement for a development of this type which is short-stay holiday accommodation. It has also been agreed that parking for the holiday unit would be provided </w:t>
            </w:r>
            <w:r w:rsidR="00211FD6">
              <w:rPr>
                <w:rFonts w:asciiTheme="minorHAnsi" w:hAnsiTheme="minorHAnsi" w:cstheme="minorHAnsi"/>
                <w:bCs/>
                <w:szCs w:val="22"/>
              </w:rPr>
              <w:t xml:space="preserve">within the plot associated with </w:t>
            </w:r>
            <w:r>
              <w:rPr>
                <w:rFonts w:asciiTheme="minorHAnsi" w:hAnsiTheme="minorHAnsi" w:cstheme="minorHAnsi"/>
                <w:bCs/>
                <w:szCs w:val="22"/>
              </w:rPr>
              <w:t xml:space="preserve">59 Downham Road </w:t>
            </w:r>
            <w:r w:rsidR="00211FD6">
              <w:rPr>
                <w:rFonts w:asciiTheme="minorHAnsi" w:hAnsiTheme="minorHAnsi" w:cstheme="minorHAnsi"/>
                <w:bCs/>
                <w:szCs w:val="22"/>
              </w:rPr>
              <w:t>with access through an existing side gate. T</w:t>
            </w:r>
            <w:r>
              <w:rPr>
                <w:rFonts w:asciiTheme="minorHAnsi" w:hAnsiTheme="minorHAnsi" w:cstheme="minorHAnsi"/>
                <w:bCs/>
                <w:szCs w:val="22"/>
              </w:rPr>
              <w:t xml:space="preserve">his does not raise any highway safety concerns. </w:t>
            </w:r>
          </w:p>
          <w:p w:rsidR="00AB3700" w:rsidRDefault="00AB3700" w:rsidP="005B1262">
            <w:pPr>
              <w:contextualSpacing/>
              <w:jc w:val="both"/>
              <w:rPr>
                <w:rFonts w:asciiTheme="minorHAnsi" w:hAnsiTheme="minorHAnsi" w:cstheme="minorHAnsi"/>
                <w:bCs/>
                <w:szCs w:val="22"/>
              </w:rPr>
            </w:pPr>
          </w:p>
          <w:p w:rsidR="00AB3700" w:rsidRPr="00AB3700" w:rsidRDefault="00AB3700" w:rsidP="005B1262">
            <w:pPr>
              <w:contextualSpacing/>
              <w:jc w:val="both"/>
              <w:rPr>
                <w:rFonts w:asciiTheme="minorHAnsi" w:hAnsiTheme="minorHAnsi" w:cstheme="minorHAnsi"/>
                <w:bCs/>
                <w:szCs w:val="22"/>
              </w:rPr>
            </w:pPr>
            <w:r>
              <w:rPr>
                <w:rFonts w:asciiTheme="minorHAnsi" w:hAnsiTheme="minorHAnsi" w:cstheme="minorHAnsi"/>
                <w:bCs/>
                <w:szCs w:val="22"/>
              </w:rPr>
              <w:t xml:space="preserve">The cobbled area in front of the garage would </w:t>
            </w:r>
            <w:r w:rsidR="00211FD6">
              <w:rPr>
                <w:rFonts w:asciiTheme="minorHAnsi" w:hAnsiTheme="minorHAnsi" w:cstheme="minorHAnsi"/>
                <w:bCs/>
                <w:szCs w:val="22"/>
              </w:rPr>
              <w:t xml:space="preserve">be </w:t>
            </w:r>
            <w:r>
              <w:rPr>
                <w:rFonts w:asciiTheme="minorHAnsi" w:hAnsiTheme="minorHAnsi" w:cstheme="minorHAnsi"/>
                <w:bCs/>
                <w:szCs w:val="22"/>
              </w:rPr>
              <w:t>altered to provide an extension to the existing footway along Downham Road. This would discourage guests from parking in front of the cottage along Downham Road, something that the Highways Officer wishes to prevent due to existing amounts of on-street parking which results in some traffic congestion/conflict between vehicles travelling in opposite directions along Downham Road.</w:t>
            </w:r>
          </w:p>
          <w:p w:rsidR="00E61E20" w:rsidRDefault="00E61E20" w:rsidP="005B1262">
            <w:pPr>
              <w:contextualSpacing/>
              <w:jc w:val="both"/>
              <w:rPr>
                <w:rFonts w:asciiTheme="minorHAnsi" w:hAnsiTheme="minorHAnsi" w:cstheme="minorHAnsi"/>
                <w:b/>
                <w:bCs/>
                <w:szCs w:val="22"/>
              </w:rPr>
            </w:pPr>
          </w:p>
          <w:p w:rsidR="00FD3602" w:rsidRDefault="00FD3602" w:rsidP="005B1262">
            <w:pPr>
              <w:contextualSpacing/>
              <w:jc w:val="both"/>
              <w:rPr>
                <w:rFonts w:asciiTheme="minorHAnsi" w:hAnsiTheme="minorHAnsi" w:cstheme="minorHAnsi"/>
                <w:bCs/>
                <w:szCs w:val="22"/>
              </w:rPr>
            </w:pPr>
            <w:r>
              <w:rPr>
                <w:rFonts w:asciiTheme="minorHAnsi" w:hAnsiTheme="minorHAnsi" w:cstheme="minorHAnsi"/>
                <w:bCs/>
                <w:szCs w:val="22"/>
              </w:rPr>
              <w:t>The existing first floor window in the rear elevation would overlook the garden of the adjacent property. As such the window, which would serve the bedroom, would be conditioned to be obscured glazed and non-opening to a height of at least 1.7m above finished floor level. This would prevent any loss of privacy and the bedroom is also served by a window on the front of the building.</w:t>
            </w:r>
          </w:p>
          <w:p w:rsidR="00FD3602" w:rsidRPr="00FD3602" w:rsidRDefault="00FD3602" w:rsidP="005B1262">
            <w:pPr>
              <w:contextualSpacing/>
              <w:jc w:val="both"/>
              <w:rPr>
                <w:rFonts w:asciiTheme="minorHAnsi" w:hAnsiTheme="minorHAnsi" w:cstheme="minorHAnsi"/>
                <w:bCs/>
                <w:szCs w:val="22"/>
              </w:rPr>
            </w:pPr>
          </w:p>
          <w:p w:rsidR="005B1262" w:rsidRDefault="00211FD6" w:rsidP="005B1262">
            <w:pPr>
              <w:pStyle w:val="BodyText2"/>
              <w:spacing w:after="0" w:line="240" w:lineRule="auto"/>
              <w:rPr>
                <w:rFonts w:asciiTheme="minorHAnsi" w:hAnsiTheme="minorHAnsi" w:cstheme="minorHAnsi"/>
                <w:szCs w:val="22"/>
              </w:rPr>
            </w:pPr>
            <w:r>
              <w:rPr>
                <w:rFonts w:asciiTheme="minorHAnsi" w:hAnsiTheme="minorHAnsi" w:cstheme="minorHAnsi"/>
                <w:szCs w:val="22"/>
              </w:rPr>
              <w:t>A bat roost assessment report has been submitted and confirms that no evidence was found to suggest bats are roosting within the building and the building is considered to have negligible potential for roosting bats.</w:t>
            </w:r>
          </w:p>
          <w:p w:rsidR="00211FD6" w:rsidRPr="000671C4" w:rsidRDefault="00211FD6" w:rsidP="005B1262">
            <w:pPr>
              <w:pStyle w:val="BodyText2"/>
              <w:spacing w:after="0" w:line="240" w:lineRule="auto"/>
              <w:rPr>
                <w:rFonts w:asciiTheme="minorHAnsi" w:hAnsiTheme="minorHAnsi" w:cstheme="minorHAnsi"/>
                <w:szCs w:val="22"/>
              </w:rPr>
            </w:pPr>
          </w:p>
          <w:p w:rsidR="005B1262" w:rsidRPr="000671C4" w:rsidRDefault="005B1262" w:rsidP="005B1262">
            <w:pPr>
              <w:pStyle w:val="BodyText2"/>
              <w:spacing w:after="0" w:line="240" w:lineRule="auto"/>
              <w:rPr>
                <w:rFonts w:asciiTheme="minorHAnsi" w:hAnsiTheme="minorHAnsi" w:cstheme="minorHAnsi"/>
                <w:szCs w:val="22"/>
                <w:u w:val="single"/>
              </w:rPr>
            </w:pPr>
            <w:r w:rsidRPr="000671C4">
              <w:rPr>
                <w:rFonts w:asciiTheme="minorHAnsi" w:hAnsiTheme="minorHAnsi" w:cstheme="minorHAnsi"/>
                <w:szCs w:val="22"/>
                <w:u w:val="single"/>
              </w:rPr>
              <w:t>Conclusion</w:t>
            </w:r>
          </w:p>
          <w:p w:rsidR="005B1262" w:rsidRPr="00211FD6" w:rsidRDefault="00211FD6" w:rsidP="00211FD6">
            <w:pPr>
              <w:overflowPunct/>
              <w:textAlignment w:val="auto"/>
              <w:rPr>
                <w:rFonts w:ascii="CIDFont+F2" w:eastAsiaTheme="minorHAnsi" w:hAnsi="CIDFont+F2" w:cs="CIDFont+F2"/>
                <w:szCs w:val="22"/>
              </w:rPr>
            </w:pPr>
            <w:r>
              <w:rPr>
                <w:rFonts w:ascii="CIDFont+F2" w:eastAsiaTheme="minorHAnsi" w:hAnsi="CIDFont+F2" w:cs="CIDFont+F2"/>
                <w:szCs w:val="22"/>
              </w:rPr>
              <w:t>Having regard to the above, the proposed conversion of the garage building to a single unit of holiday accommodation would accord with the Council’s policies which support new tourism accommodation in the borough.</w:t>
            </w:r>
            <w:r>
              <w:rPr>
                <w:rFonts w:ascii="CIDFont+F2" w:hAnsi="CIDFont+F2" w:cs="CIDFont+F2"/>
                <w:szCs w:val="22"/>
              </w:rPr>
              <w:t xml:space="preserve"> The proposals would not result in any harm to the significance of heritage assets and as such i</w:t>
            </w:r>
            <w:r w:rsidR="005B1262" w:rsidRPr="000671C4">
              <w:rPr>
                <w:rFonts w:asciiTheme="minorHAnsi" w:hAnsiTheme="minorHAnsi" w:cstheme="minorHAnsi"/>
                <w:szCs w:val="22"/>
              </w:rPr>
              <w:t>t is recommended that the application be approved</w:t>
            </w:r>
            <w:r w:rsidR="005B1262">
              <w:rPr>
                <w:rFonts w:asciiTheme="minorHAnsi" w:hAnsiTheme="minorHAnsi" w:cstheme="minorHAnsi"/>
                <w:szCs w:val="22"/>
              </w:rPr>
              <w:t xml:space="preserve"> subject to appropriate planning conditions.</w:t>
            </w:r>
          </w:p>
        </w:tc>
      </w:tr>
      <w:tr w:rsidR="000E61F1" w:rsidRPr="003452DF" w:rsidTr="00AB3914">
        <w:trPr>
          <w:jc w:val="center"/>
        </w:trPr>
        <w:tc>
          <w:tcPr>
            <w:tcW w:w="2837" w:type="dxa"/>
            <w:tcMar>
              <w:top w:w="57" w:type="dxa"/>
              <w:bottom w:w="57" w:type="dxa"/>
            </w:tcMar>
          </w:tcPr>
          <w:p w:rsidR="00C0704D" w:rsidRPr="000671C4" w:rsidRDefault="00C0704D" w:rsidP="006126D1">
            <w:pPr>
              <w:jc w:val="both"/>
              <w:rPr>
                <w:rFonts w:asciiTheme="minorHAnsi" w:hAnsiTheme="minorHAnsi" w:cstheme="minorHAnsi"/>
                <w:b/>
                <w:bCs/>
                <w:szCs w:val="22"/>
              </w:rPr>
            </w:pPr>
            <w:r w:rsidRPr="000671C4">
              <w:rPr>
                <w:rFonts w:asciiTheme="minorHAnsi" w:hAnsiTheme="minorHAnsi" w:cstheme="minorHAnsi"/>
                <w:b/>
                <w:szCs w:val="22"/>
              </w:rPr>
              <w:t>RECOMMENDATION</w:t>
            </w:r>
            <w:r w:rsidRPr="000671C4">
              <w:rPr>
                <w:rFonts w:asciiTheme="minorHAnsi" w:hAnsiTheme="minorHAnsi" w:cstheme="minorHAnsi"/>
                <w:szCs w:val="22"/>
              </w:rPr>
              <w:t>:</w:t>
            </w:r>
          </w:p>
        </w:tc>
        <w:tc>
          <w:tcPr>
            <w:tcW w:w="6656" w:type="dxa"/>
            <w:gridSpan w:val="2"/>
          </w:tcPr>
          <w:p w:rsidR="00C0704D" w:rsidRPr="000671C4" w:rsidRDefault="000671C4" w:rsidP="006126D1">
            <w:pPr>
              <w:jc w:val="both"/>
              <w:rPr>
                <w:rFonts w:asciiTheme="minorHAnsi" w:hAnsiTheme="minorHAnsi" w:cstheme="minorHAnsi"/>
                <w:bCs/>
                <w:szCs w:val="22"/>
              </w:rPr>
            </w:pPr>
            <w:r w:rsidRPr="000671C4">
              <w:rPr>
                <w:rFonts w:asciiTheme="minorHAnsi" w:hAnsiTheme="minorHAnsi" w:cstheme="minorHAnsi"/>
                <w:bCs/>
                <w:szCs w:val="22"/>
              </w:rPr>
              <w:t>That planning consent be granted.</w:t>
            </w:r>
          </w:p>
        </w:tc>
      </w:tr>
    </w:tbl>
    <w:p w:rsidR="00925FB4" w:rsidRPr="003452DF" w:rsidRDefault="00925FB4" w:rsidP="006126D1">
      <w:pPr>
        <w:jc w:val="both"/>
        <w:rPr>
          <w:rFonts w:ascii="Calibri" w:hAnsi="Calibri"/>
          <w:color w:val="FF0000"/>
          <w:szCs w:val="22"/>
        </w:rPr>
      </w:pPr>
    </w:p>
    <w:sectPr w:rsidR="00925FB4" w:rsidRPr="003452DF"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FB4" w:rsidRDefault="00925FB4" w:rsidP="006D0B5F">
      <w:r>
        <w:separator/>
      </w:r>
    </w:p>
  </w:endnote>
  <w:endnote w:type="continuationSeparator" w:id="0">
    <w:p w:rsidR="00925FB4" w:rsidRDefault="00925FB4"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FB4" w:rsidRDefault="00925FB4" w:rsidP="006D0B5F">
      <w:r>
        <w:separator/>
      </w:r>
    </w:p>
  </w:footnote>
  <w:footnote w:type="continuationSeparator" w:id="0">
    <w:p w:rsidR="00925FB4" w:rsidRDefault="00925FB4"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1B81"/>
    <w:multiLevelType w:val="hybridMultilevel"/>
    <w:tmpl w:val="9646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F0E42"/>
    <w:multiLevelType w:val="hybridMultilevel"/>
    <w:tmpl w:val="4788B3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E5A88"/>
    <w:multiLevelType w:val="hybridMultilevel"/>
    <w:tmpl w:val="3454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733CF"/>
    <w:multiLevelType w:val="hybridMultilevel"/>
    <w:tmpl w:val="88BE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66519"/>
    <w:multiLevelType w:val="hybridMultilevel"/>
    <w:tmpl w:val="9DE6F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73A5A"/>
    <w:multiLevelType w:val="hybridMultilevel"/>
    <w:tmpl w:val="A20C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33355"/>
    <w:multiLevelType w:val="hybridMultilevel"/>
    <w:tmpl w:val="E742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40D17"/>
    <w:multiLevelType w:val="hybridMultilevel"/>
    <w:tmpl w:val="B40E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A4DA5"/>
    <w:multiLevelType w:val="hybridMultilevel"/>
    <w:tmpl w:val="0B6EE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5"/>
  </w:num>
  <w:num w:numId="4">
    <w:abstractNumId w:val="6"/>
  </w:num>
  <w:num w:numId="5">
    <w:abstractNumId w:val="0"/>
  </w:num>
  <w:num w:numId="6">
    <w:abstractNumId w:val="2"/>
  </w:num>
  <w:num w:numId="7">
    <w:abstractNumId w:val="7"/>
  </w:num>
  <w:num w:numId="8">
    <w:abstractNumId w:val="15"/>
  </w:num>
  <w:num w:numId="9">
    <w:abstractNumId w:val="4"/>
  </w:num>
  <w:num w:numId="10">
    <w:abstractNumId w:val="8"/>
  </w:num>
  <w:num w:numId="11">
    <w:abstractNumId w:val="3"/>
  </w:num>
  <w:num w:numId="12">
    <w:abstractNumId w:val="17"/>
  </w:num>
  <w:num w:numId="13">
    <w:abstractNumId w:val="10"/>
  </w:num>
  <w:num w:numId="14">
    <w:abstractNumId w:val="1"/>
  </w:num>
  <w:num w:numId="15">
    <w:abstractNumId w:val="13"/>
  </w:num>
  <w:num w:numId="16">
    <w:abstractNumId w:val="16"/>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4E55"/>
    <w:rsid w:val="00016A73"/>
    <w:rsid w:val="00022159"/>
    <w:rsid w:val="00041FBF"/>
    <w:rsid w:val="00055B13"/>
    <w:rsid w:val="00063C13"/>
    <w:rsid w:val="000671C4"/>
    <w:rsid w:val="000707BC"/>
    <w:rsid w:val="0007275C"/>
    <w:rsid w:val="0008638E"/>
    <w:rsid w:val="00095B4A"/>
    <w:rsid w:val="000A4F2E"/>
    <w:rsid w:val="000A5BCC"/>
    <w:rsid w:val="000A7F3F"/>
    <w:rsid w:val="000B38CB"/>
    <w:rsid w:val="000B4889"/>
    <w:rsid w:val="000B5CB5"/>
    <w:rsid w:val="000C7A57"/>
    <w:rsid w:val="000D2CC4"/>
    <w:rsid w:val="000E340E"/>
    <w:rsid w:val="000E61F1"/>
    <w:rsid w:val="00101855"/>
    <w:rsid w:val="0010371E"/>
    <w:rsid w:val="00106932"/>
    <w:rsid w:val="001108DE"/>
    <w:rsid w:val="00130035"/>
    <w:rsid w:val="00141512"/>
    <w:rsid w:val="00146BF5"/>
    <w:rsid w:val="00161FE9"/>
    <w:rsid w:val="0016428F"/>
    <w:rsid w:val="00174004"/>
    <w:rsid w:val="00187363"/>
    <w:rsid w:val="001946E0"/>
    <w:rsid w:val="00195741"/>
    <w:rsid w:val="00196722"/>
    <w:rsid w:val="001B5BCE"/>
    <w:rsid w:val="001B769B"/>
    <w:rsid w:val="001C1453"/>
    <w:rsid w:val="001C4A8B"/>
    <w:rsid w:val="001D4F7A"/>
    <w:rsid w:val="001D5ADD"/>
    <w:rsid w:val="001F264B"/>
    <w:rsid w:val="001F6CBD"/>
    <w:rsid w:val="00203F50"/>
    <w:rsid w:val="00206E24"/>
    <w:rsid w:val="00211FD6"/>
    <w:rsid w:val="00224E91"/>
    <w:rsid w:val="00237DA1"/>
    <w:rsid w:val="00250879"/>
    <w:rsid w:val="00284480"/>
    <w:rsid w:val="0028751A"/>
    <w:rsid w:val="00291F1E"/>
    <w:rsid w:val="0029334A"/>
    <w:rsid w:val="002A01CF"/>
    <w:rsid w:val="002A7DF7"/>
    <w:rsid w:val="002B7854"/>
    <w:rsid w:val="002C6277"/>
    <w:rsid w:val="002D2A75"/>
    <w:rsid w:val="002D4346"/>
    <w:rsid w:val="002E2952"/>
    <w:rsid w:val="002E7CC1"/>
    <w:rsid w:val="002F041D"/>
    <w:rsid w:val="002F2580"/>
    <w:rsid w:val="002F7502"/>
    <w:rsid w:val="003137E0"/>
    <w:rsid w:val="00314B77"/>
    <w:rsid w:val="00316DB8"/>
    <w:rsid w:val="00320A6F"/>
    <w:rsid w:val="00321B6E"/>
    <w:rsid w:val="00333925"/>
    <w:rsid w:val="003359D0"/>
    <w:rsid w:val="00341E8D"/>
    <w:rsid w:val="003452DF"/>
    <w:rsid w:val="00345BCC"/>
    <w:rsid w:val="003469AF"/>
    <w:rsid w:val="00347F5E"/>
    <w:rsid w:val="003520CC"/>
    <w:rsid w:val="003634D9"/>
    <w:rsid w:val="00366AB8"/>
    <w:rsid w:val="0036759A"/>
    <w:rsid w:val="003825D5"/>
    <w:rsid w:val="00387489"/>
    <w:rsid w:val="003918E8"/>
    <w:rsid w:val="003A4376"/>
    <w:rsid w:val="003B5FA1"/>
    <w:rsid w:val="003C28E1"/>
    <w:rsid w:val="003E2151"/>
    <w:rsid w:val="003F16AA"/>
    <w:rsid w:val="003F16B4"/>
    <w:rsid w:val="003F3DB5"/>
    <w:rsid w:val="003F481A"/>
    <w:rsid w:val="00401392"/>
    <w:rsid w:val="00404C72"/>
    <w:rsid w:val="00412187"/>
    <w:rsid w:val="00422600"/>
    <w:rsid w:val="004230B7"/>
    <w:rsid w:val="0042757D"/>
    <w:rsid w:val="00435FC9"/>
    <w:rsid w:val="0044039F"/>
    <w:rsid w:val="00440CB6"/>
    <w:rsid w:val="00454754"/>
    <w:rsid w:val="00463832"/>
    <w:rsid w:val="004654DD"/>
    <w:rsid w:val="004854EC"/>
    <w:rsid w:val="004936A6"/>
    <w:rsid w:val="004947BB"/>
    <w:rsid w:val="004A5EA9"/>
    <w:rsid w:val="004C2434"/>
    <w:rsid w:val="004D0BB4"/>
    <w:rsid w:val="004D670C"/>
    <w:rsid w:val="004D6FC7"/>
    <w:rsid w:val="004E58E3"/>
    <w:rsid w:val="004E7CFB"/>
    <w:rsid w:val="004F0649"/>
    <w:rsid w:val="004F1043"/>
    <w:rsid w:val="004F1E99"/>
    <w:rsid w:val="0050432D"/>
    <w:rsid w:val="00504440"/>
    <w:rsid w:val="00510DBF"/>
    <w:rsid w:val="00510FA2"/>
    <w:rsid w:val="00510FE3"/>
    <w:rsid w:val="00521ABA"/>
    <w:rsid w:val="00525341"/>
    <w:rsid w:val="00527A31"/>
    <w:rsid w:val="00534611"/>
    <w:rsid w:val="00545D8C"/>
    <w:rsid w:val="0055323C"/>
    <w:rsid w:val="00555D53"/>
    <w:rsid w:val="00556ECD"/>
    <w:rsid w:val="005631B3"/>
    <w:rsid w:val="005633B0"/>
    <w:rsid w:val="005635FF"/>
    <w:rsid w:val="00573B90"/>
    <w:rsid w:val="005878FE"/>
    <w:rsid w:val="00593040"/>
    <w:rsid w:val="005B0A0E"/>
    <w:rsid w:val="005B1262"/>
    <w:rsid w:val="005D01CF"/>
    <w:rsid w:val="005D3432"/>
    <w:rsid w:val="005E1C6C"/>
    <w:rsid w:val="005E22EA"/>
    <w:rsid w:val="005E374C"/>
    <w:rsid w:val="005E65DF"/>
    <w:rsid w:val="00611072"/>
    <w:rsid w:val="006126D1"/>
    <w:rsid w:val="006229E5"/>
    <w:rsid w:val="00627387"/>
    <w:rsid w:val="006326A2"/>
    <w:rsid w:val="00641F80"/>
    <w:rsid w:val="00665C24"/>
    <w:rsid w:val="00680ED9"/>
    <w:rsid w:val="00690EC3"/>
    <w:rsid w:val="00692B60"/>
    <w:rsid w:val="00695F88"/>
    <w:rsid w:val="006A71AD"/>
    <w:rsid w:val="006C126E"/>
    <w:rsid w:val="006C2BFA"/>
    <w:rsid w:val="006D0B5F"/>
    <w:rsid w:val="006D4E58"/>
    <w:rsid w:val="006D54CD"/>
    <w:rsid w:val="006D7624"/>
    <w:rsid w:val="006E3308"/>
    <w:rsid w:val="006F137D"/>
    <w:rsid w:val="006F4D38"/>
    <w:rsid w:val="0070054B"/>
    <w:rsid w:val="0070168D"/>
    <w:rsid w:val="00706480"/>
    <w:rsid w:val="00710DBB"/>
    <w:rsid w:val="0071401C"/>
    <w:rsid w:val="00714436"/>
    <w:rsid w:val="00725F1C"/>
    <w:rsid w:val="007430C8"/>
    <w:rsid w:val="00755FCC"/>
    <w:rsid w:val="00762889"/>
    <w:rsid w:val="00776AE2"/>
    <w:rsid w:val="00776C26"/>
    <w:rsid w:val="007921CD"/>
    <w:rsid w:val="007C5713"/>
    <w:rsid w:val="007C791C"/>
    <w:rsid w:val="007D0F8F"/>
    <w:rsid w:val="007D6D02"/>
    <w:rsid w:val="007D7DF4"/>
    <w:rsid w:val="007E0D23"/>
    <w:rsid w:val="007E2F00"/>
    <w:rsid w:val="007F196D"/>
    <w:rsid w:val="00805895"/>
    <w:rsid w:val="008075CB"/>
    <w:rsid w:val="00811771"/>
    <w:rsid w:val="00811F38"/>
    <w:rsid w:val="008133B3"/>
    <w:rsid w:val="008154DD"/>
    <w:rsid w:val="00824647"/>
    <w:rsid w:val="00831115"/>
    <w:rsid w:val="00835CBB"/>
    <w:rsid w:val="008542DE"/>
    <w:rsid w:val="008638DE"/>
    <w:rsid w:val="00891182"/>
    <w:rsid w:val="008A28C8"/>
    <w:rsid w:val="008B46C0"/>
    <w:rsid w:val="008C75E4"/>
    <w:rsid w:val="008F4EE4"/>
    <w:rsid w:val="008F6B58"/>
    <w:rsid w:val="0090282C"/>
    <w:rsid w:val="00903DD4"/>
    <w:rsid w:val="0090401A"/>
    <w:rsid w:val="00906D0C"/>
    <w:rsid w:val="00925FB4"/>
    <w:rsid w:val="00934B34"/>
    <w:rsid w:val="00940D6E"/>
    <w:rsid w:val="009565F5"/>
    <w:rsid w:val="009744F0"/>
    <w:rsid w:val="009825FF"/>
    <w:rsid w:val="00985097"/>
    <w:rsid w:val="00985279"/>
    <w:rsid w:val="00994EF1"/>
    <w:rsid w:val="009C4BCF"/>
    <w:rsid w:val="009C7F61"/>
    <w:rsid w:val="009D0395"/>
    <w:rsid w:val="009D5722"/>
    <w:rsid w:val="009D60E4"/>
    <w:rsid w:val="009E6A8B"/>
    <w:rsid w:val="009F332E"/>
    <w:rsid w:val="009F7A60"/>
    <w:rsid w:val="00A04A96"/>
    <w:rsid w:val="00A1089F"/>
    <w:rsid w:val="00A117E8"/>
    <w:rsid w:val="00A2019B"/>
    <w:rsid w:val="00A36D6F"/>
    <w:rsid w:val="00A40070"/>
    <w:rsid w:val="00A42E82"/>
    <w:rsid w:val="00A46EE9"/>
    <w:rsid w:val="00A55E83"/>
    <w:rsid w:val="00A579BB"/>
    <w:rsid w:val="00A63D55"/>
    <w:rsid w:val="00A64BC2"/>
    <w:rsid w:val="00A67781"/>
    <w:rsid w:val="00A74473"/>
    <w:rsid w:val="00A82792"/>
    <w:rsid w:val="00A8441B"/>
    <w:rsid w:val="00A9088C"/>
    <w:rsid w:val="00A9168C"/>
    <w:rsid w:val="00A92448"/>
    <w:rsid w:val="00A95D89"/>
    <w:rsid w:val="00AB3243"/>
    <w:rsid w:val="00AB3700"/>
    <w:rsid w:val="00AB3914"/>
    <w:rsid w:val="00AB5232"/>
    <w:rsid w:val="00AD02FA"/>
    <w:rsid w:val="00AD5B50"/>
    <w:rsid w:val="00AE4372"/>
    <w:rsid w:val="00B05C4C"/>
    <w:rsid w:val="00B14DDC"/>
    <w:rsid w:val="00B21CF2"/>
    <w:rsid w:val="00B30A5E"/>
    <w:rsid w:val="00B31505"/>
    <w:rsid w:val="00B470F6"/>
    <w:rsid w:val="00B6269C"/>
    <w:rsid w:val="00B74C73"/>
    <w:rsid w:val="00B93EB5"/>
    <w:rsid w:val="00B96F5A"/>
    <w:rsid w:val="00BA12C7"/>
    <w:rsid w:val="00BA2247"/>
    <w:rsid w:val="00BA5D97"/>
    <w:rsid w:val="00BA6B19"/>
    <w:rsid w:val="00BB1C52"/>
    <w:rsid w:val="00BB2A50"/>
    <w:rsid w:val="00BC1E48"/>
    <w:rsid w:val="00BC6600"/>
    <w:rsid w:val="00BD3F03"/>
    <w:rsid w:val="00C0704D"/>
    <w:rsid w:val="00C10202"/>
    <w:rsid w:val="00C214A6"/>
    <w:rsid w:val="00C24A51"/>
    <w:rsid w:val="00C25722"/>
    <w:rsid w:val="00C4415A"/>
    <w:rsid w:val="00C44E40"/>
    <w:rsid w:val="00C50517"/>
    <w:rsid w:val="00C536CA"/>
    <w:rsid w:val="00C618DB"/>
    <w:rsid w:val="00C61B21"/>
    <w:rsid w:val="00C630B5"/>
    <w:rsid w:val="00C6456D"/>
    <w:rsid w:val="00C6777F"/>
    <w:rsid w:val="00C900A5"/>
    <w:rsid w:val="00C93384"/>
    <w:rsid w:val="00CA28BA"/>
    <w:rsid w:val="00CC2824"/>
    <w:rsid w:val="00CD1729"/>
    <w:rsid w:val="00CD2E03"/>
    <w:rsid w:val="00CD38B1"/>
    <w:rsid w:val="00D06CF2"/>
    <w:rsid w:val="00D102D9"/>
    <w:rsid w:val="00D1063F"/>
    <w:rsid w:val="00D11007"/>
    <w:rsid w:val="00D1420C"/>
    <w:rsid w:val="00D23470"/>
    <w:rsid w:val="00D2449B"/>
    <w:rsid w:val="00D423D8"/>
    <w:rsid w:val="00D54384"/>
    <w:rsid w:val="00D54E67"/>
    <w:rsid w:val="00D54F48"/>
    <w:rsid w:val="00D632BB"/>
    <w:rsid w:val="00D729D7"/>
    <w:rsid w:val="00D80310"/>
    <w:rsid w:val="00D84821"/>
    <w:rsid w:val="00D9608A"/>
    <w:rsid w:val="00D96DF7"/>
    <w:rsid w:val="00D97AA3"/>
    <w:rsid w:val="00DA27B6"/>
    <w:rsid w:val="00DC3C8A"/>
    <w:rsid w:val="00DD62F6"/>
    <w:rsid w:val="00DD7E97"/>
    <w:rsid w:val="00DE740E"/>
    <w:rsid w:val="00DF1736"/>
    <w:rsid w:val="00DF2E9A"/>
    <w:rsid w:val="00DF42DA"/>
    <w:rsid w:val="00DF526A"/>
    <w:rsid w:val="00E03AFD"/>
    <w:rsid w:val="00E0485E"/>
    <w:rsid w:val="00E06DFC"/>
    <w:rsid w:val="00E07442"/>
    <w:rsid w:val="00E23FB0"/>
    <w:rsid w:val="00E2608A"/>
    <w:rsid w:val="00E46243"/>
    <w:rsid w:val="00E61E20"/>
    <w:rsid w:val="00E66534"/>
    <w:rsid w:val="00E719D1"/>
    <w:rsid w:val="00E71A35"/>
    <w:rsid w:val="00E72F6C"/>
    <w:rsid w:val="00E80113"/>
    <w:rsid w:val="00EA09F9"/>
    <w:rsid w:val="00EA1673"/>
    <w:rsid w:val="00EB0C6F"/>
    <w:rsid w:val="00EB7D74"/>
    <w:rsid w:val="00EC23C7"/>
    <w:rsid w:val="00ED00B7"/>
    <w:rsid w:val="00EE6AF6"/>
    <w:rsid w:val="00EF1341"/>
    <w:rsid w:val="00EF44E6"/>
    <w:rsid w:val="00F012FA"/>
    <w:rsid w:val="00F01F0C"/>
    <w:rsid w:val="00F055D3"/>
    <w:rsid w:val="00F129DD"/>
    <w:rsid w:val="00F16D0F"/>
    <w:rsid w:val="00F32789"/>
    <w:rsid w:val="00F351E7"/>
    <w:rsid w:val="00F35412"/>
    <w:rsid w:val="00F71D53"/>
    <w:rsid w:val="00F731F5"/>
    <w:rsid w:val="00F75F59"/>
    <w:rsid w:val="00F8201E"/>
    <w:rsid w:val="00FB20D7"/>
    <w:rsid w:val="00FB23AF"/>
    <w:rsid w:val="00FC046F"/>
    <w:rsid w:val="00FC2360"/>
    <w:rsid w:val="00FC6A11"/>
    <w:rsid w:val="00FC77EC"/>
    <w:rsid w:val="00FD334A"/>
    <w:rsid w:val="00FD3602"/>
    <w:rsid w:val="00FD6AE3"/>
    <w:rsid w:val="00FE511D"/>
    <w:rsid w:val="00FE7206"/>
    <w:rsid w:val="00FF218C"/>
    <w:rsid w:val="00FF5EFD"/>
    <w:rsid w:val="00FF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412187"/>
    <w:rPr>
      <w:b/>
      <w:bCs/>
    </w:rPr>
  </w:style>
  <w:style w:type="paragraph" w:styleId="PlainText">
    <w:name w:val="Plain Text"/>
    <w:basedOn w:val="Normal"/>
    <w:link w:val="PlainTextChar"/>
    <w:uiPriority w:val="99"/>
    <w:unhideWhenUsed/>
    <w:rsid w:val="00DF1736"/>
    <w:pPr>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F1736"/>
    <w:rPr>
      <w:rFonts w:ascii="Calibri" w:hAnsi="Calibri"/>
      <w:szCs w:val="21"/>
    </w:rPr>
  </w:style>
  <w:style w:type="paragraph" w:customStyle="1" w:styleId="Default">
    <w:name w:val="Default"/>
    <w:rsid w:val="00DF526A"/>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925FB4"/>
    <w:pPr>
      <w:overflowPunct/>
      <w:autoSpaceDE/>
      <w:autoSpaceDN/>
      <w:adjustRightInd/>
      <w:spacing w:after="120" w:line="480" w:lineRule="auto"/>
      <w:jc w:val="both"/>
      <w:textAlignment w:val="auto"/>
    </w:pPr>
    <w:rPr>
      <w:szCs w:val="24"/>
    </w:rPr>
  </w:style>
  <w:style w:type="character" w:customStyle="1" w:styleId="BodyText2Char">
    <w:name w:val="Body Text 2 Char"/>
    <w:basedOn w:val="DefaultParagraphFont"/>
    <w:link w:val="BodyText2"/>
    <w:uiPriority w:val="99"/>
    <w:rsid w:val="00925FB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5943">
      <w:bodyDiv w:val="1"/>
      <w:marLeft w:val="0"/>
      <w:marRight w:val="0"/>
      <w:marTop w:val="0"/>
      <w:marBottom w:val="0"/>
      <w:divBdr>
        <w:top w:val="none" w:sz="0" w:space="0" w:color="auto"/>
        <w:left w:val="none" w:sz="0" w:space="0" w:color="auto"/>
        <w:bottom w:val="none" w:sz="0" w:space="0" w:color="auto"/>
        <w:right w:val="none" w:sz="0" w:space="0" w:color="auto"/>
      </w:divBdr>
    </w:div>
    <w:div w:id="383524478">
      <w:bodyDiv w:val="1"/>
      <w:marLeft w:val="0"/>
      <w:marRight w:val="0"/>
      <w:marTop w:val="0"/>
      <w:marBottom w:val="0"/>
      <w:divBdr>
        <w:top w:val="none" w:sz="0" w:space="0" w:color="auto"/>
        <w:left w:val="none" w:sz="0" w:space="0" w:color="auto"/>
        <w:bottom w:val="none" w:sz="0" w:space="0" w:color="auto"/>
        <w:right w:val="none" w:sz="0" w:space="0" w:color="auto"/>
      </w:divBdr>
    </w:div>
    <w:div w:id="560866249">
      <w:bodyDiv w:val="1"/>
      <w:marLeft w:val="0"/>
      <w:marRight w:val="0"/>
      <w:marTop w:val="0"/>
      <w:marBottom w:val="0"/>
      <w:divBdr>
        <w:top w:val="none" w:sz="0" w:space="0" w:color="auto"/>
        <w:left w:val="none" w:sz="0" w:space="0" w:color="auto"/>
        <w:bottom w:val="none" w:sz="0" w:space="0" w:color="auto"/>
        <w:right w:val="none" w:sz="0" w:space="0" w:color="auto"/>
      </w:divBdr>
    </w:div>
    <w:div w:id="691536123">
      <w:bodyDiv w:val="1"/>
      <w:marLeft w:val="0"/>
      <w:marRight w:val="0"/>
      <w:marTop w:val="0"/>
      <w:marBottom w:val="0"/>
      <w:divBdr>
        <w:top w:val="none" w:sz="0" w:space="0" w:color="auto"/>
        <w:left w:val="none" w:sz="0" w:space="0" w:color="auto"/>
        <w:bottom w:val="none" w:sz="0" w:space="0" w:color="auto"/>
        <w:right w:val="none" w:sz="0" w:space="0" w:color="auto"/>
      </w:divBdr>
    </w:div>
    <w:div w:id="701370192">
      <w:bodyDiv w:val="1"/>
      <w:marLeft w:val="0"/>
      <w:marRight w:val="0"/>
      <w:marTop w:val="0"/>
      <w:marBottom w:val="0"/>
      <w:divBdr>
        <w:top w:val="none" w:sz="0" w:space="0" w:color="auto"/>
        <w:left w:val="none" w:sz="0" w:space="0" w:color="auto"/>
        <w:bottom w:val="none" w:sz="0" w:space="0" w:color="auto"/>
        <w:right w:val="none" w:sz="0" w:space="0" w:color="auto"/>
      </w:divBdr>
    </w:div>
    <w:div w:id="785657129">
      <w:bodyDiv w:val="1"/>
      <w:marLeft w:val="0"/>
      <w:marRight w:val="0"/>
      <w:marTop w:val="0"/>
      <w:marBottom w:val="0"/>
      <w:divBdr>
        <w:top w:val="none" w:sz="0" w:space="0" w:color="auto"/>
        <w:left w:val="none" w:sz="0" w:space="0" w:color="auto"/>
        <w:bottom w:val="none" w:sz="0" w:space="0" w:color="auto"/>
        <w:right w:val="none" w:sz="0" w:space="0" w:color="auto"/>
      </w:divBdr>
    </w:div>
    <w:div w:id="1022361709">
      <w:bodyDiv w:val="1"/>
      <w:marLeft w:val="0"/>
      <w:marRight w:val="0"/>
      <w:marTop w:val="0"/>
      <w:marBottom w:val="0"/>
      <w:divBdr>
        <w:top w:val="none" w:sz="0" w:space="0" w:color="auto"/>
        <w:left w:val="none" w:sz="0" w:space="0" w:color="auto"/>
        <w:bottom w:val="none" w:sz="0" w:space="0" w:color="auto"/>
        <w:right w:val="none" w:sz="0" w:space="0" w:color="auto"/>
      </w:divBdr>
    </w:div>
    <w:div w:id="1055349620">
      <w:bodyDiv w:val="1"/>
      <w:marLeft w:val="0"/>
      <w:marRight w:val="0"/>
      <w:marTop w:val="0"/>
      <w:marBottom w:val="0"/>
      <w:divBdr>
        <w:top w:val="none" w:sz="0" w:space="0" w:color="auto"/>
        <w:left w:val="none" w:sz="0" w:space="0" w:color="auto"/>
        <w:bottom w:val="none" w:sz="0" w:space="0" w:color="auto"/>
        <w:right w:val="none" w:sz="0" w:space="0" w:color="auto"/>
      </w:divBdr>
    </w:div>
    <w:div w:id="1140611153">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20212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A16C-4D46-43F6-872B-1E389C6F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Adam Birkett</cp:lastModifiedBy>
  <cp:revision>2</cp:revision>
  <cp:lastPrinted>2020-03-11T10:54:00Z</cp:lastPrinted>
  <dcterms:created xsi:type="dcterms:W3CDTF">2020-12-16T12:20:00Z</dcterms:created>
  <dcterms:modified xsi:type="dcterms:W3CDTF">2020-12-16T12:20:00Z</dcterms:modified>
</cp:coreProperties>
</file>