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298"/>
        <w:gridCol w:w="519"/>
        <w:gridCol w:w="579"/>
        <w:gridCol w:w="428"/>
        <w:gridCol w:w="602"/>
        <w:gridCol w:w="1030"/>
        <w:gridCol w:w="1061"/>
      </w:tblGrid>
      <w:tr w:rsidR="008C75E4" w:rsidRPr="008C75E4" w:rsidTr="002174E2">
        <w:trPr>
          <w:jc w:val="center"/>
        </w:trPr>
        <w:tc>
          <w:tcPr>
            <w:tcW w:w="9823" w:type="dxa"/>
            <w:gridSpan w:val="14"/>
            <w:tcMar>
              <w:top w:w="57" w:type="dxa"/>
              <w:bottom w:w="57" w:type="dxa"/>
            </w:tcMar>
          </w:tcPr>
          <w:p w:rsidR="004A5EA9" w:rsidRPr="008C75E4" w:rsidRDefault="00D2449B" w:rsidP="00D2449B">
            <w:pPr>
              <w:jc w:val="center"/>
              <w:rPr>
                <w:rFonts w:ascii="Calibri" w:hAnsi="Calibri"/>
                <w:b/>
                <w:szCs w:val="22"/>
              </w:rPr>
            </w:pPr>
            <w:bookmarkStart w:id="0" w:name="_GoBack"/>
            <w:bookmarkEnd w:id="0"/>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rsidTr="002174E2">
        <w:trPr>
          <w:trHeight w:val="535"/>
          <w:jc w:val="center"/>
        </w:trPr>
        <w:tc>
          <w:tcPr>
            <w:tcW w:w="1296" w:type="dxa"/>
            <w:tcMar>
              <w:top w:w="57" w:type="dxa"/>
              <w:bottom w:w="57" w:type="dxa"/>
            </w:tcMar>
          </w:tcPr>
          <w:p w:rsidR="004936A6" w:rsidRDefault="004936A6" w:rsidP="00D2449B">
            <w:pPr>
              <w:jc w:val="center"/>
              <w:rPr>
                <w:rFonts w:ascii="Calibri" w:hAnsi="Calibri"/>
                <w:b/>
                <w:szCs w:val="22"/>
              </w:rPr>
            </w:pPr>
            <w:r w:rsidRPr="008C75E4">
              <w:rPr>
                <w:rFonts w:ascii="Calibri" w:hAnsi="Calibri"/>
                <w:b/>
                <w:szCs w:val="22"/>
              </w:rPr>
              <w:t>Signed:</w:t>
            </w:r>
          </w:p>
          <w:p w:rsidR="00454754" w:rsidRPr="008C75E4" w:rsidRDefault="00454754" w:rsidP="00D2449B">
            <w:pPr>
              <w:jc w:val="center"/>
              <w:rPr>
                <w:rFonts w:ascii="Calibri" w:hAnsi="Calibri"/>
                <w:b/>
                <w:szCs w:val="22"/>
              </w:rPr>
            </w:pPr>
          </w:p>
        </w:tc>
        <w:tc>
          <w:tcPr>
            <w:tcW w:w="900" w:type="dxa"/>
          </w:tcPr>
          <w:p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rsidR="004936A6" w:rsidRPr="00230C59" w:rsidRDefault="002174E2" w:rsidP="00D2449B">
            <w:pPr>
              <w:jc w:val="center"/>
              <w:rPr>
                <w:rFonts w:ascii="Calibri" w:hAnsi="Calibri"/>
                <w:szCs w:val="22"/>
              </w:rPr>
            </w:pPr>
            <w:r w:rsidRPr="00230C59">
              <w:rPr>
                <w:rFonts w:ascii="Calibri" w:hAnsi="Calibri"/>
                <w:szCs w:val="22"/>
              </w:rPr>
              <w:t>BT</w:t>
            </w:r>
          </w:p>
        </w:tc>
        <w:tc>
          <w:tcPr>
            <w:tcW w:w="1030" w:type="dxa"/>
          </w:tcPr>
          <w:p w:rsidR="004936A6" w:rsidRPr="008C75E4" w:rsidRDefault="004936A6" w:rsidP="00D2449B">
            <w:pPr>
              <w:jc w:val="center"/>
              <w:rPr>
                <w:rFonts w:ascii="Calibri" w:hAnsi="Calibri"/>
                <w:b/>
                <w:szCs w:val="22"/>
              </w:rPr>
            </w:pPr>
            <w:r w:rsidRPr="008C75E4">
              <w:rPr>
                <w:rFonts w:ascii="Calibri" w:hAnsi="Calibri"/>
                <w:b/>
                <w:szCs w:val="22"/>
              </w:rPr>
              <w:t>Date:</w:t>
            </w:r>
          </w:p>
        </w:tc>
        <w:tc>
          <w:tcPr>
            <w:tcW w:w="1298" w:type="dxa"/>
          </w:tcPr>
          <w:p w:rsidR="004936A6" w:rsidRPr="00230C59" w:rsidRDefault="00F1503A" w:rsidP="00D2449B">
            <w:pPr>
              <w:jc w:val="center"/>
              <w:rPr>
                <w:rFonts w:ascii="Calibri" w:hAnsi="Calibri"/>
                <w:szCs w:val="22"/>
              </w:rPr>
            </w:pPr>
            <w:r>
              <w:rPr>
                <w:rFonts w:ascii="Calibri" w:hAnsi="Calibri"/>
                <w:szCs w:val="22"/>
              </w:rPr>
              <w:t>23</w:t>
            </w:r>
            <w:r w:rsidR="002174E2" w:rsidRPr="00230C59">
              <w:rPr>
                <w:rFonts w:ascii="Calibri" w:hAnsi="Calibri"/>
                <w:szCs w:val="22"/>
              </w:rPr>
              <w:t>/12/2020</w:t>
            </w:r>
          </w:p>
        </w:tc>
        <w:tc>
          <w:tcPr>
            <w:tcW w:w="1098" w:type="dxa"/>
            <w:gridSpan w:val="2"/>
          </w:tcPr>
          <w:p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rsidR="004936A6" w:rsidRPr="008C75E4" w:rsidRDefault="004936A6" w:rsidP="00D2449B">
            <w:pPr>
              <w:jc w:val="center"/>
              <w:rPr>
                <w:rFonts w:ascii="Calibri" w:hAnsi="Calibri"/>
                <w:b/>
                <w:szCs w:val="22"/>
              </w:rPr>
            </w:pPr>
          </w:p>
        </w:tc>
        <w:tc>
          <w:tcPr>
            <w:tcW w:w="1030" w:type="dxa"/>
          </w:tcPr>
          <w:p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rsidR="004936A6" w:rsidRPr="008C75E4" w:rsidRDefault="004936A6" w:rsidP="00D2449B">
            <w:pPr>
              <w:jc w:val="center"/>
              <w:rPr>
                <w:rFonts w:ascii="Calibri" w:hAnsi="Calibri"/>
                <w:b/>
                <w:szCs w:val="22"/>
              </w:rPr>
            </w:pPr>
          </w:p>
        </w:tc>
      </w:tr>
      <w:tr w:rsidR="00E06DFC" w:rsidRPr="008C75E4" w:rsidTr="002174E2">
        <w:trPr>
          <w:trHeight w:val="586"/>
          <w:jc w:val="center"/>
        </w:trPr>
        <w:tc>
          <w:tcPr>
            <w:tcW w:w="1296" w:type="dxa"/>
            <w:tcBorders>
              <w:bottom w:val="single" w:sz="4" w:space="0" w:color="BFBFBF" w:themeColor="background1" w:themeShade="BF"/>
            </w:tcBorders>
            <w:tcMar>
              <w:top w:w="57" w:type="dxa"/>
              <w:bottom w:w="57" w:type="dxa"/>
            </w:tcMar>
          </w:tcPr>
          <w:p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rsidR="00E06DFC" w:rsidRPr="00230C59" w:rsidRDefault="002174E2" w:rsidP="00D2449B">
            <w:pPr>
              <w:jc w:val="center"/>
              <w:rPr>
                <w:rFonts w:ascii="Calibri" w:hAnsi="Calibri"/>
                <w:szCs w:val="22"/>
              </w:rPr>
            </w:pPr>
            <w:r w:rsidRPr="00230C59">
              <w:rPr>
                <w:rFonts w:ascii="Calibri" w:hAnsi="Calibri"/>
                <w:szCs w:val="22"/>
              </w:rPr>
              <w:t>N/A</w:t>
            </w:r>
          </w:p>
        </w:tc>
        <w:tc>
          <w:tcPr>
            <w:tcW w:w="1080" w:type="dxa"/>
            <w:gridSpan w:val="4"/>
            <w:tcBorders>
              <w:bottom w:val="single" w:sz="4" w:space="0" w:color="BFBFBF" w:themeColor="background1" w:themeShade="BF"/>
            </w:tcBorders>
          </w:tcPr>
          <w:p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rsidR="00E06DFC" w:rsidRPr="00230C59" w:rsidRDefault="004F05A6" w:rsidP="00D2449B">
            <w:pPr>
              <w:jc w:val="center"/>
              <w:rPr>
                <w:rFonts w:ascii="Calibri" w:hAnsi="Calibri"/>
                <w:szCs w:val="22"/>
              </w:rPr>
            </w:pPr>
            <w:r w:rsidRPr="00230C59">
              <w:rPr>
                <w:rFonts w:ascii="Calibri" w:hAnsi="Calibri"/>
                <w:szCs w:val="22"/>
              </w:rPr>
              <w:t>Yes</w:t>
            </w:r>
          </w:p>
        </w:tc>
        <w:tc>
          <w:tcPr>
            <w:tcW w:w="5517" w:type="dxa"/>
            <w:gridSpan w:val="7"/>
            <w:tcBorders>
              <w:bottom w:val="single" w:sz="4" w:space="0" w:color="BFBFBF" w:themeColor="background1" w:themeShade="BF"/>
            </w:tcBorders>
          </w:tcPr>
          <w:p w:rsidR="00E06DFC" w:rsidRPr="008C75E4" w:rsidRDefault="00E06DFC" w:rsidP="00D2449B">
            <w:pPr>
              <w:jc w:val="center"/>
              <w:rPr>
                <w:rFonts w:ascii="Calibri" w:hAnsi="Calibri"/>
                <w:b/>
                <w:szCs w:val="22"/>
              </w:rPr>
            </w:pPr>
          </w:p>
        </w:tc>
      </w:tr>
      <w:tr w:rsidR="008C75E4" w:rsidRPr="008C75E4" w:rsidTr="002174E2">
        <w:trPr>
          <w:jc w:val="center"/>
        </w:trPr>
        <w:tc>
          <w:tcPr>
            <w:tcW w:w="9823" w:type="dxa"/>
            <w:gridSpan w:val="14"/>
            <w:tcBorders>
              <w:left w:val="nil"/>
              <w:right w:val="nil"/>
            </w:tcBorders>
            <w:tcMar>
              <w:top w:w="57" w:type="dxa"/>
              <w:bottom w:w="57" w:type="dxa"/>
            </w:tcMar>
          </w:tcPr>
          <w:p w:rsidR="004A5EA9" w:rsidRPr="008C75E4" w:rsidRDefault="004A5EA9" w:rsidP="004A5EA9">
            <w:pPr>
              <w:jc w:val="center"/>
              <w:rPr>
                <w:rFonts w:ascii="Calibri" w:hAnsi="Calibri"/>
                <w:b/>
                <w:szCs w:val="22"/>
              </w:rPr>
            </w:pPr>
          </w:p>
        </w:tc>
      </w:tr>
      <w:tr w:rsidR="008C75E4" w:rsidRPr="008C75E4" w:rsidTr="002174E2">
        <w:trPr>
          <w:jc w:val="center"/>
        </w:trPr>
        <w:tc>
          <w:tcPr>
            <w:tcW w:w="2394" w:type="dxa"/>
            <w:gridSpan w:val="3"/>
            <w:tcMar>
              <w:top w:w="57" w:type="dxa"/>
              <w:bottom w:w="57" w:type="dxa"/>
            </w:tcMar>
          </w:tcPr>
          <w:p w:rsidR="004A5EA9" w:rsidRPr="008C75E4" w:rsidRDefault="004A5EA9">
            <w:pPr>
              <w:rPr>
                <w:rFonts w:ascii="Calibri" w:hAnsi="Calibri"/>
                <w:b/>
                <w:szCs w:val="22"/>
              </w:rPr>
            </w:pPr>
            <w:r w:rsidRPr="008C75E4">
              <w:rPr>
                <w:rFonts w:ascii="Calibri" w:hAnsi="Calibri"/>
                <w:b/>
                <w:szCs w:val="22"/>
              </w:rPr>
              <w:t>Application Ref:</w:t>
            </w:r>
          </w:p>
        </w:tc>
        <w:tc>
          <w:tcPr>
            <w:tcW w:w="3729" w:type="dxa"/>
            <w:gridSpan w:val="6"/>
          </w:tcPr>
          <w:p w:rsidR="004A5EA9" w:rsidRPr="008C75E4" w:rsidRDefault="002174E2" w:rsidP="008F6B58">
            <w:pPr>
              <w:rPr>
                <w:rFonts w:ascii="Calibri" w:hAnsi="Calibri"/>
                <w:szCs w:val="22"/>
              </w:rPr>
            </w:pPr>
            <w:r w:rsidRPr="002C6277">
              <w:rPr>
                <w:rFonts w:ascii="Calibri" w:hAnsi="Calibri"/>
                <w:szCs w:val="22"/>
              </w:rPr>
              <w:t>3/20</w:t>
            </w:r>
            <w:r>
              <w:rPr>
                <w:rFonts w:ascii="Calibri" w:hAnsi="Calibri"/>
                <w:szCs w:val="22"/>
              </w:rPr>
              <w:t>20</w:t>
            </w:r>
            <w:r w:rsidRPr="002C6277">
              <w:rPr>
                <w:rFonts w:ascii="Calibri" w:hAnsi="Calibri"/>
                <w:szCs w:val="22"/>
              </w:rPr>
              <w:t>/0</w:t>
            </w:r>
            <w:r>
              <w:rPr>
                <w:rFonts w:ascii="Calibri" w:hAnsi="Calibri"/>
                <w:szCs w:val="22"/>
              </w:rPr>
              <w:t>955</w:t>
            </w:r>
          </w:p>
        </w:tc>
        <w:tc>
          <w:tcPr>
            <w:tcW w:w="3700" w:type="dxa"/>
            <w:gridSpan w:val="5"/>
            <w:vMerge w:val="restart"/>
            <w:tcMar>
              <w:top w:w="57" w:type="dxa"/>
              <w:bottom w:w="57" w:type="dxa"/>
            </w:tcMar>
          </w:tcPr>
          <w:p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6150F5CC" wp14:editId="79F27BC8">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rsidTr="002174E2">
        <w:trPr>
          <w:jc w:val="center"/>
        </w:trPr>
        <w:tc>
          <w:tcPr>
            <w:tcW w:w="2394" w:type="dxa"/>
            <w:gridSpan w:val="3"/>
            <w:tcMar>
              <w:top w:w="57" w:type="dxa"/>
              <w:bottom w:w="57" w:type="dxa"/>
            </w:tcMar>
          </w:tcPr>
          <w:p w:rsidR="004A5EA9" w:rsidRPr="008C75E4" w:rsidRDefault="004A5EA9">
            <w:pPr>
              <w:rPr>
                <w:rFonts w:ascii="Calibri" w:hAnsi="Calibri"/>
                <w:b/>
                <w:szCs w:val="22"/>
              </w:rPr>
            </w:pPr>
            <w:r w:rsidRPr="008C75E4">
              <w:rPr>
                <w:rFonts w:ascii="Calibri" w:hAnsi="Calibri"/>
                <w:b/>
                <w:szCs w:val="22"/>
              </w:rPr>
              <w:t>Date Inspected:</w:t>
            </w:r>
          </w:p>
        </w:tc>
        <w:tc>
          <w:tcPr>
            <w:tcW w:w="3729" w:type="dxa"/>
            <w:gridSpan w:val="6"/>
          </w:tcPr>
          <w:p w:rsidR="004A5EA9" w:rsidRPr="008C75E4" w:rsidRDefault="002174E2" w:rsidP="002C6277">
            <w:pPr>
              <w:rPr>
                <w:rFonts w:ascii="Calibri" w:hAnsi="Calibri"/>
                <w:szCs w:val="22"/>
              </w:rPr>
            </w:pPr>
            <w:r>
              <w:rPr>
                <w:rFonts w:ascii="Calibri" w:hAnsi="Calibri"/>
                <w:szCs w:val="22"/>
              </w:rPr>
              <w:t>15</w:t>
            </w:r>
            <w:r w:rsidRPr="00713246">
              <w:rPr>
                <w:rFonts w:ascii="Calibri" w:hAnsi="Calibri"/>
                <w:szCs w:val="22"/>
              </w:rPr>
              <w:t>/12/2020</w:t>
            </w:r>
          </w:p>
        </w:tc>
        <w:tc>
          <w:tcPr>
            <w:tcW w:w="3700" w:type="dxa"/>
            <w:gridSpan w:val="5"/>
            <w:vMerge/>
            <w:tcMar>
              <w:top w:w="57" w:type="dxa"/>
              <w:bottom w:w="57" w:type="dxa"/>
            </w:tcMar>
          </w:tcPr>
          <w:p w:rsidR="004A5EA9" w:rsidRPr="008C75E4" w:rsidRDefault="004A5EA9">
            <w:pPr>
              <w:rPr>
                <w:rFonts w:ascii="Calibri" w:hAnsi="Calibri"/>
                <w:szCs w:val="22"/>
              </w:rPr>
            </w:pPr>
          </w:p>
        </w:tc>
      </w:tr>
      <w:tr w:rsidR="008C75E4" w:rsidRPr="008C75E4" w:rsidTr="002174E2">
        <w:trPr>
          <w:jc w:val="center"/>
        </w:trPr>
        <w:tc>
          <w:tcPr>
            <w:tcW w:w="2394" w:type="dxa"/>
            <w:gridSpan w:val="3"/>
            <w:tcMar>
              <w:top w:w="57" w:type="dxa"/>
              <w:bottom w:w="57" w:type="dxa"/>
            </w:tcMar>
          </w:tcPr>
          <w:p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729" w:type="dxa"/>
            <w:gridSpan w:val="6"/>
          </w:tcPr>
          <w:p w:rsidR="004A5EA9" w:rsidRPr="00454754" w:rsidRDefault="002174E2" w:rsidP="00811771">
            <w:pPr>
              <w:rPr>
                <w:rFonts w:ascii="Calibri" w:hAnsi="Calibri"/>
                <w:b/>
                <w:szCs w:val="22"/>
              </w:rPr>
            </w:pPr>
            <w:r>
              <w:rPr>
                <w:rFonts w:ascii="Calibri" w:hAnsi="Calibri"/>
                <w:b/>
                <w:szCs w:val="22"/>
              </w:rPr>
              <w:t>BT</w:t>
            </w:r>
          </w:p>
        </w:tc>
        <w:tc>
          <w:tcPr>
            <w:tcW w:w="3700" w:type="dxa"/>
            <w:gridSpan w:val="5"/>
            <w:vMerge/>
            <w:tcMar>
              <w:top w:w="57" w:type="dxa"/>
              <w:bottom w:w="57" w:type="dxa"/>
            </w:tcMar>
          </w:tcPr>
          <w:p w:rsidR="004A5EA9" w:rsidRPr="008C75E4" w:rsidRDefault="004A5EA9">
            <w:pPr>
              <w:rPr>
                <w:rFonts w:ascii="Calibri" w:hAnsi="Calibri"/>
                <w:szCs w:val="22"/>
              </w:rPr>
            </w:pPr>
          </w:p>
        </w:tc>
      </w:tr>
      <w:tr w:rsidR="00FD334A" w:rsidRPr="008C75E4" w:rsidTr="002174E2">
        <w:trPr>
          <w:jc w:val="center"/>
        </w:trPr>
        <w:tc>
          <w:tcPr>
            <w:tcW w:w="6123" w:type="dxa"/>
            <w:gridSpan w:val="9"/>
            <w:tcBorders>
              <w:bottom w:val="single" w:sz="4" w:space="0" w:color="BFBFBF" w:themeColor="background1" w:themeShade="BF"/>
            </w:tcBorders>
            <w:tcMar>
              <w:top w:w="57" w:type="dxa"/>
              <w:bottom w:w="57" w:type="dxa"/>
            </w:tcMar>
          </w:tcPr>
          <w:p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rsidR="00FD334A" w:rsidRPr="008C75E4" w:rsidRDefault="002174E2" w:rsidP="00FD334A">
            <w:pPr>
              <w:rPr>
                <w:rFonts w:ascii="Calibri" w:hAnsi="Calibri"/>
                <w:b/>
                <w:szCs w:val="22"/>
              </w:rPr>
            </w:pPr>
            <w:r>
              <w:rPr>
                <w:rFonts w:ascii="Calibri" w:hAnsi="Calibri"/>
                <w:b/>
                <w:szCs w:val="22"/>
              </w:rPr>
              <w:t>APPROVAL</w:t>
            </w:r>
          </w:p>
        </w:tc>
      </w:tr>
      <w:tr w:rsidR="008C75E4" w:rsidRPr="008C75E4" w:rsidTr="002174E2">
        <w:trPr>
          <w:trHeight w:hRule="exact" w:val="144"/>
          <w:jc w:val="center"/>
        </w:trPr>
        <w:tc>
          <w:tcPr>
            <w:tcW w:w="9823" w:type="dxa"/>
            <w:gridSpan w:val="14"/>
            <w:tcBorders>
              <w:left w:val="nil"/>
              <w:right w:val="nil"/>
            </w:tcBorders>
            <w:tcMar>
              <w:top w:w="57" w:type="dxa"/>
              <w:bottom w:w="57" w:type="dxa"/>
            </w:tcMar>
          </w:tcPr>
          <w:p w:rsidR="004A5EA9" w:rsidRPr="00504440" w:rsidRDefault="004A5EA9" w:rsidP="007E0D23">
            <w:pPr>
              <w:tabs>
                <w:tab w:val="left" w:pos="4007"/>
              </w:tabs>
              <w:rPr>
                <w:rFonts w:ascii="Calibri" w:hAnsi="Calibri"/>
                <w:b/>
                <w:sz w:val="4"/>
                <w:szCs w:val="4"/>
              </w:rPr>
            </w:pPr>
          </w:p>
        </w:tc>
      </w:tr>
      <w:tr w:rsidR="008C75E4" w:rsidRPr="008C75E4" w:rsidTr="002174E2">
        <w:trPr>
          <w:jc w:val="center"/>
        </w:trPr>
        <w:tc>
          <w:tcPr>
            <w:tcW w:w="3075" w:type="dxa"/>
            <w:gridSpan w:val="5"/>
            <w:tcMar>
              <w:top w:w="57" w:type="dxa"/>
              <w:bottom w:w="57" w:type="dxa"/>
            </w:tcMar>
          </w:tcPr>
          <w:p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748" w:type="dxa"/>
            <w:gridSpan w:val="9"/>
          </w:tcPr>
          <w:p w:rsidR="004A5EA9" w:rsidRPr="008C75E4" w:rsidRDefault="002174E2">
            <w:pPr>
              <w:rPr>
                <w:rFonts w:ascii="Calibri" w:hAnsi="Calibri"/>
                <w:szCs w:val="22"/>
              </w:rPr>
            </w:pPr>
            <w:r>
              <w:rPr>
                <w:rFonts w:asciiTheme="minorHAnsi" w:hAnsiTheme="minorHAnsi" w:cstheme="minorHAnsi"/>
                <w:bCs/>
                <w:szCs w:val="22"/>
              </w:rPr>
              <w:t>Proposed n</w:t>
            </w:r>
            <w:r w:rsidRPr="00240A60">
              <w:rPr>
                <w:rFonts w:asciiTheme="minorHAnsi" w:hAnsiTheme="minorHAnsi" w:cstheme="minorHAnsi"/>
                <w:bCs/>
                <w:szCs w:val="22"/>
              </w:rPr>
              <w:t>ew vehicle entrance to allow parking for two cars, landscaping at rear, boundary wall to replace with a gate and a new boundary wall constructed.</w:t>
            </w:r>
          </w:p>
        </w:tc>
      </w:tr>
      <w:tr w:rsidR="008C75E4" w:rsidRPr="008C75E4" w:rsidTr="002174E2">
        <w:trPr>
          <w:jc w:val="center"/>
        </w:trPr>
        <w:tc>
          <w:tcPr>
            <w:tcW w:w="3075" w:type="dxa"/>
            <w:gridSpan w:val="5"/>
            <w:tcBorders>
              <w:bottom w:val="single" w:sz="4" w:space="0" w:color="BFBFBF" w:themeColor="background1" w:themeShade="BF"/>
            </w:tcBorders>
            <w:tcMar>
              <w:top w:w="57" w:type="dxa"/>
              <w:bottom w:w="57" w:type="dxa"/>
            </w:tcMar>
          </w:tcPr>
          <w:p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748" w:type="dxa"/>
            <w:gridSpan w:val="9"/>
            <w:tcBorders>
              <w:bottom w:val="single" w:sz="4" w:space="0" w:color="BFBFBF" w:themeColor="background1" w:themeShade="BF"/>
            </w:tcBorders>
          </w:tcPr>
          <w:p w:rsidR="002A01CF" w:rsidRPr="008C75E4" w:rsidRDefault="002174E2" w:rsidP="00A42E82">
            <w:pPr>
              <w:rPr>
                <w:rFonts w:ascii="Calibri" w:hAnsi="Calibri"/>
                <w:szCs w:val="22"/>
              </w:rPr>
            </w:pPr>
            <w:r>
              <w:rPr>
                <w:rFonts w:asciiTheme="minorHAnsi" w:hAnsiTheme="minorHAnsi" w:cstheme="minorHAnsi"/>
                <w:bCs/>
                <w:szCs w:val="22"/>
              </w:rPr>
              <w:t>The Owls, Wigglesworth Road, Tosside, Skipton. BD23 4SX</w:t>
            </w:r>
          </w:p>
        </w:tc>
      </w:tr>
      <w:tr w:rsidR="008C75E4" w:rsidRPr="008C75E4" w:rsidTr="002174E2">
        <w:trPr>
          <w:trHeight w:hRule="exact" w:val="144"/>
          <w:jc w:val="center"/>
        </w:trPr>
        <w:tc>
          <w:tcPr>
            <w:tcW w:w="9823" w:type="dxa"/>
            <w:gridSpan w:val="14"/>
            <w:tcBorders>
              <w:left w:val="nil"/>
              <w:right w:val="nil"/>
            </w:tcBorders>
            <w:tcMar>
              <w:top w:w="57" w:type="dxa"/>
              <w:bottom w:w="57" w:type="dxa"/>
            </w:tcMar>
          </w:tcPr>
          <w:p w:rsidR="00A95D89" w:rsidRPr="00504440" w:rsidRDefault="00A95D89" w:rsidP="007E0D23">
            <w:pPr>
              <w:tabs>
                <w:tab w:val="left" w:pos="2667"/>
              </w:tabs>
              <w:rPr>
                <w:rFonts w:ascii="Calibri" w:hAnsi="Calibri"/>
                <w:b/>
                <w:sz w:val="4"/>
                <w:szCs w:val="4"/>
              </w:rPr>
            </w:pPr>
          </w:p>
        </w:tc>
      </w:tr>
      <w:tr w:rsidR="008C75E4" w:rsidRPr="008C75E4" w:rsidTr="002174E2">
        <w:trPr>
          <w:jc w:val="center"/>
        </w:trPr>
        <w:tc>
          <w:tcPr>
            <w:tcW w:w="3075" w:type="dxa"/>
            <w:gridSpan w:val="5"/>
            <w:tcMar>
              <w:top w:w="57" w:type="dxa"/>
              <w:bottom w:w="57" w:type="dxa"/>
            </w:tcMar>
          </w:tcPr>
          <w:p w:rsidR="00C618DB" w:rsidRPr="008C75E4" w:rsidRDefault="00C618DB">
            <w:pPr>
              <w:rPr>
                <w:rFonts w:ascii="Calibri" w:hAnsi="Calibri"/>
                <w:b/>
                <w:szCs w:val="22"/>
              </w:rPr>
            </w:pPr>
            <w:r w:rsidRPr="008C75E4">
              <w:rPr>
                <w:rFonts w:ascii="Calibri" w:hAnsi="Calibri"/>
                <w:b/>
                <w:szCs w:val="22"/>
              </w:rPr>
              <w:t xml:space="preserve">CONSULTATIONS: </w:t>
            </w:r>
          </w:p>
        </w:tc>
        <w:tc>
          <w:tcPr>
            <w:tcW w:w="6748" w:type="dxa"/>
            <w:gridSpan w:val="9"/>
          </w:tcPr>
          <w:p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rsidTr="002174E2">
        <w:trPr>
          <w:jc w:val="center"/>
        </w:trPr>
        <w:tc>
          <w:tcPr>
            <w:tcW w:w="9823" w:type="dxa"/>
            <w:gridSpan w:val="14"/>
            <w:tcBorders>
              <w:bottom w:val="single" w:sz="4" w:space="0" w:color="BFBFBF" w:themeColor="background1" w:themeShade="BF"/>
            </w:tcBorders>
            <w:tcMar>
              <w:top w:w="57" w:type="dxa"/>
              <w:bottom w:w="57" w:type="dxa"/>
            </w:tcMar>
          </w:tcPr>
          <w:p w:rsidR="003A4376" w:rsidRPr="009825FF" w:rsidRDefault="004F05A6" w:rsidP="009825FF">
            <w:pPr>
              <w:jc w:val="both"/>
              <w:rPr>
                <w:rFonts w:ascii="Calibri" w:hAnsi="Calibri"/>
                <w:szCs w:val="22"/>
              </w:rPr>
            </w:pPr>
            <w:r>
              <w:rPr>
                <w:rFonts w:ascii="Calibri" w:hAnsi="Calibri"/>
                <w:szCs w:val="22"/>
              </w:rPr>
              <w:t xml:space="preserve">Slaidburn and Easington Parish Council </w:t>
            </w:r>
            <w:r w:rsidR="002174E2" w:rsidRPr="006E31D7">
              <w:rPr>
                <w:rFonts w:ascii="Calibri" w:hAnsi="Calibri"/>
                <w:szCs w:val="22"/>
              </w:rPr>
              <w:t>do not have any objections to the proposal put forward.</w:t>
            </w:r>
          </w:p>
        </w:tc>
      </w:tr>
      <w:tr w:rsidR="008C75E4" w:rsidRPr="008C75E4" w:rsidTr="002174E2">
        <w:trPr>
          <w:trHeight w:hRule="exact" w:val="144"/>
          <w:jc w:val="center"/>
        </w:trPr>
        <w:tc>
          <w:tcPr>
            <w:tcW w:w="9823" w:type="dxa"/>
            <w:gridSpan w:val="14"/>
            <w:tcBorders>
              <w:left w:val="nil"/>
              <w:right w:val="nil"/>
            </w:tcBorders>
            <w:tcMar>
              <w:top w:w="57" w:type="dxa"/>
              <w:bottom w:w="57" w:type="dxa"/>
            </w:tcMar>
          </w:tcPr>
          <w:p w:rsidR="00C618DB" w:rsidRPr="00504440" w:rsidRDefault="00C618DB" w:rsidP="006126D1">
            <w:pPr>
              <w:jc w:val="both"/>
              <w:rPr>
                <w:rFonts w:ascii="Calibri" w:hAnsi="Calibri"/>
                <w:bCs/>
                <w:sz w:val="4"/>
                <w:szCs w:val="4"/>
              </w:rPr>
            </w:pPr>
          </w:p>
        </w:tc>
      </w:tr>
      <w:tr w:rsidR="008C75E4" w:rsidRPr="008C75E4" w:rsidTr="002174E2">
        <w:trPr>
          <w:jc w:val="center"/>
        </w:trPr>
        <w:tc>
          <w:tcPr>
            <w:tcW w:w="3075" w:type="dxa"/>
            <w:gridSpan w:val="5"/>
            <w:tcMar>
              <w:top w:w="57" w:type="dxa"/>
              <w:bottom w:w="57" w:type="dxa"/>
            </w:tcMar>
          </w:tcPr>
          <w:p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748" w:type="dxa"/>
            <w:gridSpan w:val="9"/>
          </w:tcPr>
          <w:p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8C75E4" w:rsidRPr="008C75E4" w:rsidTr="002174E2">
        <w:trPr>
          <w:jc w:val="center"/>
        </w:trPr>
        <w:tc>
          <w:tcPr>
            <w:tcW w:w="3075" w:type="dxa"/>
            <w:gridSpan w:val="5"/>
            <w:tcMar>
              <w:top w:w="57" w:type="dxa"/>
              <w:bottom w:w="57" w:type="dxa"/>
            </w:tcMar>
          </w:tcPr>
          <w:p w:rsidR="002A01CF" w:rsidRPr="008C75E4" w:rsidRDefault="002A01CF" w:rsidP="006126D1">
            <w:pPr>
              <w:jc w:val="both"/>
              <w:rPr>
                <w:rFonts w:ascii="Calibri" w:hAnsi="Calibri"/>
                <w:b/>
                <w:szCs w:val="22"/>
              </w:rPr>
            </w:pPr>
            <w:r w:rsidRPr="008C75E4">
              <w:rPr>
                <w:rFonts w:ascii="Calibri" w:hAnsi="Calibri"/>
                <w:b/>
                <w:szCs w:val="22"/>
              </w:rPr>
              <w:t>LCC Highways:</w:t>
            </w:r>
          </w:p>
        </w:tc>
        <w:tc>
          <w:tcPr>
            <w:tcW w:w="6748" w:type="dxa"/>
            <w:gridSpan w:val="9"/>
          </w:tcPr>
          <w:p w:rsidR="002A01CF" w:rsidRPr="008C75E4" w:rsidRDefault="002A01CF" w:rsidP="006126D1">
            <w:pPr>
              <w:jc w:val="both"/>
              <w:rPr>
                <w:rFonts w:ascii="Calibri" w:hAnsi="Calibri"/>
                <w:b/>
                <w:szCs w:val="22"/>
              </w:rPr>
            </w:pPr>
          </w:p>
        </w:tc>
      </w:tr>
      <w:tr w:rsidR="008C75E4" w:rsidRPr="008C75E4" w:rsidTr="002174E2">
        <w:trPr>
          <w:jc w:val="center"/>
        </w:trPr>
        <w:tc>
          <w:tcPr>
            <w:tcW w:w="9823" w:type="dxa"/>
            <w:gridSpan w:val="14"/>
            <w:tcMar>
              <w:top w:w="57" w:type="dxa"/>
              <w:bottom w:w="57" w:type="dxa"/>
            </w:tcMar>
          </w:tcPr>
          <w:p w:rsidR="000D76E2" w:rsidRDefault="00020F3B" w:rsidP="00FC046F">
            <w:pPr>
              <w:jc w:val="both"/>
              <w:rPr>
                <w:rFonts w:ascii="Calibri" w:hAnsi="Calibri"/>
                <w:szCs w:val="22"/>
              </w:rPr>
            </w:pPr>
            <w:r>
              <w:rPr>
                <w:rFonts w:ascii="Calibri" w:hAnsi="Calibri"/>
                <w:szCs w:val="22"/>
              </w:rPr>
              <w:t xml:space="preserve">Lancashire County Council highways were initially </w:t>
            </w:r>
            <w:r w:rsidR="000D76E2">
              <w:rPr>
                <w:rFonts w:ascii="Calibri" w:hAnsi="Calibri"/>
                <w:szCs w:val="22"/>
              </w:rPr>
              <w:t xml:space="preserve">resistant to the above proposal. This was primarily in relation to concerns regarding the precise location of the proposed vehicle track and issues relating to insufficient </w:t>
            </w:r>
            <w:r w:rsidR="009C6D8A">
              <w:rPr>
                <w:rFonts w:ascii="Calibri" w:hAnsi="Calibri"/>
                <w:szCs w:val="22"/>
              </w:rPr>
              <w:t xml:space="preserve">vehicle </w:t>
            </w:r>
            <w:r w:rsidR="000D76E2">
              <w:rPr>
                <w:rFonts w:ascii="Calibri" w:hAnsi="Calibri"/>
                <w:szCs w:val="22"/>
              </w:rPr>
              <w:t>turning space.</w:t>
            </w:r>
          </w:p>
          <w:p w:rsidR="000D76E2" w:rsidRDefault="000D76E2" w:rsidP="00FC046F">
            <w:pPr>
              <w:jc w:val="both"/>
              <w:rPr>
                <w:rFonts w:ascii="Calibri" w:hAnsi="Calibri"/>
                <w:szCs w:val="22"/>
              </w:rPr>
            </w:pPr>
          </w:p>
          <w:p w:rsidR="000D76E2" w:rsidRDefault="001B026C" w:rsidP="00FC046F">
            <w:pPr>
              <w:jc w:val="both"/>
              <w:rPr>
                <w:rFonts w:ascii="Calibri" w:hAnsi="Calibri"/>
                <w:szCs w:val="22"/>
              </w:rPr>
            </w:pPr>
            <w:r>
              <w:rPr>
                <w:rFonts w:ascii="Calibri" w:hAnsi="Calibri"/>
                <w:szCs w:val="22"/>
              </w:rPr>
              <w:t xml:space="preserve">Following this, the applicant provided a detailed response to the above concerns which included clarification on the precise location of the proposed vehicle access track in addition to an amended plan that made provision for sufficient turning space. </w:t>
            </w:r>
          </w:p>
          <w:p w:rsidR="001B026C" w:rsidRDefault="001B026C" w:rsidP="00FC046F">
            <w:pPr>
              <w:jc w:val="both"/>
              <w:rPr>
                <w:rFonts w:ascii="Calibri" w:hAnsi="Calibri"/>
                <w:szCs w:val="22"/>
              </w:rPr>
            </w:pPr>
          </w:p>
          <w:p w:rsidR="001B026C" w:rsidRDefault="005F2C99" w:rsidP="00FC046F">
            <w:pPr>
              <w:jc w:val="both"/>
              <w:rPr>
                <w:rFonts w:ascii="Calibri" w:hAnsi="Calibri"/>
                <w:szCs w:val="22"/>
              </w:rPr>
            </w:pPr>
            <w:r>
              <w:rPr>
                <w:rFonts w:ascii="Calibri" w:hAnsi="Calibri"/>
                <w:szCs w:val="22"/>
              </w:rPr>
              <w:t>In light of this, LCC Highways responded with the following:</w:t>
            </w:r>
          </w:p>
          <w:p w:rsidR="005F2C99" w:rsidRDefault="005F2C99" w:rsidP="00FC046F">
            <w:pPr>
              <w:jc w:val="both"/>
              <w:rPr>
                <w:rFonts w:ascii="Calibri" w:hAnsi="Calibri"/>
                <w:szCs w:val="22"/>
              </w:rPr>
            </w:pPr>
          </w:p>
          <w:p w:rsidR="005F2C99" w:rsidRPr="005F2C99" w:rsidRDefault="005F2C99" w:rsidP="00FC046F">
            <w:pPr>
              <w:jc w:val="both"/>
              <w:rPr>
                <w:rFonts w:ascii="Calibri" w:hAnsi="Calibri"/>
                <w:i/>
                <w:szCs w:val="22"/>
              </w:rPr>
            </w:pPr>
            <w:r w:rsidRPr="005F2C99">
              <w:rPr>
                <w:rFonts w:ascii="Calibri" w:hAnsi="Calibri"/>
                <w:i/>
                <w:szCs w:val="22"/>
              </w:rPr>
              <w:t>‘Further to the submission of additional information concerning outstanding highway site access issues – (reference Lancashire County Council highway correspondence 27th November 2020) I would no longer wish to raise any highway objections to applicant proposals.</w:t>
            </w:r>
            <w:r>
              <w:rPr>
                <w:rFonts w:ascii="Calibri" w:hAnsi="Calibri"/>
                <w:i/>
                <w:szCs w:val="22"/>
              </w:rPr>
              <w:t>’</w:t>
            </w:r>
          </w:p>
          <w:p w:rsidR="00020F3B" w:rsidRPr="008C75E4" w:rsidRDefault="00020F3B" w:rsidP="00FC046F">
            <w:pPr>
              <w:jc w:val="both"/>
              <w:rPr>
                <w:rFonts w:ascii="Calibri" w:hAnsi="Calibri"/>
                <w:szCs w:val="22"/>
              </w:rPr>
            </w:pPr>
          </w:p>
        </w:tc>
      </w:tr>
      <w:tr w:rsidR="008C75E4" w:rsidRPr="008C75E4" w:rsidTr="002174E2">
        <w:trPr>
          <w:jc w:val="center"/>
        </w:trPr>
        <w:tc>
          <w:tcPr>
            <w:tcW w:w="3075" w:type="dxa"/>
            <w:gridSpan w:val="5"/>
            <w:tcMar>
              <w:top w:w="57" w:type="dxa"/>
              <w:bottom w:w="57" w:type="dxa"/>
            </w:tcMar>
          </w:tcPr>
          <w:p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748" w:type="dxa"/>
            <w:gridSpan w:val="9"/>
          </w:tcPr>
          <w:p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rsidTr="002174E2">
        <w:trPr>
          <w:jc w:val="center"/>
        </w:trPr>
        <w:tc>
          <w:tcPr>
            <w:tcW w:w="9823" w:type="dxa"/>
            <w:gridSpan w:val="14"/>
            <w:tcBorders>
              <w:bottom w:val="single" w:sz="4" w:space="0" w:color="BFBFBF" w:themeColor="background1" w:themeShade="BF"/>
            </w:tcBorders>
            <w:tcMar>
              <w:top w:w="57" w:type="dxa"/>
              <w:bottom w:w="57" w:type="dxa"/>
            </w:tcMar>
          </w:tcPr>
          <w:p w:rsidR="005878FE" w:rsidRPr="00435FC9" w:rsidRDefault="002174E2" w:rsidP="00435FC9">
            <w:pPr>
              <w:jc w:val="both"/>
              <w:rPr>
                <w:rFonts w:ascii="Calibri" w:hAnsi="Calibri"/>
                <w:szCs w:val="22"/>
              </w:rPr>
            </w:pPr>
            <w:r>
              <w:rPr>
                <w:rFonts w:ascii="Calibri" w:hAnsi="Calibri"/>
                <w:szCs w:val="22"/>
              </w:rPr>
              <w:t>No representations have been received in respect of the application.</w:t>
            </w:r>
          </w:p>
        </w:tc>
      </w:tr>
      <w:tr w:rsidR="008C75E4" w:rsidRPr="008C75E4" w:rsidTr="002174E2">
        <w:trPr>
          <w:trHeight w:hRule="exact" w:val="144"/>
          <w:jc w:val="center"/>
        </w:trPr>
        <w:tc>
          <w:tcPr>
            <w:tcW w:w="9823" w:type="dxa"/>
            <w:gridSpan w:val="14"/>
            <w:tcBorders>
              <w:left w:val="nil"/>
              <w:right w:val="nil"/>
            </w:tcBorders>
            <w:tcMar>
              <w:top w:w="57" w:type="dxa"/>
              <w:bottom w:w="57" w:type="dxa"/>
            </w:tcMar>
          </w:tcPr>
          <w:p w:rsidR="00C0704D" w:rsidRPr="00504440" w:rsidRDefault="00C0704D" w:rsidP="006126D1">
            <w:pPr>
              <w:jc w:val="both"/>
              <w:rPr>
                <w:rFonts w:ascii="Calibri" w:hAnsi="Calibri"/>
                <w:sz w:val="4"/>
                <w:szCs w:val="4"/>
              </w:rPr>
            </w:pPr>
          </w:p>
        </w:tc>
      </w:tr>
      <w:tr w:rsidR="008C75E4" w:rsidRPr="008C75E4" w:rsidTr="002174E2">
        <w:trPr>
          <w:jc w:val="center"/>
        </w:trPr>
        <w:tc>
          <w:tcPr>
            <w:tcW w:w="9823" w:type="dxa"/>
            <w:gridSpan w:val="14"/>
            <w:tcMar>
              <w:top w:w="57" w:type="dxa"/>
              <w:bottom w:w="57" w:type="dxa"/>
            </w:tcMar>
          </w:tcPr>
          <w:p w:rsidR="00C0704D" w:rsidRPr="008C75E4" w:rsidRDefault="00C0704D" w:rsidP="006126D1">
            <w:pPr>
              <w:jc w:val="both"/>
              <w:rPr>
                <w:rFonts w:ascii="Calibri" w:hAnsi="Calibri"/>
                <w:b/>
                <w:szCs w:val="22"/>
              </w:rPr>
            </w:pPr>
            <w:r w:rsidRPr="008C75E4">
              <w:rPr>
                <w:rFonts w:ascii="Calibri" w:hAnsi="Calibri"/>
                <w:b/>
                <w:szCs w:val="22"/>
              </w:rPr>
              <w:t>RELEVANT POLICIES AND SITE PLANNING HISTORY:</w:t>
            </w:r>
          </w:p>
        </w:tc>
      </w:tr>
      <w:tr w:rsidR="008C75E4" w:rsidRPr="008C75E4" w:rsidTr="002174E2">
        <w:trPr>
          <w:trHeight w:val="864"/>
          <w:jc w:val="center"/>
        </w:trPr>
        <w:tc>
          <w:tcPr>
            <w:tcW w:w="9823" w:type="dxa"/>
            <w:gridSpan w:val="14"/>
            <w:tcMar>
              <w:top w:w="57" w:type="dxa"/>
              <w:bottom w:w="57" w:type="dxa"/>
            </w:tcMar>
          </w:tcPr>
          <w:p w:rsidR="008542DE" w:rsidRPr="00504440" w:rsidRDefault="00C0704D" w:rsidP="00504440">
            <w:pPr>
              <w:pStyle w:val="PLANNING"/>
              <w:rPr>
                <w:rFonts w:ascii="Calibri" w:hAnsi="Calibri"/>
                <w:b/>
                <w:bCs/>
                <w:szCs w:val="22"/>
              </w:rPr>
            </w:pPr>
            <w:r w:rsidRPr="008C75E4">
              <w:rPr>
                <w:rFonts w:ascii="Calibri" w:hAnsi="Calibri"/>
                <w:b/>
                <w:bCs/>
                <w:szCs w:val="22"/>
              </w:rPr>
              <w:t>Ribble Valley Core Strategy:</w:t>
            </w:r>
          </w:p>
          <w:p w:rsidR="001946E0" w:rsidRDefault="001946E0" w:rsidP="006126D1">
            <w:pPr>
              <w:jc w:val="both"/>
              <w:rPr>
                <w:rFonts w:ascii="Calibri" w:hAnsi="Calibri"/>
                <w:b/>
                <w:szCs w:val="22"/>
              </w:rPr>
            </w:pPr>
          </w:p>
          <w:p w:rsidR="002174E2" w:rsidRPr="00951001" w:rsidRDefault="002174E2" w:rsidP="002174E2">
            <w:pPr>
              <w:pStyle w:val="Default"/>
              <w:rPr>
                <w:sz w:val="22"/>
                <w:szCs w:val="22"/>
              </w:rPr>
            </w:pPr>
            <w:r w:rsidRPr="00951001">
              <w:rPr>
                <w:sz w:val="22"/>
                <w:szCs w:val="22"/>
              </w:rPr>
              <w:t xml:space="preserve">Key </w:t>
            </w:r>
            <w:r>
              <w:rPr>
                <w:sz w:val="22"/>
                <w:szCs w:val="22"/>
              </w:rPr>
              <w:t>s</w:t>
            </w:r>
            <w:r w:rsidRPr="00951001">
              <w:rPr>
                <w:sz w:val="22"/>
                <w:szCs w:val="22"/>
              </w:rPr>
              <w:t xml:space="preserve">tatement DS1 – Development Strategy </w:t>
            </w:r>
          </w:p>
          <w:p w:rsidR="002174E2" w:rsidRDefault="002174E2" w:rsidP="002174E2">
            <w:pPr>
              <w:pStyle w:val="Default"/>
              <w:rPr>
                <w:sz w:val="22"/>
                <w:szCs w:val="22"/>
              </w:rPr>
            </w:pPr>
            <w:r w:rsidRPr="00951001">
              <w:rPr>
                <w:sz w:val="22"/>
                <w:szCs w:val="22"/>
              </w:rPr>
              <w:t>Key statement DS2 – Presumption in Favour of Sustainable Development</w:t>
            </w:r>
          </w:p>
          <w:p w:rsidR="002174E2" w:rsidRDefault="002174E2" w:rsidP="002174E2">
            <w:pPr>
              <w:pStyle w:val="Default"/>
              <w:rPr>
                <w:sz w:val="22"/>
                <w:szCs w:val="22"/>
              </w:rPr>
            </w:pPr>
            <w:r>
              <w:rPr>
                <w:sz w:val="22"/>
                <w:szCs w:val="22"/>
              </w:rPr>
              <w:t>Key statement EN2 – Landscape</w:t>
            </w:r>
          </w:p>
          <w:p w:rsidR="002174E2" w:rsidRDefault="002174E2" w:rsidP="002174E2">
            <w:pPr>
              <w:pStyle w:val="Default"/>
              <w:rPr>
                <w:sz w:val="22"/>
                <w:szCs w:val="22"/>
              </w:rPr>
            </w:pPr>
            <w:r>
              <w:rPr>
                <w:sz w:val="22"/>
                <w:szCs w:val="22"/>
              </w:rPr>
              <w:t>Key statement EN4 – Biodiversity and Geodiversity</w:t>
            </w:r>
          </w:p>
          <w:p w:rsidR="002174E2" w:rsidRPr="00951001" w:rsidRDefault="002174E2" w:rsidP="002174E2">
            <w:pPr>
              <w:pStyle w:val="Default"/>
              <w:spacing w:after="30"/>
              <w:rPr>
                <w:sz w:val="22"/>
                <w:szCs w:val="22"/>
              </w:rPr>
            </w:pPr>
            <w:r w:rsidRPr="00951001">
              <w:rPr>
                <w:sz w:val="22"/>
                <w:szCs w:val="22"/>
              </w:rPr>
              <w:t xml:space="preserve">Policy DMG1 – General Considerations </w:t>
            </w:r>
          </w:p>
          <w:p w:rsidR="002174E2" w:rsidRDefault="002174E2" w:rsidP="002174E2">
            <w:pPr>
              <w:pStyle w:val="Default"/>
              <w:spacing w:after="30"/>
              <w:rPr>
                <w:sz w:val="22"/>
                <w:szCs w:val="22"/>
              </w:rPr>
            </w:pPr>
            <w:r w:rsidRPr="00951001">
              <w:rPr>
                <w:sz w:val="22"/>
                <w:szCs w:val="22"/>
              </w:rPr>
              <w:t xml:space="preserve">Policy DMG2 – Strategic Considerations </w:t>
            </w:r>
          </w:p>
          <w:p w:rsidR="002174E2" w:rsidRDefault="002174E2" w:rsidP="002174E2">
            <w:pPr>
              <w:pStyle w:val="Default"/>
              <w:spacing w:after="30"/>
              <w:rPr>
                <w:sz w:val="22"/>
                <w:szCs w:val="22"/>
              </w:rPr>
            </w:pPr>
            <w:r>
              <w:rPr>
                <w:sz w:val="22"/>
                <w:szCs w:val="22"/>
              </w:rPr>
              <w:lastRenderedPageBreak/>
              <w:t>DMG3 – Transport and Mobility</w:t>
            </w:r>
          </w:p>
          <w:p w:rsidR="002174E2" w:rsidRDefault="002174E2" w:rsidP="002174E2">
            <w:pPr>
              <w:pStyle w:val="Default"/>
              <w:spacing w:after="30"/>
              <w:rPr>
                <w:sz w:val="22"/>
                <w:szCs w:val="22"/>
              </w:rPr>
            </w:pPr>
            <w:r>
              <w:rPr>
                <w:sz w:val="22"/>
                <w:szCs w:val="22"/>
              </w:rPr>
              <w:t>Policy DME2 – Landscape and Townscape Protection</w:t>
            </w:r>
          </w:p>
          <w:p w:rsidR="002174E2" w:rsidRPr="00951001" w:rsidRDefault="002174E2" w:rsidP="002174E2">
            <w:pPr>
              <w:pStyle w:val="Default"/>
              <w:spacing w:after="30"/>
              <w:rPr>
                <w:sz w:val="22"/>
                <w:szCs w:val="22"/>
              </w:rPr>
            </w:pPr>
            <w:r>
              <w:rPr>
                <w:sz w:val="22"/>
                <w:szCs w:val="22"/>
              </w:rPr>
              <w:t>Policy DME3 – Site and Species Protection and Conservation</w:t>
            </w:r>
          </w:p>
          <w:p w:rsidR="002174E2" w:rsidRPr="00951001" w:rsidRDefault="002174E2" w:rsidP="002174E2">
            <w:pPr>
              <w:pStyle w:val="Default"/>
              <w:spacing w:after="30"/>
              <w:rPr>
                <w:sz w:val="22"/>
                <w:szCs w:val="22"/>
              </w:rPr>
            </w:pPr>
            <w:r w:rsidRPr="00951001">
              <w:rPr>
                <w:sz w:val="22"/>
                <w:szCs w:val="22"/>
              </w:rPr>
              <w:t>Policy DMH5 – Residential and Curtilage Extensions</w:t>
            </w:r>
          </w:p>
          <w:p w:rsidR="002174E2" w:rsidRPr="00951001" w:rsidRDefault="002174E2" w:rsidP="002174E2">
            <w:pPr>
              <w:pStyle w:val="Default"/>
              <w:rPr>
                <w:sz w:val="22"/>
                <w:szCs w:val="22"/>
              </w:rPr>
            </w:pPr>
          </w:p>
          <w:p w:rsidR="002174E2" w:rsidRDefault="002174E2" w:rsidP="002174E2">
            <w:pPr>
              <w:jc w:val="both"/>
              <w:rPr>
                <w:rFonts w:asciiTheme="minorHAnsi" w:hAnsiTheme="minorHAnsi" w:cstheme="minorHAnsi"/>
                <w:szCs w:val="22"/>
              </w:rPr>
            </w:pPr>
            <w:r w:rsidRPr="002174E2">
              <w:rPr>
                <w:rFonts w:asciiTheme="minorHAnsi" w:hAnsiTheme="minorHAnsi" w:cstheme="minorHAnsi"/>
                <w:szCs w:val="22"/>
              </w:rPr>
              <w:t>National Planning Policy Framework (NPPF)</w:t>
            </w:r>
          </w:p>
          <w:p w:rsidR="00F1503A" w:rsidRPr="002174E2" w:rsidRDefault="00F1503A" w:rsidP="002174E2">
            <w:pPr>
              <w:jc w:val="both"/>
              <w:rPr>
                <w:rFonts w:asciiTheme="minorHAnsi" w:hAnsiTheme="minorHAnsi" w:cstheme="minorHAnsi"/>
                <w:szCs w:val="22"/>
              </w:rPr>
            </w:pPr>
          </w:p>
        </w:tc>
      </w:tr>
      <w:tr w:rsidR="008C75E4" w:rsidRPr="008C75E4" w:rsidTr="002174E2">
        <w:trPr>
          <w:trHeight w:val="864"/>
          <w:jc w:val="center"/>
        </w:trPr>
        <w:tc>
          <w:tcPr>
            <w:tcW w:w="9823" w:type="dxa"/>
            <w:gridSpan w:val="14"/>
            <w:tcBorders>
              <w:bottom w:val="single" w:sz="4" w:space="0" w:color="BFBFBF" w:themeColor="background1" w:themeShade="BF"/>
            </w:tcBorders>
            <w:tcMar>
              <w:top w:w="57" w:type="dxa"/>
              <w:bottom w:w="57" w:type="dxa"/>
            </w:tcMar>
          </w:tcPr>
          <w:p w:rsidR="00C0704D" w:rsidRPr="008C75E4" w:rsidRDefault="00C0704D" w:rsidP="006126D1">
            <w:pPr>
              <w:pStyle w:val="PLANNING"/>
              <w:rPr>
                <w:rFonts w:ascii="Calibri" w:hAnsi="Calibri"/>
                <w:b/>
                <w:bCs/>
                <w:szCs w:val="22"/>
              </w:rPr>
            </w:pPr>
            <w:r w:rsidRPr="008C75E4">
              <w:rPr>
                <w:rFonts w:ascii="Calibri" w:hAnsi="Calibri"/>
                <w:b/>
                <w:bCs/>
                <w:szCs w:val="22"/>
              </w:rPr>
              <w:lastRenderedPageBreak/>
              <w:t>Relevant Planning History:</w:t>
            </w:r>
          </w:p>
          <w:p w:rsidR="00101855" w:rsidRDefault="00101855" w:rsidP="00454754">
            <w:pPr>
              <w:pStyle w:val="PLANNING"/>
              <w:rPr>
                <w:rFonts w:ascii="Calibri" w:hAnsi="Calibri"/>
                <w:bCs/>
                <w:szCs w:val="22"/>
              </w:rPr>
            </w:pPr>
          </w:p>
          <w:p w:rsidR="002174E2" w:rsidRDefault="002174E2" w:rsidP="002174E2">
            <w:pPr>
              <w:pStyle w:val="PLANNING"/>
              <w:rPr>
                <w:rFonts w:ascii="Calibri" w:hAnsi="Calibri"/>
                <w:b/>
                <w:bCs/>
                <w:szCs w:val="22"/>
              </w:rPr>
            </w:pPr>
            <w:r>
              <w:rPr>
                <w:rFonts w:ascii="Calibri" w:hAnsi="Calibri"/>
                <w:b/>
                <w:bCs/>
                <w:szCs w:val="22"/>
              </w:rPr>
              <w:t>3</w:t>
            </w:r>
            <w:r w:rsidRPr="00D81840">
              <w:rPr>
                <w:rFonts w:ascii="Calibri" w:hAnsi="Calibri"/>
                <w:b/>
                <w:bCs/>
                <w:szCs w:val="22"/>
              </w:rPr>
              <w:t>/2010/0790:</w:t>
            </w:r>
          </w:p>
          <w:p w:rsidR="002174E2" w:rsidRDefault="002174E2" w:rsidP="002174E2">
            <w:pPr>
              <w:pStyle w:val="PLANNING"/>
              <w:rPr>
                <w:rFonts w:ascii="Calibri" w:hAnsi="Calibri"/>
                <w:bCs/>
                <w:szCs w:val="22"/>
              </w:rPr>
            </w:pPr>
            <w:r w:rsidRPr="00D81840">
              <w:rPr>
                <w:rFonts w:ascii="Calibri" w:hAnsi="Calibri"/>
                <w:bCs/>
                <w:szCs w:val="22"/>
              </w:rPr>
              <w:t>Application to modify condition no.16 of planning permission 3/2006/0001P, to allow use of one of the holiday cottages (High Laithe) to be used for permanent residential accommodation</w:t>
            </w:r>
            <w:r>
              <w:rPr>
                <w:rFonts w:ascii="Calibri" w:hAnsi="Calibri"/>
                <w:bCs/>
                <w:szCs w:val="22"/>
              </w:rPr>
              <w:t>.</w:t>
            </w:r>
          </w:p>
          <w:p w:rsidR="002174E2" w:rsidRDefault="002174E2" w:rsidP="002174E2">
            <w:pPr>
              <w:pStyle w:val="PLANNING"/>
              <w:rPr>
                <w:rFonts w:ascii="Calibri" w:hAnsi="Calibri"/>
                <w:bCs/>
                <w:szCs w:val="22"/>
              </w:rPr>
            </w:pPr>
          </w:p>
          <w:p w:rsidR="002174E2" w:rsidRDefault="002174E2" w:rsidP="002174E2">
            <w:pPr>
              <w:pStyle w:val="PLANNING"/>
              <w:rPr>
                <w:rFonts w:ascii="Calibri" w:hAnsi="Calibri"/>
                <w:b/>
                <w:bCs/>
                <w:szCs w:val="22"/>
              </w:rPr>
            </w:pPr>
            <w:r w:rsidRPr="00A517A8">
              <w:rPr>
                <w:rFonts w:ascii="Calibri" w:hAnsi="Calibri"/>
                <w:b/>
                <w:bCs/>
                <w:szCs w:val="22"/>
              </w:rPr>
              <w:t>3/2011/0439:</w:t>
            </w:r>
          </w:p>
          <w:p w:rsidR="002174E2" w:rsidRPr="001946E0" w:rsidRDefault="002174E2" w:rsidP="002174E2">
            <w:pPr>
              <w:pStyle w:val="PLANNING"/>
              <w:rPr>
                <w:rFonts w:ascii="Calibri" w:hAnsi="Calibri"/>
                <w:bCs/>
                <w:szCs w:val="22"/>
              </w:rPr>
            </w:pPr>
            <w:r w:rsidRPr="00A517A8">
              <w:rPr>
                <w:rFonts w:ascii="Calibri" w:hAnsi="Calibri"/>
                <w:bCs/>
                <w:szCs w:val="22"/>
              </w:rPr>
              <w:t>Application to remove condition no.16 (occupancy period) of planning consent 3/2006/0001P, to allow the two holiday cottages at High Laithe to be used as permanent residential accommodation</w:t>
            </w:r>
            <w:r w:rsidRPr="00A517A8">
              <w:rPr>
                <w:rFonts w:ascii="Calibri" w:hAnsi="Calibri"/>
                <w:b/>
                <w:bCs/>
                <w:szCs w:val="22"/>
              </w:rPr>
              <w:t>.</w:t>
            </w:r>
          </w:p>
        </w:tc>
      </w:tr>
      <w:tr w:rsidR="008C75E4" w:rsidRPr="008C75E4" w:rsidTr="002174E2">
        <w:trPr>
          <w:trHeight w:hRule="exact" w:val="144"/>
          <w:jc w:val="center"/>
        </w:trPr>
        <w:tc>
          <w:tcPr>
            <w:tcW w:w="9823" w:type="dxa"/>
            <w:gridSpan w:val="14"/>
            <w:tcBorders>
              <w:left w:val="nil"/>
              <w:right w:val="nil"/>
            </w:tcBorders>
            <w:tcMar>
              <w:top w:w="57" w:type="dxa"/>
              <w:bottom w:w="57" w:type="dxa"/>
            </w:tcMar>
          </w:tcPr>
          <w:p w:rsidR="003F16AA" w:rsidRPr="00504440" w:rsidRDefault="003F16AA" w:rsidP="00504440">
            <w:pPr>
              <w:rPr>
                <w:sz w:val="4"/>
                <w:szCs w:val="4"/>
              </w:rPr>
            </w:pPr>
          </w:p>
        </w:tc>
      </w:tr>
      <w:tr w:rsidR="008C75E4" w:rsidRPr="008C75E4" w:rsidTr="002174E2">
        <w:trPr>
          <w:jc w:val="center"/>
        </w:trPr>
        <w:tc>
          <w:tcPr>
            <w:tcW w:w="9823" w:type="dxa"/>
            <w:gridSpan w:val="14"/>
            <w:tcMar>
              <w:top w:w="57" w:type="dxa"/>
              <w:bottom w:w="57" w:type="dxa"/>
            </w:tcMar>
          </w:tcPr>
          <w:p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rsidTr="002174E2">
        <w:trPr>
          <w:trHeight w:val="1152"/>
          <w:jc w:val="center"/>
        </w:trPr>
        <w:tc>
          <w:tcPr>
            <w:tcW w:w="9823" w:type="dxa"/>
            <w:gridSpan w:val="14"/>
            <w:tcMar>
              <w:top w:w="57" w:type="dxa"/>
              <w:bottom w:w="57" w:type="dxa"/>
            </w:tcMar>
          </w:tcPr>
          <w:p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p>
          <w:p w:rsidR="006E70D4" w:rsidRDefault="006E70D4" w:rsidP="006E70D4">
            <w:pPr>
              <w:pStyle w:val="Header"/>
              <w:tabs>
                <w:tab w:val="clear" w:pos="4153"/>
                <w:tab w:val="clear" w:pos="8306"/>
              </w:tabs>
              <w:contextualSpacing/>
              <w:jc w:val="both"/>
              <w:rPr>
                <w:rFonts w:ascii="Calibri" w:hAnsi="Calibri"/>
                <w:b/>
                <w:szCs w:val="22"/>
              </w:rPr>
            </w:pPr>
          </w:p>
          <w:p w:rsidR="002174E2" w:rsidRDefault="002174E2" w:rsidP="002174E2">
            <w:pPr>
              <w:jc w:val="both"/>
              <w:rPr>
                <w:rFonts w:asciiTheme="minorHAnsi" w:hAnsiTheme="minorHAnsi" w:cstheme="minorHAnsi"/>
                <w:szCs w:val="22"/>
              </w:rPr>
            </w:pPr>
            <w:r>
              <w:rPr>
                <w:rFonts w:asciiTheme="minorHAnsi" w:hAnsiTheme="minorHAnsi" w:cstheme="minorHAnsi"/>
                <w:szCs w:val="22"/>
              </w:rPr>
              <w:t xml:space="preserve">The proposal site relates to two adjoined cottage properties located on Wigglesworth Road just outside the village centre of Tosside in the North-east of the Ribble Valley Borough. High Laithe comprises the Northern edge of the proposal site and is bordered to the South by The Owls. </w:t>
            </w:r>
          </w:p>
          <w:p w:rsidR="002174E2" w:rsidRDefault="002174E2" w:rsidP="002174E2">
            <w:pPr>
              <w:jc w:val="both"/>
              <w:rPr>
                <w:rFonts w:asciiTheme="minorHAnsi" w:hAnsiTheme="minorHAnsi" w:cstheme="minorHAnsi"/>
                <w:szCs w:val="22"/>
              </w:rPr>
            </w:pPr>
          </w:p>
          <w:p w:rsidR="002174E2" w:rsidRDefault="002174E2" w:rsidP="002174E2">
            <w:pPr>
              <w:jc w:val="both"/>
              <w:rPr>
                <w:rFonts w:asciiTheme="minorHAnsi" w:hAnsiTheme="minorHAnsi" w:cstheme="minorHAnsi"/>
                <w:szCs w:val="22"/>
              </w:rPr>
            </w:pPr>
            <w:r>
              <w:rPr>
                <w:rFonts w:asciiTheme="minorHAnsi" w:hAnsiTheme="minorHAnsi" w:cstheme="minorHAnsi"/>
                <w:szCs w:val="22"/>
              </w:rPr>
              <w:t>The origins of the proposal site date back to 2006 when an application to convert High Laithe Barn into two holiday cottages was approved by the Council. Both properties are now in permanent use as residential dwellings. The surrounding area is characterised by open countryside, rolling hills and woodland.</w:t>
            </w:r>
          </w:p>
          <w:p w:rsidR="00073E28" w:rsidRPr="002174E2" w:rsidRDefault="00073E28" w:rsidP="002174E2">
            <w:pPr>
              <w:jc w:val="both"/>
              <w:rPr>
                <w:rFonts w:asciiTheme="minorHAnsi" w:hAnsiTheme="minorHAnsi" w:cstheme="minorHAnsi"/>
                <w:szCs w:val="22"/>
              </w:rPr>
            </w:pPr>
          </w:p>
        </w:tc>
      </w:tr>
      <w:tr w:rsidR="008C75E4" w:rsidRPr="008C75E4" w:rsidTr="002174E2">
        <w:trPr>
          <w:trHeight w:val="1152"/>
          <w:jc w:val="center"/>
        </w:trPr>
        <w:tc>
          <w:tcPr>
            <w:tcW w:w="9823" w:type="dxa"/>
            <w:gridSpan w:val="14"/>
            <w:tcMar>
              <w:top w:w="57" w:type="dxa"/>
              <w:bottom w:w="57" w:type="dxa"/>
            </w:tcMar>
          </w:tcPr>
          <w:p w:rsidR="006E70D4" w:rsidRPr="006E70D4" w:rsidRDefault="00C0704D" w:rsidP="006E70D4">
            <w:pPr>
              <w:pStyle w:val="Header"/>
              <w:tabs>
                <w:tab w:val="clear" w:pos="4153"/>
                <w:tab w:val="clear" w:pos="8306"/>
              </w:tabs>
              <w:jc w:val="both"/>
              <w:rPr>
                <w:rFonts w:ascii="Calibri" w:hAnsi="Calibri"/>
                <w:b/>
                <w:szCs w:val="22"/>
              </w:rPr>
            </w:pPr>
            <w:r w:rsidRPr="008C75E4">
              <w:rPr>
                <w:rFonts w:ascii="Calibri" w:hAnsi="Calibri"/>
                <w:b/>
                <w:szCs w:val="22"/>
              </w:rPr>
              <w:t>Proposed Development for which consent is sought:</w:t>
            </w:r>
          </w:p>
          <w:p w:rsidR="00454754" w:rsidRDefault="00454754" w:rsidP="003C0EEC">
            <w:pPr>
              <w:pStyle w:val="Header"/>
              <w:jc w:val="both"/>
              <w:rPr>
                <w:rFonts w:ascii="Calibri" w:hAnsi="Calibri"/>
                <w:szCs w:val="22"/>
              </w:rPr>
            </w:pPr>
          </w:p>
          <w:p w:rsidR="00F1503A" w:rsidRDefault="002174E2" w:rsidP="002174E2">
            <w:pPr>
              <w:pStyle w:val="Header"/>
              <w:jc w:val="both"/>
              <w:rPr>
                <w:rFonts w:ascii="Calibri" w:hAnsi="Calibri"/>
                <w:szCs w:val="22"/>
              </w:rPr>
            </w:pPr>
            <w:r>
              <w:rPr>
                <w:rFonts w:ascii="Calibri" w:hAnsi="Calibri"/>
                <w:szCs w:val="22"/>
              </w:rPr>
              <w:t>Planning permission</w:t>
            </w:r>
            <w:r w:rsidRPr="00347ABB">
              <w:rPr>
                <w:rFonts w:ascii="Calibri" w:hAnsi="Calibri"/>
                <w:szCs w:val="22"/>
              </w:rPr>
              <w:t xml:space="preserve"> is sought for</w:t>
            </w:r>
            <w:r>
              <w:rPr>
                <w:rFonts w:ascii="Calibri" w:hAnsi="Calibri"/>
                <w:szCs w:val="22"/>
              </w:rPr>
              <w:t xml:space="preserve"> the construction of a new vehicle entrance to allow parking for two cars. </w:t>
            </w:r>
          </w:p>
          <w:p w:rsidR="00F1503A" w:rsidRDefault="00F1503A" w:rsidP="002174E2">
            <w:pPr>
              <w:pStyle w:val="Header"/>
              <w:jc w:val="both"/>
              <w:rPr>
                <w:rFonts w:ascii="Calibri" w:hAnsi="Calibri"/>
                <w:szCs w:val="22"/>
              </w:rPr>
            </w:pPr>
          </w:p>
          <w:p w:rsidR="002174E2" w:rsidRPr="00D4478E" w:rsidRDefault="002174E2" w:rsidP="002174E2">
            <w:pPr>
              <w:pStyle w:val="Header"/>
              <w:jc w:val="both"/>
              <w:rPr>
                <w:rFonts w:ascii="Calibri" w:hAnsi="Calibri"/>
                <w:szCs w:val="22"/>
              </w:rPr>
            </w:pPr>
            <w:r w:rsidRPr="00D4478E">
              <w:rPr>
                <w:rFonts w:ascii="Calibri" w:hAnsi="Calibri"/>
                <w:szCs w:val="22"/>
              </w:rPr>
              <w:t>Plans for the proposal indicate the following modifications to the existing layout:</w:t>
            </w:r>
          </w:p>
          <w:p w:rsidR="002174E2" w:rsidRDefault="002174E2" w:rsidP="002174E2">
            <w:pPr>
              <w:pStyle w:val="Header"/>
              <w:tabs>
                <w:tab w:val="clear" w:pos="4153"/>
                <w:tab w:val="clear" w:pos="8306"/>
              </w:tabs>
              <w:jc w:val="both"/>
              <w:rPr>
                <w:rFonts w:asciiTheme="minorHAnsi" w:hAnsiTheme="minorHAnsi"/>
                <w:color w:val="000000"/>
                <w:szCs w:val="22"/>
              </w:rPr>
            </w:pPr>
          </w:p>
          <w:p w:rsidR="002174E2" w:rsidRDefault="002174E2" w:rsidP="002174E2">
            <w:pPr>
              <w:pStyle w:val="Header"/>
              <w:numPr>
                <w:ilvl w:val="0"/>
                <w:numId w:val="11"/>
              </w:numPr>
              <w:tabs>
                <w:tab w:val="clear" w:pos="4153"/>
                <w:tab w:val="clear" w:pos="8306"/>
              </w:tabs>
              <w:jc w:val="both"/>
              <w:rPr>
                <w:rFonts w:asciiTheme="minorHAnsi" w:eastAsiaTheme="minorHAnsi" w:hAnsiTheme="minorHAnsi" w:cstheme="minorHAnsi"/>
                <w:color w:val="000000"/>
                <w:szCs w:val="22"/>
              </w:rPr>
            </w:pPr>
            <w:r>
              <w:rPr>
                <w:rFonts w:asciiTheme="minorHAnsi" w:eastAsiaTheme="minorHAnsi" w:hAnsiTheme="minorHAnsi" w:cstheme="minorHAnsi"/>
                <w:color w:val="000000"/>
                <w:szCs w:val="22"/>
              </w:rPr>
              <w:t>Reconstruction of current boundary wall between the The Owls and Wigglesworth Road</w:t>
            </w:r>
          </w:p>
          <w:p w:rsidR="002174E2" w:rsidRDefault="002174E2" w:rsidP="002174E2">
            <w:pPr>
              <w:pStyle w:val="Header"/>
              <w:tabs>
                <w:tab w:val="clear" w:pos="4153"/>
                <w:tab w:val="clear" w:pos="8306"/>
              </w:tabs>
              <w:ind w:left="720"/>
              <w:jc w:val="both"/>
              <w:rPr>
                <w:rFonts w:asciiTheme="minorHAnsi" w:eastAsiaTheme="minorHAnsi" w:hAnsiTheme="minorHAnsi" w:cstheme="minorHAnsi"/>
                <w:color w:val="000000"/>
                <w:szCs w:val="22"/>
              </w:rPr>
            </w:pPr>
          </w:p>
          <w:p w:rsidR="002174E2" w:rsidRDefault="002174E2" w:rsidP="002174E2">
            <w:pPr>
              <w:pStyle w:val="Header"/>
              <w:numPr>
                <w:ilvl w:val="0"/>
                <w:numId w:val="11"/>
              </w:numPr>
              <w:tabs>
                <w:tab w:val="clear" w:pos="4153"/>
                <w:tab w:val="clear" w:pos="8306"/>
              </w:tabs>
              <w:jc w:val="both"/>
              <w:rPr>
                <w:rFonts w:asciiTheme="minorHAnsi" w:eastAsiaTheme="minorHAnsi" w:hAnsiTheme="minorHAnsi" w:cstheme="minorHAnsi"/>
                <w:color w:val="000000"/>
                <w:szCs w:val="22"/>
              </w:rPr>
            </w:pPr>
            <w:r>
              <w:rPr>
                <w:rFonts w:asciiTheme="minorHAnsi" w:eastAsiaTheme="minorHAnsi" w:hAnsiTheme="minorHAnsi" w:cstheme="minorHAnsi"/>
                <w:color w:val="000000"/>
                <w:szCs w:val="22"/>
              </w:rPr>
              <w:t>Removal of existing property boundary wall and installation of new gate for vehicle access</w:t>
            </w:r>
          </w:p>
          <w:p w:rsidR="002174E2" w:rsidRDefault="002174E2" w:rsidP="002174E2">
            <w:pPr>
              <w:pStyle w:val="Header"/>
              <w:tabs>
                <w:tab w:val="clear" w:pos="4153"/>
                <w:tab w:val="clear" w:pos="8306"/>
              </w:tabs>
              <w:jc w:val="both"/>
              <w:rPr>
                <w:rFonts w:asciiTheme="minorHAnsi" w:eastAsiaTheme="minorHAnsi" w:hAnsiTheme="minorHAnsi" w:cstheme="minorHAnsi"/>
                <w:color w:val="000000"/>
                <w:szCs w:val="22"/>
              </w:rPr>
            </w:pPr>
          </w:p>
          <w:p w:rsidR="002174E2" w:rsidRDefault="002174E2" w:rsidP="002174E2">
            <w:pPr>
              <w:pStyle w:val="Header"/>
              <w:numPr>
                <w:ilvl w:val="0"/>
                <w:numId w:val="11"/>
              </w:numPr>
              <w:tabs>
                <w:tab w:val="clear" w:pos="4153"/>
                <w:tab w:val="clear" w:pos="8306"/>
              </w:tabs>
              <w:jc w:val="both"/>
              <w:rPr>
                <w:rFonts w:asciiTheme="minorHAnsi" w:eastAsiaTheme="minorHAnsi" w:hAnsiTheme="minorHAnsi" w:cstheme="minorHAnsi"/>
                <w:color w:val="000000"/>
                <w:szCs w:val="22"/>
              </w:rPr>
            </w:pPr>
            <w:r>
              <w:rPr>
                <w:rFonts w:asciiTheme="minorHAnsi" w:eastAsiaTheme="minorHAnsi" w:hAnsiTheme="minorHAnsi" w:cstheme="minorHAnsi"/>
                <w:color w:val="000000"/>
                <w:szCs w:val="22"/>
              </w:rPr>
              <w:t>Construction of a new vehicle access path across the front of The Owls leading to parking / turning area</w:t>
            </w:r>
          </w:p>
          <w:p w:rsidR="002174E2" w:rsidRDefault="002174E2" w:rsidP="002174E2">
            <w:pPr>
              <w:pStyle w:val="Header"/>
              <w:tabs>
                <w:tab w:val="clear" w:pos="4153"/>
                <w:tab w:val="clear" w:pos="8306"/>
              </w:tabs>
              <w:jc w:val="both"/>
              <w:rPr>
                <w:rFonts w:asciiTheme="minorHAnsi" w:eastAsiaTheme="minorHAnsi" w:hAnsiTheme="minorHAnsi" w:cstheme="minorHAnsi"/>
                <w:color w:val="000000"/>
                <w:szCs w:val="22"/>
              </w:rPr>
            </w:pPr>
          </w:p>
          <w:p w:rsidR="002174E2" w:rsidRPr="00073E28" w:rsidRDefault="002174E2" w:rsidP="002174E2">
            <w:pPr>
              <w:pStyle w:val="Header"/>
              <w:numPr>
                <w:ilvl w:val="0"/>
                <w:numId w:val="11"/>
              </w:numPr>
              <w:jc w:val="both"/>
              <w:rPr>
                <w:rFonts w:ascii="Calibri" w:hAnsi="Calibri"/>
                <w:szCs w:val="22"/>
              </w:rPr>
            </w:pPr>
            <w:r>
              <w:rPr>
                <w:rFonts w:asciiTheme="minorHAnsi" w:eastAsiaTheme="minorHAnsi" w:hAnsiTheme="minorHAnsi" w:cstheme="minorHAnsi"/>
                <w:color w:val="000000"/>
                <w:szCs w:val="22"/>
              </w:rPr>
              <w:t>Reconstruction of hard standing area to garden area to the rear of High Laithe</w:t>
            </w:r>
          </w:p>
          <w:p w:rsidR="00073E28" w:rsidRPr="00F012FA" w:rsidRDefault="00073E28" w:rsidP="00073E28">
            <w:pPr>
              <w:pStyle w:val="Header"/>
              <w:jc w:val="both"/>
              <w:rPr>
                <w:rFonts w:ascii="Calibri" w:hAnsi="Calibri"/>
                <w:szCs w:val="22"/>
              </w:rPr>
            </w:pPr>
          </w:p>
        </w:tc>
      </w:tr>
      <w:tr w:rsidR="00C214A6" w:rsidRPr="008C75E4" w:rsidTr="002174E2">
        <w:trPr>
          <w:trHeight w:val="864"/>
          <w:jc w:val="center"/>
        </w:trPr>
        <w:tc>
          <w:tcPr>
            <w:tcW w:w="9823" w:type="dxa"/>
            <w:gridSpan w:val="14"/>
            <w:tcMar>
              <w:top w:w="57" w:type="dxa"/>
              <w:bottom w:w="57" w:type="dxa"/>
            </w:tcMar>
          </w:tcPr>
          <w:p w:rsidR="00D102D9" w:rsidRDefault="00687203" w:rsidP="00687203">
            <w:pPr>
              <w:pStyle w:val="Header"/>
              <w:jc w:val="both"/>
              <w:rPr>
                <w:rFonts w:ascii="Calibri" w:hAnsi="Calibri"/>
                <w:b/>
                <w:szCs w:val="22"/>
              </w:rPr>
            </w:pPr>
            <w:r w:rsidRPr="00687203">
              <w:rPr>
                <w:rFonts w:ascii="Calibri" w:hAnsi="Calibri"/>
                <w:b/>
                <w:szCs w:val="22"/>
              </w:rPr>
              <w:t>Impact upon residential amenity</w:t>
            </w:r>
            <w:r>
              <w:rPr>
                <w:rFonts w:ascii="Calibri" w:hAnsi="Calibri"/>
                <w:b/>
                <w:szCs w:val="22"/>
              </w:rPr>
              <w:t>:</w:t>
            </w:r>
          </w:p>
          <w:p w:rsidR="002174E2" w:rsidRDefault="002174E2" w:rsidP="00687203">
            <w:pPr>
              <w:pStyle w:val="Header"/>
              <w:jc w:val="both"/>
              <w:rPr>
                <w:rFonts w:ascii="Calibri" w:hAnsi="Calibri"/>
                <w:b/>
                <w:szCs w:val="22"/>
              </w:rPr>
            </w:pPr>
          </w:p>
          <w:p w:rsidR="002174E2" w:rsidRPr="002174E2" w:rsidRDefault="002174E2" w:rsidP="002174E2">
            <w:pPr>
              <w:pStyle w:val="Header"/>
              <w:rPr>
                <w:rFonts w:ascii="Calibri" w:hAnsi="Calibri"/>
                <w:szCs w:val="22"/>
              </w:rPr>
            </w:pPr>
            <w:r w:rsidRPr="002174E2">
              <w:rPr>
                <w:rFonts w:ascii="Calibri" w:hAnsi="Calibri"/>
                <w:szCs w:val="22"/>
              </w:rPr>
              <w:t xml:space="preserve">The current vehicle access and parking arrangement at the proposal site poses several issues with regards to residential amenity which primarily relate to issues of disturbance and enclosure. </w:t>
            </w:r>
          </w:p>
          <w:p w:rsidR="002174E2" w:rsidRPr="002174E2" w:rsidRDefault="002174E2" w:rsidP="002174E2">
            <w:pPr>
              <w:pStyle w:val="Header"/>
              <w:rPr>
                <w:rFonts w:ascii="Calibri" w:hAnsi="Calibri"/>
                <w:szCs w:val="22"/>
              </w:rPr>
            </w:pPr>
          </w:p>
          <w:p w:rsidR="002174E2" w:rsidRPr="002174E2" w:rsidRDefault="002174E2" w:rsidP="002174E2">
            <w:pPr>
              <w:pStyle w:val="Header"/>
              <w:rPr>
                <w:rFonts w:ascii="Calibri" w:hAnsi="Calibri"/>
                <w:szCs w:val="22"/>
              </w:rPr>
            </w:pPr>
            <w:r w:rsidRPr="002174E2">
              <w:rPr>
                <w:rFonts w:ascii="Calibri" w:hAnsi="Calibri"/>
                <w:szCs w:val="22"/>
              </w:rPr>
              <w:t>These can be summarised as the following:</w:t>
            </w:r>
          </w:p>
          <w:p w:rsidR="002174E2" w:rsidRPr="002174E2" w:rsidRDefault="002174E2" w:rsidP="002174E2">
            <w:pPr>
              <w:pStyle w:val="Header"/>
              <w:rPr>
                <w:rFonts w:ascii="Calibri" w:hAnsi="Calibri"/>
                <w:szCs w:val="22"/>
              </w:rPr>
            </w:pPr>
          </w:p>
          <w:p w:rsidR="002174E2" w:rsidRPr="002174E2" w:rsidRDefault="002174E2" w:rsidP="002174E2">
            <w:pPr>
              <w:pStyle w:val="Header"/>
              <w:numPr>
                <w:ilvl w:val="0"/>
                <w:numId w:val="12"/>
              </w:numPr>
              <w:rPr>
                <w:rFonts w:ascii="Calibri" w:hAnsi="Calibri"/>
                <w:szCs w:val="22"/>
              </w:rPr>
            </w:pPr>
            <w:r w:rsidRPr="002174E2">
              <w:rPr>
                <w:rFonts w:ascii="Calibri" w:hAnsi="Calibri"/>
                <w:szCs w:val="22"/>
              </w:rPr>
              <w:t>No access between vehicles and the front door of High Laithe</w:t>
            </w:r>
          </w:p>
          <w:p w:rsidR="002174E2" w:rsidRPr="002174E2" w:rsidRDefault="002174E2" w:rsidP="002174E2">
            <w:pPr>
              <w:pStyle w:val="Header"/>
              <w:rPr>
                <w:rFonts w:ascii="Calibri" w:hAnsi="Calibri"/>
                <w:szCs w:val="22"/>
              </w:rPr>
            </w:pPr>
          </w:p>
          <w:p w:rsidR="002174E2" w:rsidRPr="002174E2" w:rsidRDefault="002174E2" w:rsidP="002174E2">
            <w:pPr>
              <w:pStyle w:val="Header"/>
              <w:numPr>
                <w:ilvl w:val="0"/>
                <w:numId w:val="12"/>
              </w:numPr>
              <w:rPr>
                <w:rFonts w:ascii="Calibri" w:hAnsi="Calibri"/>
                <w:szCs w:val="22"/>
              </w:rPr>
            </w:pPr>
            <w:r w:rsidRPr="002174E2">
              <w:rPr>
                <w:rFonts w:ascii="Calibri" w:hAnsi="Calibri"/>
                <w:szCs w:val="22"/>
              </w:rPr>
              <w:lastRenderedPageBreak/>
              <w:t>No option to incorporate a recreational area to the rear of High Laithe</w:t>
            </w:r>
          </w:p>
          <w:p w:rsidR="002174E2" w:rsidRPr="002174E2" w:rsidRDefault="002174E2" w:rsidP="002174E2">
            <w:pPr>
              <w:pStyle w:val="Header"/>
              <w:rPr>
                <w:rFonts w:ascii="Calibri" w:hAnsi="Calibri"/>
                <w:szCs w:val="22"/>
              </w:rPr>
            </w:pPr>
          </w:p>
          <w:p w:rsidR="002174E2" w:rsidRPr="002174E2" w:rsidRDefault="002174E2" w:rsidP="002174E2">
            <w:pPr>
              <w:pStyle w:val="Header"/>
              <w:numPr>
                <w:ilvl w:val="0"/>
                <w:numId w:val="12"/>
              </w:numPr>
              <w:rPr>
                <w:rFonts w:ascii="Calibri" w:hAnsi="Calibri"/>
                <w:szCs w:val="22"/>
              </w:rPr>
            </w:pPr>
            <w:r w:rsidRPr="002174E2">
              <w:rPr>
                <w:rFonts w:ascii="Calibri" w:hAnsi="Calibri"/>
                <w:szCs w:val="22"/>
              </w:rPr>
              <w:t>Stopping to open and close two separate sets of gates in order to enter and exit the current parking area at High Laithe</w:t>
            </w:r>
          </w:p>
          <w:p w:rsidR="002174E2" w:rsidRPr="002174E2" w:rsidRDefault="002174E2" w:rsidP="002174E2">
            <w:pPr>
              <w:pStyle w:val="Header"/>
              <w:rPr>
                <w:rFonts w:ascii="Calibri" w:hAnsi="Calibri"/>
                <w:szCs w:val="22"/>
              </w:rPr>
            </w:pPr>
          </w:p>
          <w:p w:rsidR="002174E2" w:rsidRPr="002174E2" w:rsidRDefault="002174E2" w:rsidP="002174E2">
            <w:pPr>
              <w:pStyle w:val="Header"/>
              <w:numPr>
                <w:ilvl w:val="0"/>
                <w:numId w:val="12"/>
              </w:numPr>
              <w:rPr>
                <w:rFonts w:ascii="Calibri" w:hAnsi="Calibri"/>
                <w:szCs w:val="22"/>
              </w:rPr>
            </w:pPr>
            <w:r w:rsidRPr="002174E2">
              <w:rPr>
                <w:rFonts w:ascii="Calibri" w:hAnsi="Calibri"/>
                <w:szCs w:val="22"/>
              </w:rPr>
              <w:t>Ensuring that unrestrained animals do not escape from the main curtilage on to the main road in the process of opening and closing the aforementioned gates</w:t>
            </w:r>
          </w:p>
          <w:p w:rsidR="002174E2" w:rsidRPr="002174E2" w:rsidRDefault="002174E2" w:rsidP="002174E2">
            <w:pPr>
              <w:pStyle w:val="Header"/>
              <w:jc w:val="both"/>
              <w:rPr>
                <w:rFonts w:ascii="Calibri" w:hAnsi="Calibri"/>
                <w:szCs w:val="22"/>
              </w:rPr>
            </w:pPr>
          </w:p>
          <w:p w:rsidR="002174E2" w:rsidRPr="002174E2" w:rsidRDefault="002174E2" w:rsidP="002174E2">
            <w:pPr>
              <w:pStyle w:val="Header"/>
              <w:numPr>
                <w:ilvl w:val="0"/>
                <w:numId w:val="12"/>
              </w:numPr>
              <w:rPr>
                <w:rFonts w:ascii="Calibri" w:hAnsi="Calibri"/>
                <w:szCs w:val="22"/>
              </w:rPr>
            </w:pPr>
            <w:r w:rsidRPr="002174E2">
              <w:rPr>
                <w:rFonts w:ascii="Calibri" w:hAnsi="Calibri"/>
                <w:szCs w:val="22"/>
              </w:rPr>
              <w:t>Mobility / access issues arising from additional guest parking</w:t>
            </w:r>
          </w:p>
          <w:p w:rsidR="002174E2" w:rsidRPr="002174E2" w:rsidRDefault="002174E2" w:rsidP="002174E2">
            <w:pPr>
              <w:pStyle w:val="Header"/>
              <w:jc w:val="both"/>
              <w:rPr>
                <w:rFonts w:ascii="Calibri" w:hAnsi="Calibri"/>
                <w:szCs w:val="22"/>
              </w:rPr>
            </w:pPr>
          </w:p>
          <w:p w:rsidR="002174E2" w:rsidRPr="002174E2" w:rsidRDefault="002174E2" w:rsidP="002174E2">
            <w:pPr>
              <w:pStyle w:val="Header"/>
              <w:numPr>
                <w:ilvl w:val="0"/>
                <w:numId w:val="12"/>
              </w:numPr>
              <w:rPr>
                <w:rFonts w:ascii="Calibri" w:hAnsi="Calibri"/>
                <w:szCs w:val="22"/>
              </w:rPr>
            </w:pPr>
            <w:r w:rsidRPr="002174E2">
              <w:rPr>
                <w:rFonts w:ascii="Calibri" w:hAnsi="Calibri"/>
                <w:szCs w:val="22"/>
              </w:rPr>
              <w:t>Disturbance to residents at The Owls through the process of vehicles passing to the rear of the property</w:t>
            </w:r>
          </w:p>
          <w:p w:rsidR="002174E2" w:rsidRPr="002174E2" w:rsidRDefault="002174E2" w:rsidP="002174E2">
            <w:pPr>
              <w:pStyle w:val="Header"/>
              <w:jc w:val="both"/>
              <w:rPr>
                <w:rFonts w:ascii="Calibri" w:hAnsi="Calibri"/>
                <w:szCs w:val="22"/>
              </w:rPr>
            </w:pPr>
          </w:p>
          <w:p w:rsidR="002174E2" w:rsidRPr="002174E2" w:rsidRDefault="002174E2" w:rsidP="002174E2">
            <w:pPr>
              <w:pStyle w:val="Header"/>
              <w:rPr>
                <w:rFonts w:ascii="Calibri" w:hAnsi="Calibri"/>
                <w:szCs w:val="22"/>
              </w:rPr>
            </w:pPr>
            <w:r w:rsidRPr="002174E2">
              <w:rPr>
                <w:rFonts w:ascii="Calibri" w:hAnsi="Calibri"/>
                <w:szCs w:val="22"/>
              </w:rPr>
              <w:t>The alternative site layout detailed in the proposal mitigates all of the above issues and as such will improve overall residential amenity at the proposal site. The only exception to this is that the proposal does little to address the final issue listed above as vehicular activity will still occur across the front of The Owls. However, it is worth noting that the occupants of The Owls are fully aware of this and are more than happy to proceed with the new arrangement</w:t>
            </w:r>
            <w:r w:rsidR="00F1503A">
              <w:rPr>
                <w:rFonts w:ascii="Calibri" w:hAnsi="Calibri"/>
                <w:szCs w:val="22"/>
              </w:rPr>
              <w:t>.</w:t>
            </w:r>
          </w:p>
          <w:p w:rsidR="002174E2" w:rsidRPr="00687203" w:rsidRDefault="002174E2" w:rsidP="00687203">
            <w:pPr>
              <w:pStyle w:val="Header"/>
              <w:jc w:val="both"/>
              <w:rPr>
                <w:rFonts w:ascii="Calibri" w:hAnsi="Calibri"/>
                <w:b/>
                <w:szCs w:val="22"/>
              </w:rPr>
            </w:pPr>
          </w:p>
        </w:tc>
      </w:tr>
      <w:tr w:rsidR="00687203" w:rsidRPr="008C75E4" w:rsidTr="002174E2">
        <w:trPr>
          <w:trHeight w:val="864"/>
          <w:jc w:val="center"/>
        </w:trPr>
        <w:tc>
          <w:tcPr>
            <w:tcW w:w="9823" w:type="dxa"/>
            <w:gridSpan w:val="14"/>
            <w:tcMar>
              <w:top w:w="57" w:type="dxa"/>
              <w:bottom w:w="57" w:type="dxa"/>
            </w:tcMar>
          </w:tcPr>
          <w:p w:rsidR="00687203" w:rsidRDefault="00687203" w:rsidP="00687203">
            <w:pPr>
              <w:pStyle w:val="Header"/>
              <w:tabs>
                <w:tab w:val="clear" w:pos="4153"/>
                <w:tab w:val="clear" w:pos="8306"/>
              </w:tabs>
              <w:contextualSpacing/>
              <w:jc w:val="both"/>
              <w:rPr>
                <w:rFonts w:ascii="Calibri" w:hAnsi="Calibri"/>
                <w:b/>
                <w:szCs w:val="22"/>
              </w:rPr>
            </w:pPr>
            <w:r>
              <w:rPr>
                <w:rFonts w:ascii="Calibri" w:hAnsi="Calibri"/>
                <w:b/>
                <w:szCs w:val="22"/>
              </w:rPr>
              <w:lastRenderedPageBreak/>
              <w:t>Impact upon visual amenity / External appearance:</w:t>
            </w:r>
          </w:p>
          <w:p w:rsidR="00687203" w:rsidRDefault="00687203" w:rsidP="006E70D4">
            <w:pPr>
              <w:contextualSpacing/>
              <w:jc w:val="both"/>
              <w:rPr>
                <w:rFonts w:ascii="Calibri" w:hAnsi="Calibri"/>
                <w:szCs w:val="22"/>
              </w:rPr>
            </w:pPr>
          </w:p>
          <w:p w:rsidR="001855E3" w:rsidRDefault="001855E3" w:rsidP="00073E28">
            <w:pPr>
              <w:contextualSpacing/>
              <w:jc w:val="both"/>
              <w:rPr>
                <w:rFonts w:asciiTheme="minorHAnsi" w:hAnsiTheme="minorHAnsi"/>
                <w:color w:val="000000"/>
                <w:szCs w:val="22"/>
              </w:rPr>
            </w:pPr>
            <w:r>
              <w:rPr>
                <w:rFonts w:asciiTheme="minorHAnsi" w:hAnsiTheme="minorHAnsi"/>
                <w:color w:val="000000"/>
                <w:szCs w:val="22"/>
              </w:rPr>
              <w:t xml:space="preserve">The applicant proposes to use a section of </w:t>
            </w:r>
            <w:r w:rsidR="00706C31">
              <w:rPr>
                <w:rFonts w:asciiTheme="minorHAnsi" w:hAnsiTheme="minorHAnsi"/>
                <w:color w:val="000000"/>
                <w:szCs w:val="22"/>
              </w:rPr>
              <w:t>lawn</w:t>
            </w:r>
            <w:r>
              <w:rPr>
                <w:rFonts w:asciiTheme="minorHAnsi" w:hAnsiTheme="minorHAnsi"/>
                <w:color w:val="000000"/>
                <w:szCs w:val="22"/>
              </w:rPr>
              <w:t xml:space="preserve"> from his front garden on the North</w:t>
            </w:r>
            <w:r w:rsidR="00706C31">
              <w:rPr>
                <w:rFonts w:asciiTheme="minorHAnsi" w:hAnsiTheme="minorHAnsi"/>
                <w:color w:val="000000"/>
                <w:szCs w:val="22"/>
              </w:rPr>
              <w:t xml:space="preserve">-east </w:t>
            </w:r>
            <w:r>
              <w:rPr>
                <w:rFonts w:asciiTheme="minorHAnsi" w:hAnsiTheme="minorHAnsi"/>
                <w:color w:val="000000"/>
                <w:szCs w:val="22"/>
              </w:rPr>
              <w:t xml:space="preserve">side of </w:t>
            </w:r>
            <w:r w:rsidR="00706C31">
              <w:rPr>
                <w:rFonts w:asciiTheme="minorHAnsi" w:hAnsiTheme="minorHAnsi"/>
                <w:color w:val="000000"/>
                <w:szCs w:val="22"/>
              </w:rPr>
              <w:t>H</w:t>
            </w:r>
            <w:r>
              <w:rPr>
                <w:rFonts w:asciiTheme="minorHAnsi" w:hAnsiTheme="minorHAnsi"/>
                <w:color w:val="000000"/>
                <w:szCs w:val="22"/>
              </w:rPr>
              <w:t xml:space="preserve">igh Laithe for the construction of the turning area at point A on the site plan. This section of land is currently enclosed by wire fencing and is </w:t>
            </w:r>
            <w:r w:rsidR="00706C31">
              <w:rPr>
                <w:rFonts w:asciiTheme="minorHAnsi" w:hAnsiTheme="minorHAnsi"/>
                <w:color w:val="000000"/>
                <w:szCs w:val="22"/>
              </w:rPr>
              <w:t>of a different appearance to the rest of the field owned by the applicant immediately to the North.</w:t>
            </w:r>
          </w:p>
          <w:p w:rsidR="00706C31" w:rsidRDefault="00706C31" w:rsidP="00073E28">
            <w:pPr>
              <w:contextualSpacing/>
              <w:jc w:val="both"/>
              <w:rPr>
                <w:rFonts w:asciiTheme="minorHAnsi" w:hAnsiTheme="minorHAnsi"/>
                <w:color w:val="000000"/>
                <w:szCs w:val="22"/>
              </w:rPr>
            </w:pPr>
          </w:p>
          <w:p w:rsidR="00706C31" w:rsidRDefault="00706C31" w:rsidP="00073E28">
            <w:pPr>
              <w:contextualSpacing/>
              <w:jc w:val="both"/>
              <w:rPr>
                <w:rFonts w:asciiTheme="minorHAnsi" w:hAnsiTheme="minorHAnsi"/>
                <w:color w:val="000000"/>
                <w:szCs w:val="22"/>
              </w:rPr>
            </w:pPr>
            <w:r>
              <w:rPr>
                <w:rFonts w:asciiTheme="minorHAnsi" w:hAnsiTheme="minorHAnsi"/>
                <w:color w:val="000000"/>
                <w:szCs w:val="22"/>
              </w:rPr>
              <w:t xml:space="preserve">However, it is worth noting that the enclosed garden area does not appear to be part of the main curtilage on the original plans for the barn conversion from 2006. In any case, desktop analysis of the site suggests that the current front garden area was being utilised for recreational purposes as far back as 2009. As such, the land use in question is now considered lawful by default </w:t>
            </w:r>
            <w:r w:rsidR="001579E9">
              <w:rPr>
                <w:rFonts w:asciiTheme="minorHAnsi" w:hAnsiTheme="minorHAnsi"/>
                <w:color w:val="000000"/>
                <w:szCs w:val="22"/>
              </w:rPr>
              <w:t>given that this use has surpassed a period of ten years.</w:t>
            </w:r>
          </w:p>
          <w:p w:rsidR="00224674" w:rsidRDefault="00224674" w:rsidP="00073E28">
            <w:pPr>
              <w:contextualSpacing/>
              <w:jc w:val="both"/>
              <w:rPr>
                <w:rFonts w:asciiTheme="minorHAnsi" w:hAnsiTheme="minorHAnsi"/>
                <w:color w:val="000000"/>
                <w:szCs w:val="22"/>
              </w:rPr>
            </w:pPr>
          </w:p>
          <w:p w:rsidR="00224674" w:rsidRDefault="006D3018" w:rsidP="00224674">
            <w:pPr>
              <w:pStyle w:val="Header"/>
              <w:tabs>
                <w:tab w:val="clear" w:pos="4153"/>
                <w:tab w:val="clear" w:pos="8306"/>
              </w:tabs>
              <w:contextualSpacing/>
              <w:jc w:val="both"/>
              <w:rPr>
                <w:rFonts w:asciiTheme="minorHAnsi" w:hAnsiTheme="minorHAnsi"/>
                <w:color w:val="000000"/>
                <w:szCs w:val="22"/>
              </w:rPr>
            </w:pPr>
            <w:r>
              <w:rPr>
                <w:rFonts w:asciiTheme="minorHAnsi" w:hAnsiTheme="minorHAnsi"/>
                <w:color w:val="000000"/>
                <w:szCs w:val="22"/>
              </w:rPr>
              <w:t xml:space="preserve">The primary issue in relation to the proposal is that the site lies within the Forest of Bowland Area of Outstanding Natural Beauty. </w:t>
            </w:r>
            <w:r w:rsidR="00224674">
              <w:rPr>
                <w:rFonts w:asciiTheme="minorHAnsi" w:hAnsiTheme="minorHAnsi"/>
                <w:color w:val="000000"/>
                <w:szCs w:val="22"/>
              </w:rPr>
              <w:t xml:space="preserve">With reference to development in Areas of Natural Beauty, Key Statement EN2 of the Ribble Valley Core Strategy states the following: </w:t>
            </w:r>
          </w:p>
          <w:p w:rsidR="00224674" w:rsidRDefault="00224674" w:rsidP="00224674">
            <w:pPr>
              <w:pStyle w:val="Header"/>
              <w:tabs>
                <w:tab w:val="clear" w:pos="4153"/>
                <w:tab w:val="clear" w:pos="8306"/>
              </w:tabs>
              <w:contextualSpacing/>
              <w:jc w:val="both"/>
              <w:rPr>
                <w:rFonts w:asciiTheme="minorHAnsi" w:hAnsiTheme="minorHAnsi"/>
                <w:i/>
                <w:color w:val="000000"/>
                <w:szCs w:val="22"/>
              </w:rPr>
            </w:pPr>
          </w:p>
          <w:p w:rsidR="00224674" w:rsidRDefault="00224674" w:rsidP="00224674">
            <w:pPr>
              <w:pStyle w:val="Header"/>
              <w:tabs>
                <w:tab w:val="clear" w:pos="4153"/>
                <w:tab w:val="clear" w:pos="8306"/>
              </w:tabs>
              <w:contextualSpacing/>
              <w:jc w:val="both"/>
              <w:rPr>
                <w:rFonts w:asciiTheme="minorHAnsi" w:hAnsiTheme="minorHAnsi"/>
                <w:i/>
                <w:color w:val="000000"/>
                <w:szCs w:val="22"/>
              </w:rPr>
            </w:pPr>
            <w:r>
              <w:rPr>
                <w:rFonts w:asciiTheme="minorHAnsi" w:hAnsiTheme="minorHAnsi"/>
                <w:i/>
                <w:color w:val="000000"/>
                <w:szCs w:val="22"/>
              </w:rPr>
              <w:t xml:space="preserve">‘As a principle, </w:t>
            </w:r>
            <w:r w:rsidRPr="00AF3255">
              <w:rPr>
                <w:rFonts w:asciiTheme="minorHAnsi" w:hAnsiTheme="minorHAnsi"/>
                <w:i/>
                <w:color w:val="000000"/>
                <w:szCs w:val="22"/>
              </w:rPr>
              <w:t>the Council will expect development to be in keeping with the character of the landscape, reflecting local distinctiveness, vernacular style, scale, style, features and building materials.</w:t>
            </w:r>
            <w:r>
              <w:rPr>
                <w:rFonts w:asciiTheme="minorHAnsi" w:hAnsiTheme="minorHAnsi"/>
                <w:i/>
                <w:color w:val="000000"/>
                <w:szCs w:val="22"/>
              </w:rPr>
              <w:t>’</w:t>
            </w:r>
          </w:p>
          <w:p w:rsidR="00224674" w:rsidRDefault="00224674" w:rsidP="00073E28">
            <w:pPr>
              <w:contextualSpacing/>
              <w:jc w:val="both"/>
              <w:rPr>
                <w:rFonts w:asciiTheme="minorHAnsi" w:hAnsiTheme="minorHAnsi"/>
                <w:color w:val="000000"/>
                <w:szCs w:val="22"/>
              </w:rPr>
            </w:pPr>
          </w:p>
          <w:p w:rsidR="00FD1296" w:rsidRDefault="006D3018" w:rsidP="00FD1296">
            <w:pPr>
              <w:contextualSpacing/>
              <w:jc w:val="both"/>
              <w:rPr>
                <w:rFonts w:asciiTheme="minorHAnsi" w:hAnsiTheme="minorHAnsi"/>
                <w:color w:val="000000"/>
                <w:szCs w:val="22"/>
              </w:rPr>
            </w:pPr>
            <w:r>
              <w:rPr>
                <w:rFonts w:asciiTheme="minorHAnsi" w:hAnsiTheme="minorHAnsi"/>
                <w:color w:val="000000"/>
                <w:szCs w:val="22"/>
              </w:rPr>
              <w:t>On the one hand, t</w:t>
            </w:r>
            <w:r w:rsidR="00FD1296">
              <w:rPr>
                <w:rFonts w:asciiTheme="minorHAnsi" w:hAnsiTheme="minorHAnsi"/>
                <w:color w:val="000000"/>
                <w:szCs w:val="22"/>
              </w:rPr>
              <w:t xml:space="preserve">he </w:t>
            </w:r>
            <w:r w:rsidR="00224674">
              <w:rPr>
                <w:rFonts w:asciiTheme="minorHAnsi" w:hAnsiTheme="minorHAnsi"/>
                <w:color w:val="000000"/>
                <w:szCs w:val="22"/>
              </w:rPr>
              <w:t xml:space="preserve">construction of the </w:t>
            </w:r>
            <w:r w:rsidR="00FD1296">
              <w:rPr>
                <w:rFonts w:asciiTheme="minorHAnsi" w:hAnsiTheme="minorHAnsi"/>
                <w:color w:val="000000"/>
                <w:szCs w:val="22"/>
              </w:rPr>
              <w:t xml:space="preserve">proposed turning area </w:t>
            </w:r>
            <w:r w:rsidR="00224674">
              <w:rPr>
                <w:rFonts w:asciiTheme="minorHAnsi" w:hAnsiTheme="minorHAnsi"/>
                <w:color w:val="000000"/>
                <w:szCs w:val="22"/>
              </w:rPr>
              <w:t xml:space="preserve">on the North-east side of High Laithe is far from ideal given that it will involve the demolition of a stone wall and the excavation of ground within a predominantly grassy area of land, both of which contribute to the aesthetic character of the surrounding AONB. </w:t>
            </w:r>
            <w:r>
              <w:rPr>
                <w:rFonts w:asciiTheme="minorHAnsi" w:hAnsiTheme="minorHAnsi"/>
                <w:color w:val="000000"/>
                <w:szCs w:val="22"/>
              </w:rPr>
              <w:t>As such, the proposal will have some impact on the surrounding AONB.</w:t>
            </w:r>
          </w:p>
          <w:p w:rsidR="00FD1296" w:rsidRDefault="00FD1296" w:rsidP="00FD1296">
            <w:pPr>
              <w:pStyle w:val="Header"/>
              <w:tabs>
                <w:tab w:val="clear" w:pos="4153"/>
                <w:tab w:val="clear" w:pos="8306"/>
              </w:tabs>
              <w:contextualSpacing/>
              <w:jc w:val="both"/>
              <w:rPr>
                <w:rFonts w:asciiTheme="minorHAnsi" w:hAnsiTheme="minorHAnsi"/>
                <w:color w:val="000000"/>
                <w:szCs w:val="22"/>
              </w:rPr>
            </w:pPr>
          </w:p>
          <w:p w:rsidR="006D3018" w:rsidRDefault="006D3018" w:rsidP="00FD1296">
            <w:pPr>
              <w:pStyle w:val="Header"/>
              <w:tabs>
                <w:tab w:val="clear" w:pos="4153"/>
                <w:tab w:val="clear" w:pos="8306"/>
              </w:tabs>
              <w:contextualSpacing/>
              <w:jc w:val="both"/>
              <w:rPr>
                <w:rFonts w:asciiTheme="minorHAnsi" w:hAnsiTheme="minorHAnsi"/>
                <w:color w:val="000000"/>
                <w:szCs w:val="22"/>
              </w:rPr>
            </w:pPr>
            <w:r>
              <w:rPr>
                <w:rFonts w:asciiTheme="minorHAnsi" w:hAnsiTheme="minorHAnsi"/>
                <w:color w:val="000000"/>
                <w:szCs w:val="22"/>
              </w:rPr>
              <w:t xml:space="preserve">However, </w:t>
            </w:r>
            <w:r w:rsidR="00DA7D02">
              <w:rPr>
                <w:rFonts w:asciiTheme="minorHAnsi" w:hAnsiTheme="minorHAnsi"/>
                <w:color w:val="000000"/>
                <w:szCs w:val="22"/>
              </w:rPr>
              <w:t>it is worth noting that this impact will be minimal. The proposed turning area is proportionate in size for its intended use and the stone wall to be demolished will be rebuilt to enclose the new turning area.</w:t>
            </w:r>
          </w:p>
          <w:p w:rsidR="00F1503A" w:rsidRDefault="001E2267" w:rsidP="00E55278">
            <w:pPr>
              <w:pStyle w:val="Header"/>
              <w:tabs>
                <w:tab w:val="clear" w:pos="4153"/>
                <w:tab w:val="clear" w:pos="8306"/>
              </w:tabs>
              <w:contextualSpacing/>
              <w:jc w:val="both"/>
              <w:rPr>
                <w:rFonts w:asciiTheme="minorHAnsi" w:hAnsiTheme="minorHAnsi"/>
                <w:color w:val="000000"/>
                <w:szCs w:val="22"/>
              </w:rPr>
            </w:pPr>
            <w:r>
              <w:rPr>
                <w:rFonts w:asciiTheme="minorHAnsi" w:hAnsiTheme="minorHAnsi"/>
                <w:color w:val="000000"/>
                <w:szCs w:val="22"/>
              </w:rPr>
              <w:t>F</w:t>
            </w:r>
            <w:r w:rsidR="00DA7D02">
              <w:rPr>
                <w:rFonts w:asciiTheme="minorHAnsi" w:hAnsiTheme="minorHAnsi"/>
                <w:color w:val="000000"/>
                <w:szCs w:val="22"/>
              </w:rPr>
              <w:t xml:space="preserve">urthermore, plans from the proposal indicate that the new site layout will incorporate materials to match the existing </w:t>
            </w:r>
            <w:r>
              <w:rPr>
                <w:rFonts w:asciiTheme="minorHAnsi" w:hAnsiTheme="minorHAnsi"/>
                <w:color w:val="000000"/>
                <w:szCs w:val="22"/>
              </w:rPr>
              <w:t>materials of the front curtilage and surrounding AONB</w:t>
            </w:r>
            <w:r w:rsidR="00DA7D02">
              <w:rPr>
                <w:rFonts w:asciiTheme="minorHAnsi" w:hAnsiTheme="minorHAnsi"/>
                <w:color w:val="000000"/>
                <w:szCs w:val="22"/>
              </w:rPr>
              <w:t>. These materials include dry stone walling, gravel over concrete and wooden gates.</w:t>
            </w:r>
            <w:r w:rsidR="00F1503A">
              <w:rPr>
                <w:rFonts w:asciiTheme="minorHAnsi" w:hAnsiTheme="minorHAnsi"/>
                <w:color w:val="000000"/>
                <w:szCs w:val="22"/>
              </w:rPr>
              <w:t xml:space="preserve"> </w:t>
            </w:r>
          </w:p>
          <w:p w:rsidR="00F1503A" w:rsidRDefault="00F1503A" w:rsidP="00E55278">
            <w:pPr>
              <w:pStyle w:val="Header"/>
              <w:tabs>
                <w:tab w:val="clear" w:pos="4153"/>
                <w:tab w:val="clear" w:pos="8306"/>
              </w:tabs>
              <w:contextualSpacing/>
              <w:jc w:val="both"/>
              <w:rPr>
                <w:rFonts w:asciiTheme="minorHAnsi" w:hAnsiTheme="minorHAnsi"/>
                <w:color w:val="000000"/>
                <w:szCs w:val="22"/>
              </w:rPr>
            </w:pPr>
          </w:p>
          <w:p w:rsidR="001855E3" w:rsidRDefault="001E2267" w:rsidP="00E55278">
            <w:pPr>
              <w:pStyle w:val="Header"/>
              <w:tabs>
                <w:tab w:val="clear" w:pos="4153"/>
                <w:tab w:val="clear" w:pos="8306"/>
              </w:tabs>
              <w:contextualSpacing/>
              <w:jc w:val="both"/>
              <w:rPr>
                <w:rFonts w:asciiTheme="minorHAnsi" w:hAnsiTheme="minorHAnsi"/>
                <w:color w:val="000000"/>
                <w:szCs w:val="22"/>
              </w:rPr>
            </w:pPr>
            <w:r>
              <w:rPr>
                <w:rFonts w:asciiTheme="minorHAnsi" w:hAnsiTheme="minorHAnsi"/>
                <w:color w:val="000000"/>
                <w:szCs w:val="22"/>
              </w:rPr>
              <w:t xml:space="preserve">Moreover, </w:t>
            </w:r>
            <w:r w:rsidR="00DA7D02">
              <w:rPr>
                <w:rFonts w:asciiTheme="minorHAnsi" w:hAnsiTheme="minorHAnsi"/>
                <w:color w:val="000000"/>
                <w:szCs w:val="22"/>
              </w:rPr>
              <w:t>the turning area</w:t>
            </w:r>
            <w:r>
              <w:rPr>
                <w:rFonts w:asciiTheme="minorHAnsi" w:hAnsiTheme="minorHAnsi"/>
                <w:color w:val="000000"/>
                <w:szCs w:val="22"/>
              </w:rPr>
              <w:t xml:space="preserve"> addresses the initial concerns of LCC Highways in as much that it will allow the occupants to join the highway in a forward gear.</w:t>
            </w:r>
          </w:p>
          <w:p w:rsidR="001855E3" w:rsidRDefault="001855E3" w:rsidP="00073E28">
            <w:pPr>
              <w:contextualSpacing/>
              <w:jc w:val="both"/>
              <w:rPr>
                <w:rFonts w:asciiTheme="minorHAnsi" w:hAnsiTheme="minorHAnsi"/>
                <w:color w:val="000000"/>
                <w:szCs w:val="22"/>
              </w:rPr>
            </w:pPr>
          </w:p>
          <w:p w:rsidR="00073E28" w:rsidRPr="006E70D4" w:rsidRDefault="00073E28" w:rsidP="00DA7D02">
            <w:pPr>
              <w:contextualSpacing/>
              <w:jc w:val="both"/>
              <w:rPr>
                <w:rFonts w:ascii="Calibri" w:hAnsi="Calibri"/>
                <w:szCs w:val="22"/>
              </w:rPr>
            </w:pPr>
          </w:p>
        </w:tc>
      </w:tr>
      <w:tr w:rsidR="00687203" w:rsidRPr="008C75E4" w:rsidTr="002174E2">
        <w:trPr>
          <w:trHeight w:val="864"/>
          <w:jc w:val="center"/>
        </w:trPr>
        <w:tc>
          <w:tcPr>
            <w:tcW w:w="9823" w:type="dxa"/>
            <w:gridSpan w:val="14"/>
            <w:tcMar>
              <w:top w:w="57" w:type="dxa"/>
              <w:bottom w:w="57" w:type="dxa"/>
            </w:tcMar>
          </w:tcPr>
          <w:p w:rsidR="00687203" w:rsidRDefault="00687203" w:rsidP="00687203">
            <w:pPr>
              <w:pStyle w:val="Header"/>
              <w:tabs>
                <w:tab w:val="clear" w:pos="4153"/>
                <w:tab w:val="clear" w:pos="8306"/>
              </w:tabs>
              <w:contextualSpacing/>
              <w:jc w:val="both"/>
              <w:rPr>
                <w:rFonts w:ascii="Calibri" w:hAnsi="Calibri"/>
                <w:b/>
                <w:szCs w:val="22"/>
              </w:rPr>
            </w:pPr>
            <w:r>
              <w:rPr>
                <w:rFonts w:ascii="Calibri" w:hAnsi="Calibri"/>
                <w:b/>
                <w:szCs w:val="22"/>
              </w:rPr>
              <w:lastRenderedPageBreak/>
              <w:t>Landscape/Ecology:</w:t>
            </w:r>
          </w:p>
          <w:p w:rsidR="00687203" w:rsidRDefault="00687203" w:rsidP="00687203">
            <w:pPr>
              <w:pStyle w:val="Header"/>
              <w:tabs>
                <w:tab w:val="clear" w:pos="4153"/>
                <w:tab w:val="clear" w:pos="8306"/>
              </w:tabs>
              <w:contextualSpacing/>
              <w:jc w:val="both"/>
              <w:rPr>
                <w:rFonts w:ascii="Calibri" w:hAnsi="Calibri"/>
                <w:b/>
                <w:szCs w:val="22"/>
              </w:rPr>
            </w:pPr>
          </w:p>
          <w:p w:rsidR="00073E28" w:rsidRDefault="00073E28" w:rsidP="00073E28">
            <w:pPr>
              <w:pStyle w:val="Header"/>
              <w:tabs>
                <w:tab w:val="clear" w:pos="4153"/>
                <w:tab w:val="clear" w:pos="8306"/>
              </w:tabs>
              <w:contextualSpacing/>
              <w:jc w:val="both"/>
              <w:rPr>
                <w:rFonts w:ascii="Calibri" w:hAnsi="Calibri"/>
                <w:szCs w:val="22"/>
              </w:rPr>
            </w:pPr>
            <w:r>
              <w:rPr>
                <w:rFonts w:ascii="Calibri" w:hAnsi="Calibri"/>
                <w:szCs w:val="22"/>
              </w:rPr>
              <w:t xml:space="preserve">With regards to the protection of biodiversity and geodiversity, Key Statement EN4 of the Council’s Core Strategy states that: </w:t>
            </w:r>
          </w:p>
          <w:p w:rsidR="00073E28" w:rsidRDefault="00073E28" w:rsidP="00073E28">
            <w:pPr>
              <w:pStyle w:val="Header"/>
              <w:tabs>
                <w:tab w:val="clear" w:pos="4153"/>
                <w:tab w:val="clear" w:pos="8306"/>
              </w:tabs>
              <w:contextualSpacing/>
              <w:jc w:val="both"/>
              <w:rPr>
                <w:rFonts w:ascii="Calibri" w:hAnsi="Calibri"/>
                <w:i/>
                <w:szCs w:val="22"/>
              </w:rPr>
            </w:pPr>
          </w:p>
          <w:p w:rsidR="00073E28" w:rsidRDefault="00073E28" w:rsidP="00073E28">
            <w:pPr>
              <w:pStyle w:val="Header"/>
              <w:tabs>
                <w:tab w:val="clear" w:pos="4153"/>
                <w:tab w:val="clear" w:pos="8306"/>
              </w:tabs>
              <w:contextualSpacing/>
              <w:jc w:val="both"/>
              <w:rPr>
                <w:rFonts w:ascii="Calibri" w:hAnsi="Calibri"/>
                <w:i/>
                <w:szCs w:val="22"/>
              </w:rPr>
            </w:pPr>
            <w:r w:rsidRPr="001B00C4">
              <w:rPr>
                <w:rFonts w:ascii="Calibri" w:hAnsi="Calibri"/>
                <w:i/>
                <w:szCs w:val="22"/>
              </w:rPr>
              <w:t>‘The Council will seek wherever possible to conserve and enhance the area’s biodiversity…</w:t>
            </w:r>
            <w:r>
              <w:rPr>
                <w:rFonts w:ascii="Calibri" w:hAnsi="Calibri"/>
                <w:i/>
                <w:szCs w:val="22"/>
              </w:rPr>
              <w:t>n</w:t>
            </w:r>
            <w:r w:rsidRPr="001B00C4">
              <w:rPr>
                <w:rFonts w:ascii="Calibri" w:hAnsi="Calibri"/>
                <w:i/>
                <w:szCs w:val="22"/>
              </w:rPr>
              <w:t>egative impacts on biodiversity through development proposals should be avoided</w:t>
            </w:r>
            <w:r>
              <w:rPr>
                <w:rFonts w:ascii="Calibri" w:hAnsi="Calibri"/>
                <w:i/>
                <w:szCs w:val="22"/>
              </w:rPr>
              <w:t>’.</w:t>
            </w:r>
          </w:p>
          <w:p w:rsidR="00073E28" w:rsidRDefault="00073E28" w:rsidP="00073E28">
            <w:pPr>
              <w:pStyle w:val="Header"/>
              <w:tabs>
                <w:tab w:val="clear" w:pos="4153"/>
                <w:tab w:val="clear" w:pos="8306"/>
              </w:tabs>
              <w:contextualSpacing/>
              <w:jc w:val="both"/>
              <w:rPr>
                <w:rFonts w:ascii="Calibri" w:hAnsi="Calibri"/>
                <w:i/>
                <w:szCs w:val="22"/>
              </w:rPr>
            </w:pPr>
          </w:p>
          <w:p w:rsidR="00073E28" w:rsidRDefault="00073E28" w:rsidP="00073E28">
            <w:pPr>
              <w:pStyle w:val="Header"/>
              <w:tabs>
                <w:tab w:val="clear" w:pos="4153"/>
                <w:tab w:val="clear" w:pos="8306"/>
              </w:tabs>
              <w:contextualSpacing/>
              <w:jc w:val="both"/>
              <w:rPr>
                <w:rFonts w:ascii="Calibri" w:hAnsi="Calibri"/>
                <w:szCs w:val="22"/>
              </w:rPr>
            </w:pPr>
            <w:r>
              <w:rPr>
                <w:rFonts w:ascii="Calibri" w:hAnsi="Calibri"/>
                <w:szCs w:val="22"/>
              </w:rPr>
              <w:t>GIS analysis shows that t</w:t>
            </w:r>
            <w:r w:rsidRPr="001B00C4">
              <w:rPr>
                <w:rFonts w:ascii="Calibri" w:hAnsi="Calibri"/>
                <w:szCs w:val="22"/>
              </w:rPr>
              <w:t xml:space="preserve">he proposal site </w:t>
            </w:r>
            <w:r>
              <w:rPr>
                <w:rFonts w:ascii="Calibri" w:hAnsi="Calibri"/>
                <w:szCs w:val="22"/>
              </w:rPr>
              <w:t>lies between two SSSI sites and within a SSSI impact zone.  However, it is worth noting that the proposed development will only involve localised minor ground excavation and as such will not have any adverse impacts on the nearby SSSI sites. No other ecological constraints were identified as being present in the surrounding area.</w:t>
            </w:r>
          </w:p>
          <w:p w:rsidR="00073E28" w:rsidRDefault="00073E28" w:rsidP="00073E28">
            <w:pPr>
              <w:pStyle w:val="Header"/>
              <w:tabs>
                <w:tab w:val="clear" w:pos="4153"/>
                <w:tab w:val="clear" w:pos="8306"/>
              </w:tabs>
              <w:contextualSpacing/>
              <w:jc w:val="both"/>
              <w:rPr>
                <w:rFonts w:ascii="Calibri" w:hAnsi="Calibri"/>
                <w:b/>
                <w:szCs w:val="22"/>
              </w:rPr>
            </w:pPr>
          </w:p>
        </w:tc>
      </w:tr>
      <w:tr w:rsidR="008C75E4" w:rsidRPr="008C75E4" w:rsidTr="002174E2">
        <w:trPr>
          <w:trHeight w:val="864"/>
          <w:jc w:val="center"/>
        </w:trPr>
        <w:tc>
          <w:tcPr>
            <w:tcW w:w="9823" w:type="dxa"/>
            <w:gridSpan w:val="14"/>
            <w:tcMar>
              <w:top w:w="57" w:type="dxa"/>
              <w:bottom w:w="57" w:type="dxa"/>
            </w:tcMar>
          </w:tcPr>
          <w:p w:rsidR="00C0704D" w:rsidRPr="008C75E4" w:rsidRDefault="00C0704D" w:rsidP="006126D1">
            <w:pPr>
              <w:contextualSpacing/>
              <w:jc w:val="both"/>
              <w:rPr>
                <w:rFonts w:ascii="Calibri" w:hAnsi="Calibri"/>
                <w:b/>
                <w:bCs/>
                <w:szCs w:val="22"/>
              </w:rPr>
            </w:pPr>
            <w:r w:rsidRPr="008C75E4">
              <w:rPr>
                <w:rFonts w:ascii="Calibri" w:hAnsi="Calibri"/>
                <w:b/>
                <w:bCs/>
                <w:szCs w:val="22"/>
              </w:rPr>
              <w:t>Observations/Consideration of Matters Raised/Conclusion:</w:t>
            </w:r>
          </w:p>
          <w:p w:rsidR="00C44E40" w:rsidRDefault="00C44E40" w:rsidP="00454754">
            <w:pPr>
              <w:pStyle w:val="Header"/>
              <w:tabs>
                <w:tab w:val="clear" w:pos="4153"/>
                <w:tab w:val="clear" w:pos="8306"/>
              </w:tabs>
              <w:contextualSpacing/>
              <w:jc w:val="both"/>
              <w:rPr>
                <w:rFonts w:ascii="Calibri" w:hAnsi="Calibri"/>
                <w:szCs w:val="22"/>
              </w:rPr>
            </w:pPr>
          </w:p>
          <w:p w:rsidR="00E55278" w:rsidRDefault="001E2267" w:rsidP="00CE6D25">
            <w:pPr>
              <w:contextualSpacing/>
              <w:jc w:val="both"/>
              <w:rPr>
                <w:rFonts w:ascii="Calibri" w:hAnsi="Calibri"/>
                <w:bCs/>
                <w:szCs w:val="22"/>
              </w:rPr>
            </w:pPr>
            <w:r>
              <w:rPr>
                <w:rFonts w:ascii="Calibri" w:hAnsi="Calibri"/>
                <w:bCs/>
                <w:szCs w:val="22"/>
              </w:rPr>
              <w:t>The applicant has successfully demonstrated that t</w:t>
            </w:r>
            <w:r w:rsidR="00CE6D25" w:rsidRPr="006E31D7">
              <w:rPr>
                <w:rFonts w:ascii="Calibri" w:hAnsi="Calibri"/>
                <w:bCs/>
                <w:szCs w:val="22"/>
              </w:rPr>
              <w:t xml:space="preserve">he proposed alterations </w:t>
            </w:r>
            <w:r w:rsidR="00CE6D25">
              <w:rPr>
                <w:rFonts w:ascii="Calibri" w:hAnsi="Calibri"/>
                <w:bCs/>
                <w:szCs w:val="22"/>
              </w:rPr>
              <w:t xml:space="preserve">to the existing vehicle access and parking arrangement at the proposal site will significantly improve residential amenity for the residents of High Laithe and The Owls. </w:t>
            </w:r>
          </w:p>
          <w:p w:rsidR="00E55278" w:rsidRDefault="00E55278" w:rsidP="00CE6D25">
            <w:pPr>
              <w:contextualSpacing/>
              <w:jc w:val="both"/>
              <w:rPr>
                <w:rFonts w:ascii="Calibri" w:hAnsi="Calibri"/>
                <w:bCs/>
                <w:szCs w:val="22"/>
              </w:rPr>
            </w:pPr>
          </w:p>
          <w:p w:rsidR="00CE6D25" w:rsidRDefault="001E2267" w:rsidP="00CE6D25">
            <w:pPr>
              <w:contextualSpacing/>
              <w:jc w:val="both"/>
              <w:rPr>
                <w:rFonts w:ascii="Calibri" w:hAnsi="Calibri"/>
                <w:bCs/>
                <w:szCs w:val="22"/>
              </w:rPr>
            </w:pPr>
            <w:r>
              <w:rPr>
                <w:rFonts w:ascii="Calibri" w:hAnsi="Calibri"/>
                <w:bCs/>
                <w:szCs w:val="22"/>
              </w:rPr>
              <w:t xml:space="preserve">The construction of the proposed turning area is wholly justifiable in as much that it will significantly improve highway safety with minimal impact to the surrounding AONB. </w:t>
            </w:r>
            <w:r w:rsidR="00CE6D25">
              <w:rPr>
                <w:rFonts w:ascii="Calibri" w:hAnsi="Calibri"/>
                <w:bCs/>
                <w:szCs w:val="22"/>
              </w:rPr>
              <w:t>Furthermore,</w:t>
            </w:r>
            <w:r w:rsidR="00376B36">
              <w:rPr>
                <w:rFonts w:ascii="Calibri" w:hAnsi="Calibri"/>
                <w:bCs/>
                <w:szCs w:val="22"/>
              </w:rPr>
              <w:t xml:space="preserve"> a recent speed survey of the area did not reveal any safety issues in relation to</w:t>
            </w:r>
            <w:r w:rsidR="00F1503A">
              <w:rPr>
                <w:rFonts w:ascii="Calibri" w:hAnsi="Calibri"/>
                <w:bCs/>
                <w:szCs w:val="22"/>
              </w:rPr>
              <w:t xml:space="preserve"> </w:t>
            </w:r>
            <w:r w:rsidR="00376B36">
              <w:rPr>
                <w:rFonts w:ascii="Calibri" w:hAnsi="Calibri"/>
                <w:bCs/>
                <w:szCs w:val="22"/>
              </w:rPr>
              <w:t xml:space="preserve">the </w:t>
            </w:r>
            <w:r w:rsidR="00F1503A">
              <w:rPr>
                <w:rFonts w:ascii="Calibri" w:hAnsi="Calibri"/>
                <w:bCs/>
                <w:szCs w:val="22"/>
              </w:rPr>
              <w:t xml:space="preserve">siting of the </w:t>
            </w:r>
            <w:r w:rsidR="00376B36">
              <w:rPr>
                <w:rFonts w:ascii="Calibri" w:hAnsi="Calibri"/>
                <w:bCs/>
                <w:szCs w:val="22"/>
              </w:rPr>
              <w:t>propos</w:t>
            </w:r>
            <w:r w:rsidR="00F1503A">
              <w:rPr>
                <w:rFonts w:ascii="Calibri" w:hAnsi="Calibri"/>
                <w:bCs/>
                <w:szCs w:val="22"/>
              </w:rPr>
              <w:t>ed vehicle entrance.</w:t>
            </w:r>
          </w:p>
          <w:p w:rsidR="00CE6D25" w:rsidRPr="006E31D7" w:rsidRDefault="00CE6D25" w:rsidP="00CE6D25">
            <w:pPr>
              <w:contextualSpacing/>
              <w:rPr>
                <w:rFonts w:ascii="Calibri" w:hAnsi="Calibri"/>
                <w:bCs/>
                <w:szCs w:val="22"/>
              </w:rPr>
            </w:pPr>
          </w:p>
          <w:p w:rsidR="00073E28" w:rsidRPr="00963DD0" w:rsidRDefault="00CE6D25" w:rsidP="00454754">
            <w:pPr>
              <w:pStyle w:val="Header"/>
              <w:tabs>
                <w:tab w:val="clear" w:pos="4153"/>
                <w:tab w:val="clear" w:pos="8306"/>
              </w:tabs>
              <w:contextualSpacing/>
              <w:jc w:val="both"/>
              <w:rPr>
                <w:rFonts w:ascii="Calibri" w:hAnsi="Calibri"/>
                <w:bCs/>
                <w:szCs w:val="22"/>
              </w:rPr>
            </w:pPr>
            <w:r w:rsidRPr="006E31D7">
              <w:rPr>
                <w:rFonts w:ascii="Calibri" w:hAnsi="Calibri"/>
                <w:bCs/>
                <w:szCs w:val="22"/>
              </w:rPr>
              <w:t>It is for the above reasons and having regard to all material considerations and matters raised that the application is recommended for approval.</w:t>
            </w:r>
          </w:p>
        </w:tc>
      </w:tr>
      <w:tr w:rsidR="00C0704D" w:rsidRPr="008C75E4" w:rsidTr="002174E2">
        <w:trPr>
          <w:jc w:val="center"/>
        </w:trPr>
        <w:tc>
          <w:tcPr>
            <w:tcW w:w="2837" w:type="dxa"/>
            <w:gridSpan w:val="4"/>
            <w:tcMar>
              <w:top w:w="57" w:type="dxa"/>
              <w:bottom w:w="57" w:type="dxa"/>
            </w:tcMar>
          </w:tcPr>
          <w:p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986" w:type="dxa"/>
            <w:gridSpan w:val="10"/>
          </w:tcPr>
          <w:p w:rsidR="00C0704D" w:rsidRPr="008C75E4" w:rsidRDefault="00376B36" w:rsidP="006126D1">
            <w:pPr>
              <w:jc w:val="both"/>
              <w:rPr>
                <w:rFonts w:ascii="Calibri" w:hAnsi="Calibri"/>
                <w:bCs/>
                <w:szCs w:val="22"/>
              </w:rPr>
            </w:pPr>
            <w:r>
              <w:rPr>
                <w:rFonts w:ascii="Calibri" w:hAnsi="Calibri"/>
                <w:bCs/>
                <w:szCs w:val="22"/>
              </w:rPr>
              <w:t>That planning consent be granted.</w:t>
            </w:r>
          </w:p>
        </w:tc>
      </w:tr>
    </w:tbl>
    <w:p w:rsidR="0031197A" w:rsidRPr="008C75E4" w:rsidRDefault="008951BC"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944CD" w:rsidRDefault="000944CD" w:rsidP="006D0B5F">
      <w:r>
        <w:separator/>
      </w:r>
    </w:p>
  </w:endnote>
  <w:endnote w:type="continuationSeparator" w:id="0">
    <w:p w:rsidR="000944CD" w:rsidRDefault="000944CD"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944CD" w:rsidRDefault="000944CD" w:rsidP="006D0B5F">
      <w:r>
        <w:separator/>
      </w:r>
    </w:p>
  </w:footnote>
  <w:footnote w:type="continuationSeparator" w:id="0">
    <w:p w:rsidR="000944CD" w:rsidRDefault="000944CD"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2436B"/>
    <w:multiLevelType w:val="hybridMultilevel"/>
    <w:tmpl w:val="6F6C2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859258A"/>
    <w:multiLevelType w:val="hybridMultilevel"/>
    <w:tmpl w:val="7BBA1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8"/>
  </w:num>
  <w:num w:numId="3">
    <w:abstractNumId w:val="4"/>
  </w:num>
  <w:num w:numId="4">
    <w:abstractNumId w:val="5"/>
  </w:num>
  <w:num w:numId="5">
    <w:abstractNumId w:val="1"/>
  </w:num>
  <w:num w:numId="6">
    <w:abstractNumId w:val="2"/>
  </w:num>
  <w:num w:numId="7">
    <w:abstractNumId w:val="6"/>
  </w:num>
  <w:num w:numId="8">
    <w:abstractNumId w:val="10"/>
  </w:num>
  <w:num w:numId="9">
    <w:abstractNumId w:val="3"/>
  </w:num>
  <w:num w:numId="10">
    <w:abstractNumId w:val="7"/>
  </w:num>
  <w:num w:numId="11">
    <w:abstractNumId w:val="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5DD"/>
    <w:rsid w:val="00016A73"/>
    <w:rsid w:val="00020F3B"/>
    <w:rsid w:val="00041FBF"/>
    <w:rsid w:val="00055B13"/>
    <w:rsid w:val="00073E28"/>
    <w:rsid w:val="0008638E"/>
    <w:rsid w:val="000944CD"/>
    <w:rsid w:val="000B5CB5"/>
    <w:rsid w:val="000C7A57"/>
    <w:rsid w:val="000D76E2"/>
    <w:rsid w:val="000F4418"/>
    <w:rsid w:val="00101855"/>
    <w:rsid w:val="0010371E"/>
    <w:rsid w:val="00106932"/>
    <w:rsid w:val="00121C15"/>
    <w:rsid w:val="00130035"/>
    <w:rsid w:val="00141512"/>
    <w:rsid w:val="001579E9"/>
    <w:rsid w:val="0016428F"/>
    <w:rsid w:val="00167D68"/>
    <w:rsid w:val="00174004"/>
    <w:rsid w:val="001855E3"/>
    <w:rsid w:val="001946E0"/>
    <w:rsid w:val="00196722"/>
    <w:rsid w:val="001B026C"/>
    <w:rsid w:val="001B769B"/>
    <w:rsid w:val="001C1453"/>
    <w:rsid w:val="001D4F7A"/>
    <w:rsid w:val="001D5ADD"/>
    <w:rsid w:val="001E2267"/>
    <w:rsid w:val="00203F50"/>
    <w:rsid w:val="00206E24"/>
    <w:rsid w:val="002174E2"/>
    <w:rsid w:val="00224674"/>
    <w:rsid w:val="00230C59"/>
    <w:rsid w:val="00237DA1"/>
    <w:rsid w:val="00250879"/>
    <w:rsid w:val="00284480"/>
    <w:rsid w:val="0028751A"/>
    <w:rsid w:val="0029334A"/>
    <w:rsid w:val="002A01CF"/>
    <w:rsid w:val="002A7DF7"/>
    <w:rsid w:val="002B7854"/>
    <w:rsid w:val="002C6277"/>
    <w:rsid w:val="002D4346"/>
    <w:rsid w:val="002E2952"/>
    <w:rsid w:val="002E7CC1"/>
    <w:rsid w:val="002F041D"/>
    <w:rsid w:val="002F2580"/>
    <w:rsid w:val="002F7502"/>
    <w:rsid w:val="003137E0"/>
    <w:rsid w:val="00320634"/>
    <w:rsid w:val="00320A6F"/>
    <w:rsid w:val="00321B6E"/>
    <w:rsid w:val="003359D0"/>
    <w:rsid w:val="00341E8D"/>
    <w:rsid w:val="00347F5E"/>
    <w:rsid w:val="00350A48"/>
    <w:rsid w:val="003634D9"/>
    <w:rsid w:val="0036759A"/>
    <w:rsid w:val="00376B36"/>
    <w:rsid w:val="003825D5"/>
    <w:rsid w:val="003A4376"/>
    <w:rsid w:val="003C0EEC"/>
    <w:rsid w:val="003C185F"/>
    <w:rsid w:val="003C28E1"/>
    <w:rsid w:val="003E2151"/>
    <w:rsid w:val="003F16AA"/>
    <w:rsid w:val="003F16B4"/>
    <w:rsid w:val="003F3DB5"/>
    <w:rsid w:val="003F481A"/>
    <w:rsid w:val="00404C72"/>
    <w:rsid w:val="0043322F"/>
    <w:rsid w:val="00435FC9"/>
    <w:rsid w:val="0044039F"/>
    <w:rsid w:val="00440CB6"/>
    <w:rsid w:val="00454754"/>
    <w:rsid w:val="004654DD"/>
    <w:rsid w:val="004854EC"/>
    <w:rsid w:val="004936A6"/>
    <w:rsid w:val="004947BB"/>
    <w:rsid w:val="004A5EA9"/>
    <w:rsid w:val="004C2434"/>
    <w:rsid w:val="004D6FC7"/>
    <w:rsid w:val="004E58E3"/>
    <w:rsid w:val="004F05A6"/>
    <w:rsid w:val="004F0649"/>
    <w:rsid w:val="004F1043"/>
    <w:rsid w:val="004F1E99"/>
    <w:rsid w:val="0050432D"/>
    <w:rsid w:val="00504440"/>
    <w:rsid w:val="00510DBF"/>
    <w:rsid w:val="00510FA2"/>
    <w:rsid w:val="00510FE3"/>
    <w:rsid w:val="00521ABA"/>
    <w:rsid w:val="00525341"/>
    <w:rsid w:val="00527A31"/>
    <w:rsid w:val="00534611"/>
    <w:rsid w:val="00545D8C"/>
    <w:rsid w:val="00556ECD"/>
    <w:rsid w:val="005631B3"/>
    <w:rsid w:val="005633B0"/>
    <w:rsid w:val="005635FF"/>
    <w:rsid w:val="00573B90"/>
    <w:rsid w:val="00576B84"/>
    <w:rsid w:val="005878FE"/>
    <w:rsid w:val="00593040"/>
    <w:rsid w:val="005B0A0E"/>
    <w:rsid w:val="005D3432"/>
    <w:rsid w:val="005E1C6C"/>
    <w:rsid w:val="005E65DF"/>
    <w:rsid w:val="005F2C99"/>
    <w:rsid w:val="006126D1"/>
    <w:rsid w:val="006326A2"/>
    <w:rsid w:val="00665C24"/>
    <w:rsid w:val="00687203"/>
    <w:rsid w:val="00690EC3"/>
    <w:rsid w:val="00692B60"/>
    <w:rsid w:val="00695F88"/>
    <w:rsid w:val="006A71AD"/>
    <w:rsid w:val="006C126E"/>
    <w:rsid w:val="006C2BFA"/>
    <w:rsid w:val="006D0B5F"/>
    <w:rsid w:val="006D3018"/>
    <w:rsid w:val="006D4E58"/>
    <w:rsid w:val="006D7624"/>
    <w:rsid w:val="006E70D4"/>
    <w:rsid w:val="006F137D"/>
    <w:rsid w:val="006F4D38"/>
    <w:rsid w:val="0070054B"/>
    <w:rsid w:val="00706480"/>
    <w:rsid w:val="00706C31"/>
    <w:rsid w:val="00710DBB"/>
    <w:rsid w:val="00725F1C"/>
    <w:rsid w:val="007430C8"/>
    <w:rsid w:val="00755FCC"/>
    <w:rsid w:val="00763830"/>
    <w:rsid w:val="00776AE2"/>
    <w:rsid w:val="007921CD"/>
    <w:rsid w:val="007A06B9"/>
    <w:rsid w:val="007C5713"/>
    <w:rsid w:val="007C791C"/>
    <w:rsid w:val="007D6D02"/>
    <w:rsid w:val="007D7DF4"/>
    <w:rsid w:val="007E0D23"/>
    <w:rsid w:val="007F196D"/>
    <w:rsid w:val="00805895"/>
    <w:rsid w:val="008075CB"/>
    <w:rsid w:val="00811771"/>
    <w:rsid w:val="008154DD"/>
    <w:rsid w:val="008542DE"/>
    <w:rsid w:val="008638DE"/>
    <w:rsid w:val="00883ADA"/>
    <w:rsid w:val="00891182"/>
    <w:rsid w:val="008951BC"/>
    <w:rsid w:val="008A28C8"/>
    <w:rsid w:val="008C2A2C"/>
    <w:rsid w:val="008C75E4"/>
    <w:rsid w:val="008F6B58"/>
    <w:rsid w:val="0090282C"/>
    <w:rsid w:val="00906D0C"/>
    <w:rsid w:val="00934B34"/>
    <w:rsid w:val="009565F5"/>
    <w:rsid w:val="00963DD0"/>
    <w:rsid w:val="009825FF"/>
    <w:rsid w:val="00985097"/>
    <w:rsid w:val="00994EF1"/>
    <w:rsid w:val="009C4BCF"/>
    <w:rsid w:val="009C6D8A"/>
    <w:rsid w:val="009C7F61"/>
    <w:rsid w:val="009E6A8B"/>
    <w:rsid w:val="00A04A96"/>
    <w:rsid w:val="00A40070"/>
    <w:rsid w:val="00A42B51"/>
    <w:rsid w:val="00A42E82"/>
    <w:rsid w:val="00A46EE9"/>
    <w:rsid w:val="00A55E83"/>
    <w:rsid w:val="00A579BB"/>
    <w:rsid w:val="00A63D55"/>
    <w:rsid w:val="00A8441B"/>
    <w:rsid w:val="00A9088C"/>
    <w:rsid w:val="00A9168C"/>
    <w:rsid w:val="00A95D89"/>
    <w:rsid w:val="00AB3243"/>
    <w:rsid w:val="00AB5232"/>
    <w:rsid w:val="00B14DDC"/>
    <w:rsid w:val="00B30A5E"/>
    <w:rsid w:val="00B31505"/>
    <w:rsid w:val="00B54E40"/>
    <w:rsid w:val="00B6269C"/>
    <w:rsid w:val="00B74C73"/>
    <w:rsid w:val="00B93EB5"/>
    <w:rsid w:val="00B96F5A"/>
    <w:rsid w:val="00BA2247"/>
    <w:rsid w:val="00BA5D97"/>
    <w:rsid w:val="00BA6B19"/>
    <w:rsid w:val="00BB1C52"/>
    <w:rsid w:val="00BB2A50"/>
    <w:rsid w:val="00BC1E48"/>
    <w:rsid w:val="00BC37C6"/>
    <w:rsid w:val="00BD3F03"/>
    <w:rsid w:val="00BD7407"/>
    <w:rsid w:val="00C0704D"/>
    <w:rsid w:val="00C214A6"/>
    <w:rsid w:val="00C24A51"/>
    <w:rsid w:val="00C25722"/>
    <w:rsid w:val="00C44E40"/>
    <w:rsid w:val="00C50517"/>
    <w:rsid w:val="00C618DB"/>
    <w:rsid w:val="00C6456D"/>
    <w:rsid w:val="00C93384"/>
    <w:rsid w:val="00CA28BA"/>
    <w:rsid w:val="00CD1729"/>
    <w:rsid w:val="00CD2E03"/>
    <w:rsid w:val="00CD38B1"/>
    <w:rsid w:val="00CE6D25"/>
    <w:rsid w:val="00D102D9"/>
    <w:rsid w:val="00D1063F"/>
    <w:rsid w:val="00D11007"/>
    <w:rsid w:val="00D1420C"/>
    <w:rsid w:val="00D23470"/>
    <w:rsid w:val="00D2449B"/>
    <w:rsid w:val="00D25ADC"/>
    <w:rsid w:val="00D54384"/>
    <w:rsid w:val="00D54E67"/>
    <w:rsid w:val="00D54F48"/>
    <w:rsid w:val="00D632BB"/>
    <w:rsid w:val="00D80310"/>
    <w:rsid w:val="00D9608A"/>
    <w:rsid w:val="00D96DF7"/>
    <w:rsid w:val="00D97AA3"/>
    <w:rsid w:val="00DA14CD"/>
    <w:rsid w:val="00DA27B6"/>
    <w:rsid w:val="00DA7D02"/>
    <w:rsid w:val="00DC3C8A"/>
    <w:rsid w:val="00DD62F6"/>
    <w:rsid w:val="00DD7E97"/>
    <w:rsid w:val="00DE740E"/>
    <w:rsid w:val="00DF42DA"/>
    <w:rsid w:val="00E03AFD"/>
    <w:rsid w:val="00E0485E"/>
    <w:rsid w:val="00E06DFC"/>
    <w:rsid w:val="00E23FB0"/>
    <w:rsid w:val="00E41D55"/>
    <w:rsid w:val="00E46243"/>
    <w:rsid w:val="00E55278"/>
    <w:rsid w:val="00E66534"/>
    <w:rsid w:val="00E719D1"/>
    <w:rsid w:val="00E71A35"/>
    <w:rsid w:val="00E72F6C"/>
    <w:rsid w:val="00E80113"/>
    <w:rsid w:val="00EA09F9"/>
    <w:rsid w:val="00EA1673"/>
    <w:rsid w:val="00EB7D74"/>
    <w:rsid w:val="00EC23C7"/>
    <w:rsid w:val="00ED00B7"/>
    <w:rsid w:val="00EF1341"/>
    <w:rsid w:val="00EF44E6"/>
    <w:rsid w:val="00F012FA"/>
    <w:rsid w:val="00F055D3"/>
    <w:rsid w:val="00F129DD"/>
    <w:rsid w:val="00F1503A"/>
    <w:rsid w:val="00F16D0F"/>
    <w:rsid w:val="00F32789"/>
    <w:rsid w:val="00F71D53"/>
    <w:rsid w:val="00F731F5"/>
    <w:rsid w:val="00F75F59"/>
    <w:rsid w:val="00F8201E"/>
    <w:rsid w:val="00FC046F"/>
    <w:rsid w:val="00FC6A11"/>
    <w:rsid w:val="00FC77EC"/>
    <w:rsid w:val="00FD1296"/>
    <w:rsid w:val="00FD334A"/>
    <w:rsid w:val="00FD6AE3"/>
    <w:rsid w:val="00FF1C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paragraph" w:customStyle="1" w:styleId="Default">
    <w:name w:val="Default"/>
    <w:rsid w:val="002174E2"/>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28AD31-4B91-4621-90A4-E1E2D08D67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1373</Words>
  <Characters>7829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Ben Taylor</cp:lastModifiedBy>
  <cp:revision>2</cp:revision>
  <cp:lastPrinted>2020-03-11T10:54:00Z</cp:lastPrinted>
  <dcterms:created xsi:type="dcterms:W3CDTF">2020-12-23T15:23:00Z</dcterms:created>
  <dcterms:modified xsi:type="dcterms:W3CDTF">2020-12-23T15:23:00Z</dcterms:modified>
</cp:coreProperties>
</file>