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2B828B78" w14:textId="77777777" w:rsidTr="00504440">
        <w:trPr>
          <w:jc w:val="center"/>
        </w:trPr>
        <w:tc>
          <w:tcPr>
            <w:tcW w:w="9555" w:type="dxa"/>
            <w:gridSpan w:val="14"/>
            <w:tcMar>
              <w:top w:w="57" w:type="dxa"/>
              <w:bottom w:w="57" w:type="dxa"/>
            </w:tcMar>
          </w:tcPr>
          <w:p w14:paraId="18F5DF41"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782657D7" w14:textId="77777777" w:rsidTr="00504440">
        <w:trPr>
          <w:trHeight w:val="535"/>
          <w:jc w:val="center"/>
        </w:trPr>
        <w:tc>
          <w:tcPr>
            <w:tcW w:w="1296" w:type="dxa"/>
            <w:tcMar>
              <w:top w:w="57" w:type="dxa"/>
              <w:bottom w:w="57" w:type="dxa"/>
            </w:tcMar>
          </w:tcPr>
          <w:p w14:paraId="4A2D3FAD" w14:textId="77777777" w:rsidR="004936A6" w:rsidRDefault="004936A6" w:rsidP="00D2449B">
            <w:pPr>
              <w:jc w:val="center"/>
              <w:rPr>
                <w:rFonts w:ascii="Calibri" w:hAnsi="Calibri"/>
                <w:b/>
                <w:szCs w:val="22"/>
              </w:rPr>
            </w:pPr>
            <w:r w:rsidRPr="008C75E4">
              <w:rPr>
                <w:rFonts w:ascii="Calibri" w:hAnsi="Calibri"/>
                <w:b/>
                <w:szCs w:val="22"/>
              </w:rPr>
              <w:t>Signed:</w:t>
            </w:r>
          </w:p>
          <w:p w14:paraId="44F0BBD2" w14:textId="77777777" w:rsidR="00454754" w:rsidRPr="008C75E4" w:rsidRDefault="00454754" w:rsidP="00D2449B">
            <w:pPr>
              <w:jc w:val="center"/>
              <w:rPr>
                <w:rFonts w:ascii="Calibri" w:hAnsi="Calibri"/>
                <w:b/>
                <w:szCs w:val="22"/>
              </w:rPr>
            </w:pPr>
          </w:p>
        </w:tc>
        <w:tc>
          <w:tcPr>
            <w:tcW w:w="900" w:type="dxa"/>
          </w:tcPr>
          <w:p w14:paraId="62623750"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6CF0D199"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6DA5DD1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0F203ED6" w14:textId="77777777" w:rsidR="004936A6" w:rsidRPr="008C75E4" w:rsidRDefault="00F31975" w:rsidP="00D2449B">
            <w:pPr>
              <w:jc w:val="center"/>
              <w:rPr>
                <w:rFonts w:ascii="Calibri" w:hAnsi="Calibri"/>
                <w:b/>
                <w:szCs w:val="22"/>
              </w:rPr>
            </w:pPr>
            <w:r>
              <w:rPr>
                <w:rFonts w:ascii="Calibri" w:hAnsi="Calibri"/>
                <w:b/>
                <w:szCs w:val="22"/>
              </w:rPr>
              <w:t>18</w:t>
            </w:r>
            <w:r w:rsidR="008A2403">
              <w:rPr>
                <w:rFonts w:ascii="Calibri" w:hAnsi="Calibri"/>
                <w:b/>
                <w:szCs w:val="22"/>
              </w:rPr>
              <w:t>.03.21</w:t>
            </w:r>
          </w:p>
        </w:tc>
        <w:tc>
          <w:tcPr>
            <w:tcW w:w="1098" w:type="dxa"/>
            <w:gridSpan w:val="2"/>
          </w:tcPr>
          <w:p w14:paraId="63174C1E"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0FCFF378" w14:textId="77777777" w:rsidR="004936A6" w:rsidRPr="008C75E4" w:rsidRDefault="004936A6" w:rsidP="00D2449B">
            <w:pPr>
              <w:jc w:val="center"/>
              <w:rPr>
                <w:rFonts w:ascii="Calibri" w:hAnsi="Calibri"/>
                <w:b/>
                <w:szCs w:val="22"/>
              </w:rPr>
            </w:pPr>
          </w:p>
        </w:tc>
        <w:tc>
          <w:tcPr>
            <w:tcW w:w="1030" w:type="dxa"/>
          </w:tcPr>
          <w:p w14:paraId="37BBEA8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3F213621" w14:textId="77777777" w:rsidR="004936A6" w:rsidRPr="008C75E4" w:rsidRDefault="004936A6" w:rsidP="00D2449B">
            <w:pPr>
              <w:jc w:val="center"/>
              <w:rPr>
                <w:rFonts w:ascii="Calibri" w:hAnsi="Calibri"/>
                <w:b/>
                <w:szCs w:val="22"/>
              </w:rPr>
            </w:pPr>
          </w:p>
        </w:tc>
      </w:tr>
      <w:tr w:rsidR="00E06DFC" w:rsidRPr="008C75E4" w14:paraId="35CD77D2"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7204DAB9"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3F47E2B8"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43D17BE5"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568ACBDE" w14:textId="77777777" w:rsidR="00E06DFC" w:rsidRPr="008C75E4" w:rsidRDefault="00F31975"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25BBEF06" w14:textId="77777777" w:rsidR="00E06DFC" w:rsidRPr="008C75E4" w:rsidRDefault="00E06DFC" w:rsidP="00D2449B">
            <w:pPr>
              <w:jc w:val="center"/>
              <w:rPr>
                <w:rFonts w:ascii="Calibri" w:hAnsi="Calibri"/>
                <w:b/>
                <w:szCs w:val="22"/>
              </w:rPr>
            </w:pPr>
          </w:p>
        </w:tc>
      </w:tr>
      <w:tr w:rsidR="008C75E4" w:rsidRPr="008C75E4" w14:paraId="45AA867D" w14:textId="77777777" w:rsidTr="00504440">
        <w:trPr>
          <w:jc w:val="center"/>
        </w:trPr>
        <w:tc>
          <w:tcPr>
            <w:tcW w:w="9555" w:type="dxa"/>
            <w:gridSpan w:val="14"/>
            <w:tcBorders>
              <w:left w:val="nil"/>
              <w:right w:val="nil"/>
            </w:tcBorders>
            <w:tcMar>
              <w:top w:w="57" w:type="dxa"/>
              <w:bottom w:w="57" w:type="dxa"/>
            </w:tcMar>
          </w:tcPr>
          <w:p w14:paraId="267A876F" w14:textId="77777777" w:rsidR="004A5EA9" w:rsidRPr="008C75E4" w:rsidRDefault="004A5EA9" w:rsidP="004A5EA9">
            <w:pPr>
              <w:jc w:val="center"/>
              <w:rPr>
                <w:rFonts w:ascii="Calibri" w:hAnsi="Calibri"/>
                <w:b/>
                <w:szCs w:val="22"/>
              </w:rPr>
            </w:pPr>
          </w:p>
        </w:tc>
      </w:tr>
      <w:tr w:rsidR="008C75E4" w:rsidRPr="008C75E4" w14:paraId="4B86FBAA" w14:textId="77777777" w:rsidTr="00504440">
        <w:trPr>
          <w:jc w:val="center"/>
        </w:trPr>
        <w:tc>
          <w:tcPr>
            <w:tcW w:w="2394" w:type="dxa"/>
            <w:gridSpan w:val="3"/>
            <w:tcMar>
              <w:top w:w="57" w:type="dxa"/>
              <w:bottom w:w="57" w:type="dxa"/>
            </w:tcMar>
          </w:tcPr>
          <w:p w14:paraId="39F64918"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385EF5D6" w14:textId="77777777" w:rsidR="004A5EA9" w:rsidRPr="008C75E4" w:rsidRDefault="008A2403" w:rsidP="008F6B58">
            <w:pPr>
              <w:rPr>
                <w:rFonts w:ascii="Calibri" w:hAnsi="Calibri"/>
                <w:szCs w:val="22"/>
              </w:rPr>
            </w:pPr>
            <w:r>
              <w:rPr>
                <w:rFonts w:ascii="Calibri" w:hAnsi="Calibri"/>
                <w:szCs w:val="22"/>
              </w:rPr>
              <w:t>3/202</w:t>
            </w:r>
            <w:r w:rsidR="00A412A0">
              <w:rPr>
                <w:rFonts w:ascii="Calibri" w:hAnsi="Calibri"/>
                <w:szCs w:val="22"/>
              </w:rPr>
              <w:t>0/0974</w:t>
            </w:r>
          </w:p>
        </w:tc>
        <w:tc>
          <w:tcPr>
            <w:tcW w:w="3700" w:type="dxa"/>
            <w:gridSpan w:val="5"/>
            <w:vMerge w:val="restart"/>
            <w:tcMar>
              <w:top w:w="57" w:type="dxa"/>
              <w:bottom w:w="57" w:type="dxa"/>
            </w:tcMar>
          </w:tcPr>
          <w:p w14:paraId="2E09DD99"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D3559B" wp14:editId="0388009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58AB21A8" w14:textId="77777777" w:rsidTr="00504440">
        <w:trPr>
          <w:jc w:val="center"/>
        </w:trPr>
        <w:tc>
          <w:tcPr>
            <w:tcW w:w="2394" w:type="dxa"/>
            <w:gridSpan w:val="3"/>
            <w:tcMar>
              <w:top w:w="57" w:type="dxa"/>
              <w:bottom w:w="57" w:type="dxa"/>
            </w:tcMar>
          </w:tcPr>
          <w:p w14:paraId="147194BC"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646399F5" w14:textId="77777777" w:rsidR="004A5EA9" w:rsidRPr="008C75E4" w:rsidRDefault="00DF06F5" w:rsidP="002C6277">
            <w:pPr>
              <w:rPr>
                <w:rFonts w:ascii="Calibri" w:hAnsi="Calibri"/>
                <w:szCs w:val="22"/>
              </w:rPr>
            </w:pPr>
            <w:r>
              <w:rPr>
                <w:rFonts w:ascii="Calibri" w:hAnsi="Calibri"/>
                <w:szCs w:val="22"/>
              </w:rPr>
              <w:t>2</w:t>
            </w:r>
            <w:r w:rsidRPr="00DF06F5">
              <w:rPr>
                <w:rFonts w:ascii="Calibri" w:hAnsi="Calibri"/>
                <w:szCs w:val="22"/>
                <w:vertAlign w:val="superscript"/>
              </w:rPr>
              <w:t>nd</w:t>
            </w:r>
            <w:r>
              <w:rPr>
                <w:rFonts w:ascii="Calibri" w:hAnsi="Calibri"/>
                <w:szCs w:val="22"/>
              </w:rPr>
              <w:t xml:space="preserve"> December 2020</w:t>
            </w:r>
          </w:p>
        </w:tc>
        <w:tc>
          <w:tcPr>
            <w:tcW w:w="3700" w:type="dxa"/>
            <w:gridSpan w:val="5"/>
            <w:vMerge/>
            <w:tcMar>
              <w:top w:w="57" w:type="dxa"/>
              <w:bottom w:w="57" w:type="dxa"/>
            </w:tcMar>
          </w:tcPr>
          <w:p w14:paraId="5C16258B" w14:textId="77777777" w:rsidR="004A5EA9" w:rsidRPr="008C75E4" w:rsidRDefault="004A5EA9">
            <w:pPr>
              <w:rPr>
                <w:rFonts w:ascii="Calibri" w:hAnsi="Calibri"/>
                <w:szCs w:val="22"/>
              </w:rPr>
            </w:pPr>
          </w:p>
        </w:tc>
      </w:tr>
      <w:tr w:rsidR="008C75E4" w:rsidRPr="008C75E4" w14:paraId="50DE9259" w14:textId="77777777" w:rsidTr="00504440">
        <w:trPr>
          <w:jc w:val="center"/>
        </w:trPr>
        <w:tc>
          <w:tcPr>
            <w:tcW w:w="2394" w:type="dxa"/>
            <w:gridSpan w:val="3"/>
            <w:tcMar>
              <w:top w:w="57" w:type="dxa"/>
              <w:bottom w:w="57" w:type="dxa"/>
            </w:tcMar>
          </w:tcPr>
          <w:p w14:paraId="383713E8"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34037802"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041FBE92" w14:textId="77777777" w:rsidR="004A5EA9" w:rsidRPr="008C75E4" w:rsidRDefault="004A5EA9">
            <w:pPr>
              <w:rPr>
                <w:rFonts w:ascii="Calibri" w:hAnsi="Calibri"/>
                <w:szCs w:val="22"/>
              </w:rPr>
            </w:pPr>
          </w:p>
        </w:tc>
      </w:tr>
      <w:tr w:rsidR="00FD334A" w:rsidRPr="008C75E4" w14:paraId="563FDD3E"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05A139BA"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5303C6F"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768B3A13" w14:textId="77777777" w:rsidR="00FD334A" w:rsidRPr="008C75E4" w:rsidRDefault="00F31975" w:rsidP="00FD334A">
            <w:pPr>
              <w:rPr>
                <w:rFonts w:ascii="Calibri" w:hAnsi="Calibri"/>
                <w:b/>
                <w:szCs w:val="22"/>
              </w:rPr>
            </w:pPr>
            <w:r>
              <w:rPr>
                <w:rFonts w:ascii="Calibri" w:hAnsi="Calibri"/>
                <w:b/>
                <w:szCs w:val="22"/>
              </w:rPr>
              <w:t>APPROVE</w:t>
            </w:r>
          </w:p>
        </w:tc>
      </w:tr>
      <w:tr w:rsidR="008C75E4" w:rsidRPr="008C75E4" w14:paraId="7DDF4E0A" w14:textId="77777777" w:rsidTr="00504440">
        <w:trPr>
          <w:trHeight w:hRule="exact" w:val="144"/>
          <w:jc w:val="center"/>
        </w:trPr>
        <w:tc>
          <w:tcPr>
            <w:tcW w:w="9555" w:type="dxa"/>
            <w:gridSpan w:val="14"/>
            <w:tcBorders>
              <w:left w:val="nil"/>
              <w:right w:val="nil"/>
            </w:tcBorders>
            <w:tcMar>
              <w:top w:w="57" w:type="dxa"/>
              <w:bottom w:w="57" w:type="dxa"/>
            </w:tcMar>
          </w:tcPr>
          <w:p w14:paraId="6B17748E" w14:textId="77777777" w:rsidR="004A5EA9" w:rsidRPr="00504440" w:rsidRDefault="004A5EA9" w:rsidP="007E0D23">
            <w:pPr>
              <w:tabs>
                <w:tab w:val="left" w:pos="4007"/>
              </w:tabs>
              <w:rPr>
                <w:rFonts w:ascii="Calibri" w:hAnsi="Calibri"/>
                <w:b/>
                <w:sz w:val="4"/>
                <w:szCs w:val="4"/>
              </w:rPr>
            </w:pPr>
          </w:p>
        </w:tc>
      </w:tr>
      <w:tr w:rsidR="008C75E4" w:rsidRPr="008C75E4" w14:paraId="667579C6" w14:textId="77777777" w:rsidTr="00504440">
        <w:trPr>
          <w:jc w:val="center"/>
        </w:trPr>
        <w:tc>
          <w:tcPr>
            <w:tcW w:w="3075" w:type="dxa"/>
            <w:gridSpan w:val="5"/>
            <w:tcMar>
              <w:top w:w="57" w:type="dxa"/>
              <w:bottom w:w="57" w:type="dxa"/>
            </w:tcMar>
          </w:tcPr>
          <w:p w14:paraId="7AC1C98B"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775DD9B2" w14:textId="77777777" w:rsidR="004A5EA9" w:rsidRPr="008C75E4" w:rsidRDefault="00F31975">
            <w:pPr>
              <w:rPr>
                <w:rFonts w:ascii="Calibri" w:hAnsi="Calibri"/>
                <w:szCs w:val="22"/>
              </w:rPr>
            </w:pPr>
            <w:r w:rsidRPr="00F31975">
              <w:rPr>
                <w:rFonts w:ascii="Calibri" w:hAnsi="Calibri"/>
                <w:szCs w:val="22"/>
              </w:rPr>
              <w:t xml:space="preserve">Proposed two-storey extension to north elevation, conversion of existing outbuilding to single-storey </w:t>
            </w:r>
            <w:r w:rsidR="008D03C4">
              <w:rPr>
                <w:rFonts w:ascii="Calibri" w:hAnsi="Calibri"/>
                <w:szCs w:val="22"/>
              </w:rPr>
              <w:t xml:space="preserve">ancillary </w:t>
            </w:r>
            <w:r w:rsidRPr="00F31975">
              <w:rPr>
                <w:rFonts w:ascii="Calibri" w:hAnsi="Calibri"/>
                <w:szCs w:val="22"/>
              </w:rPr>
              <w:t>living accommodation</w:t>
            </w:r>
            <w:r w:rsidR="000D3030">
              <w:rPr>
                <w:rFonts w:ascii="Calibri" w:hAnsi="Calibri"/>
                <w:szCs w:val="22"/>
              </w:rPr>
              <w:t xml:space="preserve"> </w:t>
            </w:r>
            <w:r w:rsidRPr="00F31975">
              <w:rPr>
                <w:rFonts w:ascii="Calibri" w:hAnsi="Calibri"/>
                <w:szCs w:val="22"/>
              </w:rPr>
              <w:t>(annexe) and construction of single-storey link building. Construction of new means of access (with roller-shutter door) to gable end of existing hay barn.</w:t>
            </w:r>
            <w:r>
              <w:rPr>
                <w:rFonts w:ascii="Calibri" w:hAnsi="Calibri"/>
                <w:szCs w:val="22"/>
              </w:rPr>
              <w:t xml:space="preserve"> </w:t>
            </w:r>
          </w:p>
        </w:tc>
      </w:tr>
      <w:tr w:rsidR="008C75E4" w:rsidRPr="008C75E4" w14:paraId="1FFCC8EE"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43CD815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3DE89DDC" w14:textId="77777777" w:rsidR="002A01CF" w:rsidRPr="008C75E4" w:rsidRDefault="00F31975" w:rsidP="00A42E82">
            <w:pPr>
              <w:rPr>
                <w:rFonts w:ascii="Calibri" w:hAnsi="Calibri"/>
                <w:szCs w:val="22"/>
              </w:rPr>
            </w:pPr>
            <w:r w:rsidRPr="00F31975">
              <w:rPr>
                <w:rFonts w:ascii="Calibri" w:hAnsi="Calibri"/>
                <w:szCs w:val="22"/>
              </w:rPr>
              <w:t xml:space="preserve">Listers Farm Settle Road </w:t>
            </w:r>
            <w:proofErr w:type="spellStart"/>
            <w:r w:rsidRPr="00F31975">
              <w:rPr>
                <w:rFonts w:ascii="Calibri" w:hAnsi="Calibri"/>
                <w:szCs w:val="22"/>
              </w:rPr>
              <w:t>Newsholme</w:t>
            </w:r>
            <w:proofErr w:type="spellEnd"/>
            <w:r w:rsidRPr="00F31975">
              <w:rPr>
                <w:rFonts w:ascii="Calibri" w:hAnsi="Calibri"/>
                <w:szCs w:val="22"/>
              </w:rPr>
              <w:t xml:space="preserve"> BB7 4JF</w:t>
            </w:r>
          </w:p>
        </w:tc>
      </w:tr>
      <w:tr w:rsidR="008C75E4" w:rsidRPr="008C75E4" w14:paraId="21E4D501" w14:textId="77777777" w:rsidTr="00504440">
        <w:trPr>
          <w:trHeight w:hRule="exact" w:val="144"/>
          <w:jc w:val="center"/>
        </w:trPr>
        <w:tc>
          <w:tcPr>
            <w:tcW w:w="9555" w:type="dxa"/>
            <w:gridSpan w:val="14"/>
            <w:tcBorders>
              <w:left w:val="nil"/>
              <w:right w:val="nil"/>
            </w:tcBorders>
            <w:tcMar>
              <w:top w:w="57" w:type="dxa"/>
              <w:bottom w:w="57" w:type="dxa"/>
            </w:tcMar>
          </w:tcPr>
          <w:p w14:paraId="3FB51B4B" w14:textId="77777777" w:rsidR="00A95D89" w:rsidRPr="00504440" w:rsidRDefault="00A95D89" w:rsidP="007E0D23">
            <w:pPr>
              <w:tabs>
                <w:tab w:val="left" w:pos="2667"/>
              </w:tabs>
              <w:rPr>
                <w:rFonts w:ascii="Calibri" w:hAnsi="Calibri"/>
                <w:b/>
                <w:sz w:val="4"/>
                <w:szCs w:val="4"/>
              </w:rPr>
            </w:pPr>
          </w:p>
        </w:tc>
      </w:tr>
      <w:tr w:rsidR="008C75E4" w:rsidRPr="008C75E4" w14:paraId="0F917BCD" w14:textId="77777777" w:rsidTr="00504440">
        <w:trPr>
          <w:jc w:val="center"/>
        </w:trPr>
        <w:tc>
          <w:tcPr>
            <w:tcW w:w="3075" w:type="dxa"/>
            <w:gridSpan w:val="5"/>
            <w:tcMar>
              <w:top w:w="57" w:type="dxa"/>
              <w:bottom w:w="57" w:type="dxa"/>
            </w:tcMar>
          </w:tcPr>
          <w:p w14:paraId="62CC4926"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521F2313"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51D88B4"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5B473087" w14:textId="77777777" w:rsidR="003A4376" w:rsidRPr="009825FF" w:rsidRDefault="000B57EC" w:rsidP="009825FF">
            <w:pPr>
              <w:jc w:val="both"/>
              <w:rPr>
                <w:rFonts w:ascii="Calibri" w:hAnsi="Calibri"/>
                <w:szCs w:val="22"/>
              </w:rPr>
            </w:pPr>
            <w:r>
              <w:rPr>
                <w:rFonts w:ascii="Calibri" w:hAnsi="Calibri"/>
                <w:szCs w:val="22"/>
              </w:rPr>
              <w:t>No objections</w:t>
            </w:r>
          </w:p>
        </w:tc>
      </w:tr>
      <w:tr w:rsidR="008C75E4" w:rsidRPr="008C75E4" w14:paraId="7BC1D4BD" w14:textId="77777777" w:rsidTr="00504440">
        <w:trPr>
          <w:trHeight w:hRule="exact" w:val="144"/>
          <w:jc w:val="center"/>
        </w:trPr>
        <w:tc>
          <w:tcPr>
            <w:tcW w:w="9555" w:type="dxa"/>
            <w:gridSpan w:val="14"/>
            <w:tcBorders>
              <w:left w:val="nil"/>
              <w:right w:val="nil"/>
            </w:tcBorders>
            <w:tcMar>
              <w:top w:w="57" w:type="dxa"/>
              <w:bottom w:w="57" w:type="dxa"/>
            </w:tcMar>
          </w:tcPr>
          <w:p w14:paraId="69123D2D" w14:textId="77777777" w:rsidR="00C618DB" w:rsidRPr="00504440" w:rsidRDefault="00C618DB" w:rsidP="006126D1">
            <w:pPr>
              <w:jc w:val="both"/>
              <w:rPr>
                <w:rFonts w:ascii="Calibri" w:hAnsi="Calibri"/>
                <w:bCs/>
                <w:sz w:val="4"/>
                <w:szCs w:val="4"/>
              </w:rPr>
            </w:pPr>
          </w:p>
        </w:tc>
      </w:tr>
      <w:tr w:rsidR="008C75E4" w:rsidRPr="008C75E4" w14:paraId="77442654" w14:textId="77777777" w:rsidTr="00504440">
        <w:trPr>
          <w:jc w:val="center"/>
        </w:trPr>
        <w:tc>
          <w:tcPr>
            <w:tcW w:w="3075" w:type="dxa"/>
            <w:gridSpan w:val="5"/>
            <w:tcMar>
              <w:top w:w="57" w:type="dxa"/>
              <w:bottom w:w="57" w:type="dxa"/>
            </w:tcMar>
          </w:tcPr>
          <w:p w14:paraId="560B5E5B"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0D2FA11A"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4F71857C" w14:textId="77777777" w:rsidTr="00504440">
        <w:trPr>
          <w:jc w:val="center"/>
        </w:trPr>
        <w:tc>
          <w:tcPr>
            <w:tcW w:w="3075" w:type="dxa"/>
            <w:gridSpan w:val="5"/>
            <w:tcMar>
              <w:top w:w="57" w:type="dxa"/>
              <w:bottom w:w="57" w:type="dxa"/>
            </w:tcMar>
          </w:tcPr>
          <w:p w14:paraId="0C7F5416"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0BC9954E" w14:textId="77777777" w:rsidR="002A01CF" w:rsidRPr="008C75E4" w:rsidRDefault="007C2188" w:rsidP="006126D1">
            <w:pPr>
              <w:jc w:val="both"/>
              <w:rPr>
                <w:rFonts w:ascii="Calibri" w:hAnsi="Calibri"/>
                <w:b/>
                <w:szCs w:val="22"/>
              </w:rPr>
            </w:pPr>
            <w:r>
              <w:rPr>
                <w:rFonts w:ascii="Calibri" w:hAnsi="Calibri"/>
                <w:b/>
                <w:szCs w:val="22"/>
              </w:rPr>
              <w:t>No objections</w:t>
            </w:r>
          </w:p>
        </w:tc>
      </w:tr>
      <w:tr w:rsidR="001C3914" w:rsidRPr="008C75E4" w14:paraId="6846257C" w14:textId="77777777" w:rsidTr="00504440">
        <w:trPr>
          <w:jc w:val="center"/>
        </w:trPr>
        <w:tc>
          <w:tcPr>
            <w:tcW w:w="3075" w:type="dxa"/>
            <w:gridSpan w:val="5"/>
            <w:tcMar>
              <w:top w:w="57" w:type="dxa"/>
              <w:bottom w:w="57" w:type="dxa"/>
            </w:tcMar>
          </w:tcPr>
          <w:p w14:paraId="511AD012" w14:textId="77777777" w:rsidR="001C3914" w:rsidRPr="008C75E4" w:rsidRDefault="001C3914" w:rsidP="006126D1">
            <w:pPr>
              <w:jc w:val="both"/>
              <w:rPr>
                <w:rFonts w:ascii="Calibri" w:hAnsi="Calibri"/>
                <w:b/>
                <w:szCs w:val="22"/>
              </w:rPr>
            </w:pPr>
            <w:r>
              <w:rPr>
                <w:rFonts w:ascii="Calibri" w:hAnsi="Calibri"/>
                <w:b/>
                <w:szCs w:val="22"/>
              </w:rPr>
              <w:t>Conservation Officer:</w:t>
            </w:r>
          </w:p>
        </w:tc>
        <w:tc>
          <w:tcPr>
            <w:tcW w:w="6480" w:type="dxa"/>
            <w:gridSpan w:val="9"/>
          </w:tcPr>
          <w:p w14:paraId="0CAD1D35" w14:textId="77777777" w:rsidR="001C3914" w:rsidRDefault="001C3914" w:rsidP="006126D1">
            <w:pPr>
              <w:jc w:val="both"/>
              <w:rPr>
                <w:rFonts w:ascii="Calibri" w:hAnsi="Calibri"/>
                <w:b/>
                <w:szCs w:val="22"/>
              </w:rPr>
            </w:pPr>
            <w:r>
              <w:rPr>
                <w:rFonts w:ascii="Calibri" w:hAnsi="Calibri"/>
                <w:b/>
                <w:szCs w:val="22"/>
              </w:rPr>
              <w:t>No comments received</w:t>
            </w:r>
          </w:p>
        </w:tc>
      </w:tr>
      <w:tr w:rsidR="008C75E4" w:rsidRPr="008C75E4" w14:paraId="67F503B9" w14:textId="77777777" w:rsidTr="00504440">
        <w:trPr>
          <w:jc w:val="center"/>
        </w:trPr>
        <w:tc>
          <w:tcPr>
            <w:tcW w:w="9555" w:type="dxa"/>
            <w:gridSpan w:val="14"/>
            <w:tcMar>
              <w:top w:w="57" w:type="dxa"/>
              <w:bottom w:w="57" w:type="dxa"/>
            </w:tcMar>
          </w:tcPr>
          <w:p w14:paraId="6618FED4" w14:textId="77777777" w:rsidR="00C0704D" w:rsidRPr="008C75E4" w:rsidRDefault="00C0704D" w:rsidP="00FC046F">
            <w:pPr>
              <w:jc w:val="both"/>
              <w:rPr>
                <w:rFonts w:ascii="Calibri" w:hAnsi="Calibri"/>
                <w:szCs w:val="22"/>
              </w:rPr>
            </w:pPr>
          </w:p>
        </w:tc>
      </w:tr>
      <w:tr w:rsidR="008C75E4" w:rsidRPr="008C75E4" w14:paraId="6412DF6A" w14:textId="77777777" w:rsidTr="00504440">
        <w:trPr>
          <w:jc w:val="center"/>
        </w:trPr>
        <w:tc>
          <w:tcPr>
            <w:tcW w:w="3075" w:type="dxa"/>
            <w:gridSpan w:val="5"/>
            <w:tcMar>
              <w:top w:w="57" w:type="dxa"/>
              <w:bottom w:w="57" w:type="dxa"/>
            </w:tcMar>
          </w:tcPr>
          <w:p w14:paraId="3D9CC1F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41C956C7"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F925535"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4311DE84" w14:textId="77777777" w:rsidR="005878FE" w:rsidRPr="00435FC9" w:rsidRDefault="000C5434" w:rsidP="00435FC9">
            <w:pPr>
              <w:jc w:val="both"/>
              <w:rPr>
                <w:rFonts w:ascii="Calibri" w:hAnsi="Calibri"/>
                <w:szCs w:val="22"/>
              </w:rPr>
            </w:pPr>
            <w:r>
              <w:rPr>
                <w:rFonts w:ascii="Calibri" w:hAnsi="Calibri"/>
                <w:szCs w:val="22"/>
              </w:rPr>
              <w:t>None received</w:t>
            </w:r>
          </w:p>
        </w:tc>
      </w:tr>
      <w:tr w:rsidR="008C75E4" w:rsidRPr="008C75E4" w14:paraId="4160D4B1" w14:textId="77777777" w:rsidTr="00504440">
        <w:trPr>
          <w:trHeight w:hRule="exact" w:val="144"/>
          <w:jc w:val="center"/>
        </w:trPr>
        <w:tc>
          <w:tcPr>
            <w:tcW w:w="9555" w:type="dxa"/>
            <w:gridSpan w:val="14"/>
            <w:tcBorders>
              <w:left w:val="nil"/>
              <w:right w:val="nil"/>
            </w:tcBorders>
            <w:tcMar>
              <w:top w:w="57" w:type="dxa"/>
              <w:bottom w:w="57" w:type="dxa"/>
            </w:tcMar>
          </w:tcPr>
          <w:p w14:paraId="4BDB9145" w14:textId="77777777" w:rsidR="00C0704D" w:rsidRPr="00504440" w:rsidRDefault="00C0704D" w:rsidP="006126D1">
            <w:pPr>
              <w:jc w:val="both"/>
              <w:rPr>
                <w:rFonts w:ascii="Calibri" w:hAnsi="Calibri"/>
                <w:sz w:val="4"/>
                <w:szCs w:val="4"/>
              </w:rPr>
            </w:pPr>
          </w:p>
        </w:tc>
      </w:tr>
      <w:tr w:rsidR="008C75E4" w:rsidRPr="008C75E4" w14:paraId="4AFA2F7A" w14:textId="77777777" w:rsidTr="00504440">
        <w:trPr>
          <w:jc w:val="center"/>
        </w:trPr>
        <w:tc>
          <w:tcPr>
            <w:tcW w:w="9555" w:type="dxa"/>
            <w:gridSpan w:val="14"/>
            <w:tcMar>
              <w:top w:w="57" w:type="dxa"/>
              <w:bottom w:w="57" w:type="dxa"/>
            </w:tcMar>
          </w:tcPr>
          <w:p w14:paraId="3ACC4EDC"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A1DF58B" w14:textId="77777777" w:rsidTr="00504440">
        <w:trPr>
          <w:trHeight w:val="864"/>
          <w:jc w:val="center"/>
        </w:trPr>
        <w:tc>
          <w:tcPr>
            <w:tcW w:w="9555" w:type="dxa"/>
            <w:gridSpan w:val="14"/>
            <w:tcMar>
              <w:top w:w="57" w:type="dxa"/>
              <w:bottom w:w="57" w:type="dxa"/>
            </w:tcMar>
          </w:tcPr>
          <w:p w14:paraId="7AFC4830"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3B6A56B8" w14:textId="77777777" w:rsidR="000C5434" w:rsidRPr="000C5434" w:rsidRDefault="000C5434" w:rsidP="000C5434">
            <w:pPr>
              <w:jc w:val="both"/>
              <w:rPr>
                <w:rFonts w:ascii="Calibri" w:hAnsi="Calibri"/>
                <w:szCs w:val="22"/>
              </w:rPr>
            </w:pPr>
            <w:r w:rsidRPr="000C5434">
              <w:rPr>
                <w:rFonts w:ascii="Calibri" w:hAnsi="Calibri"/>
                <w:szCs w:val="22"/>
              </w:rPr>
              <w:t xml:space="preserve">Policy DS1: Development Strategy </w:t>
            </w:r>
          </w:p>
          <w:p w14:paraId="798D9F4A" w14:textId="77777777" w:rsidR="000C5434" w:rsidRPr="000C5434" w:rsidRDefault="000C5434" w:rsidP="000C5434">
            <w:pPr>
              <w:jc w:val="both"/>
              <w:rPr>
                <w:rFonts w:ascii="Calibri" w:hAnsi="Calibri"/>
                <w:szCs w:val="22"/>
              </w:rPr>
            </w:pPr>
            <w:r w:rsidRPr="000C5434">
              <w:rPr>
                <w:rFonts w:ascii="Calibri" w:hAnsi="Calibri"/>
                <w:szCs w:val="22"/>
              </w:rPr>
              <w:t xml:space="preserve">Policy DS2: Sustainable Development </w:t>
            </w:r>
          </w:p>
          <w:p w14:paraId="4924E0E7" w14:textId="77777777" w:rsidR="000C5434" w:rsidRPr="000C5434" w:rsidRDefault="000C5434" w:rsidP="000C5434">
            <w:pPr>
              <w:jc w:val="both"/>
              <w:rPr>
                <w:rFonts w:ascii="Calibri" w:hAnsi="Calibri"/>
                <w:szCs w:val="22"/>
              </w:rPr>
            </w:pPr>
            <w:r w:rsidRPr="000C5434">
              <w:rPr>
                <w:rFonts w:ascii="Calibri" w:hAnsi="Calibri"/>
                <w:szCs w:val="22"/>
              </w:rPr>
              <w:t xml:space="preserve">Policy EN2: Landscape </w:t>
            </w:r>
          </w:p>
          <w:p w14:paraId="26D4E40C" w14:textId="77777777" w:rsidR="000C5434" w:rsidRPr="000C5434" w:rsidRDefault="000C5434" w:rsidP="000C5434">
            <w:pPr>
              <w:jc w:val="both"/>
              <w:rPr>
                <w:rFonts w:ascii="Calibri" w:hAnsi="Calibri"/>
                <w:szCs w:val="22"/>
              </w:rPr>
            </w:pPr>
            <w:r w:rsidRPr="000C5434">
              <w:rPr>
                <w:rFonts w:ascii="Calibri" w:hAnsi="Calibri"/>
                <w:szCs w:val="22"/>
              </w:rPr>
              <w:t xml:space="preserve">Policy EN4: Biodiversity and Geodiversity </w:t>
            </w:r>
          </w:p>
          <w:p w14:paraId="503D69F0" w14:textId="77777777" w:rsidR="000C5434" w:rsidRPr="000C5434" w:rsidRDefault="000C5434" w:rsidP="000C5434">
            <w:pPr>
              <w:jc w:val="both"/>
              <w:rPr>
                <w:rFonts w:ascii="Calibri" w:hAnsi="Calibri"/>
                <w:szCs w:val="22"/>
              </w:rPr>
            </w:pPr>
            <w:r w:rsidRPr="000C5434">
              <w:rPr>
                <w:rFonts w:ascii="Calibri" w:hAnsi="Calibri"/>
                <w:szCs w:val="22"/>
              </w:rPr>
              <w:t xml:space="preserve">Policy EN5: Heritage Assets </w:t>
            </w:r>
          </w:p>
          <w:p w14:paraId="5F160443" w14:textId="77777777" w:rsidR="000C5434" w:rsidRPr="000C5434" w:rsidRDefault="000C5434" w:rsidP="000C5434">
            <w:pPr>
              <w:jc w:val="both"/>
              <w:rPr>
                <w:rFonts w:ascii="Calibri" w:hAnsi="Calibri"/>
                <w:szCs w:val="22"/>
              </w:rPr>
            </w:pPr>
            <w:r w:rsidRPr="000C5434">
              <w:rPr>
                <w:rFonts w:ascii="Calibri" w:hAnsi="Calibri"/>
                <w:szCs w:val="22"/>
              </w:rPr>
              <w:t xml:space="preserve">Policy DMG1: General Considerations </w:t>
            </w:r>
          </w:p>
          <w:p w14:paraId="6AAE63A4" w14:textId="77777777" w:rsidR="000C5434" w:rsidRPr="000C5434" w:rsidRDefault="000C5434" w:rsidP="000C5434">
            <w:pPr>
              <w:jc w:val="both"/>
              <w:rPr>
                <w:rFonts w:ascii="Calibri" w:hAnsi="Calibri"/>
                <w:szCs w:val="22"/>
              </w:rPr>
            </w:pPr>
            <w:r w:rsidRPr="000C5434">
              <w:rPr>
                <w:rFonts w:ascii="Calibri" w:hAnsi="Calibri"/>
                <w:szCs w:val="22"/>
              </w:rPr>
              <w:t xml:space="preserve">Policy DMG2: Strategic Considerations </w:t>
            </w:r>
          </w:p>
          <w:p w14:paraId="3F317A99" w14:textId="77777777" w:rsidR="000C5434" w:rsidRPr="000C5434" w:rsidRDefault="000C5434" w:rsidP="000C5434">
            <w:pPr>
              <w:jc w:val="both"/>
              <w:rPr>
                <w:rFonts w:ascii="Calibri" w:hAnsi="Calibri"/>
                <w:szCs w:val="22"/>
              </w:rPr>
            </w:pPr>
            <w:r w:rsidRPr="000C5434">
              <w:rPr>
                <w:rFonts w:ascii="Calibri" w:hAnsi="Calibri"/>
                <w:szCs w:val="22"/>
              </w:rPr>
              <w:t xml:space="preserve">Policy DMG3: Transport and Mobility </w:t>
            </w:r>
          </w:p>
          <w:p w14:paraId="68390843" w14:textId="77777777" w:rsidR="000C5434" w:rsidRPr="000C5434" w:rsidRDefault="000C5434" w:rsidP="000C5434">
            <w:pPr>
              <w:jc w:val="both"/>
              <w:rPr>
                <w:rFonts w:ascii="Calibri" w:hAnsi="Calibri"/>
                <w:szCs w:val="22"/>
              </w:rPr>
            </w:pPr>
            <w:r w:rsidRPr="000C5434">
              <w:rPr>
                <w:rFonts w:ascii="Calibri" w:hAnsi="Calibri"/>
                <w:szCs w:val="22"/>
              </w:rPr>
              <w:t xml:space="preserve">Policy DME1: Protecting Trees and Woodlands </w:t>
            </w:r>
          </w:p>
          <w:p w14:paraId="6EFED385" w14:textId="77777777" w:rsidR="000C5434" w:rsidRPr="000C5434" w:rsidRDefault="000C5434" w:rsidP="000C5434">
            <w:pPr>
              <w:jc w:val="both"/>
              <w:rPr>
                <w:rFonts w:ascii="Calibri" w:hAnsi="Calibri"/>
                <w:szCs w:val="22"/>
              </w:rPr>
            </w:pPr>
            <w:r w:rsidRPr="000C5434">
              <w:rPr>
                <w:rFonts w:ascii="Calibri" w:hAnsi="Calibri"/>
                <w:szCs w:val="22"/>
              </w:rPr>
              <w:t xml:space="preserve">Policy DME2: Landscape and Townscape Protection </w:t>
            </w:r>
          </w:p>
          <w:p w14:paraId="410585B6" w14:textId="77777777" w:rsidR="000C5434" w:rsidRPr="000C5434" w:rsidRDefault="000C5434" w:rsidP="000C5434">
            <w:pPr>
              <w:jc w:val="both"/>
              <w:rPr>
                <w:rFonts w:ascii="Calibri" w:hAnsi="Calibri"/>
                <w:szCs w:val="22"/>
              </w:rPr>
            </w:pPr>
            <w:r w:rsidRPr="000C5434">
              <w:rPr>
                <w:rFonts w:ascii="Calibri" w:hAnsi="Calibri"/>
                <w:szCs w:val="22"/>
              </w:rPr>
              <w:t xml:space="preserve">Policy DME3: Site and Species Protection and Conservation </w:t>
            </w:r>
          </w:p>
          <w:p w14:paraId="0BE75C48" w14:textId="77777777" w:rsidR="000C5434" w:rsidRPr="000C5434" w:rsidRDefault="000C5434" w:rsidP="000C5434">
            <w:pPr>
              <w:jc w:val="both"/>
              <w:rPr>
                <w:rFonts w:ascii="Calibri" w:hAnsi="Calibri"/>
                <w:szCs w:val="22"/>
              </w:rPr>
            </w:pPr>
            <w:r w:rsidRPr="000C5434">
              <w:rPr>
                <w:rFonts w:ascii="Calibri" w:hAnsi="Calibri"/>
                <w:szCs w:val="22"/>
              </w:rPr>
              <w:t xml:space="preserve">Policy DME4: Protecting Heritage Assets </w:t>
            </w:r>
          </w:p>
          <w:p w14:paraId="45CBDC5F" w14:textId="77777777" w:rsidR="000C5434" w:rsidRPr="000C5434" w:rsidRDefault="000C5434" w:rsidP="000C5434">
            <w:pPr>
              <w:jc w:val="both"/>
              <w:rPr>
                <w:rFonts w:ascii="Calibri" w:hAnsi="Calibri"/>
                <w:szCs w:val="22"/>
              </w:rPr>
            </w:pPr>
            <w:r w:rsidRPr="000C5434">
              <w:rPr>
                <w:rFonts w:ascii="Calibri" w:hAnsi="Calibri"/>
                <w:szCs w:val="22"/>
              </w:rPr>
              <w:t xml:space="preserve">Policy DMH3: Dwellings in The Open Countryside &amp; The AONB </w:t>
            </w:r>
          </w:p>
          <w:p w14:paraId="38D1F46A" w14:textId="77777777" w:rsidR="000C5434" w:rsidRPr="000C5434" w:rsidRDefault="000C5434" w:rsidP="000C5434">
            <w:pPr>
              <w:jc w:val="both"/>
              <w:rPr>
                <w:rFonts w:ascii="Calibri" w:hAnsi="Calibri"/>
                <w:szCs w:val="22"/>
              </w:rPr>
            </w:pPr>
            <w:r w:rsidRPr="000C5434">
              <w:rPr>
                <w:rFonts w:ascii="Calibri" w:hAnsi="Calibri"/>
                <w:szCs w:val="22"/>
              </w:rPr>
              <w:t xml:space="preserve">Policy DMH4: The Conversion of Barns and Other Buildings to Dwellings </w:t>
            </w:r>
          </w:p>
          <w:p w14:paraId="699A606B" w14:textId="77777777" w:rsidR="000C5434" w:rsidRPr="000C5434" w:rsidRDefault="000C5434" w:rsidP="000C5434">
            <w:pPr>
              <w:jc w:val="both"/>
              <w:rPr>
                <w:rFonts w:ascii="Calibri" w:hAnsi="Calibri"/>
                <w:szCs w:val="22"/>
              </w:rPr>
            </w:pPr>
            <w:r w:rsidRPr="000C5434">
              <w:rPr>
                <w:rFonts w:ascii="Calibri" w:hAnsi="Calibri"/>
                <w:szCs w:val="22"/>
              </w:rPr>
              <w:t xml:space="preserve">Policy DMH5: Residential and Curtilage Extensions </w:t>
            </w:r>
          </w:p>
          <w:p w14:paraId="6271E7DF" w14:textId="77777777" w:rsidR="00D4039B" w:rsidRDefault="00D4039B" w:rsidP="000C5434">
            <w:pPr>
              <w:jc w:val="both"/>
              <w:rPr>
                <w:rFonts w:ascii="Calibri" w:hAnsi="Calibri"/>
                <w:b/>
                <w:szCs w:val="22"/>
              </w:rPr>
            </w:pPr>
            <w:r>
              <w:rPr>
                <w:rFonts w:ascii="Calibri" w:hAnsi="Calibri"/>
                <w:b/>
                <w:szCs w:val="22"/>
              </w:rPr>
              <w:t>S</w:t>
            </w:r>
            <w:r w:rsidRPr="00D4039B">
              <w:rPr>
                <w:rFonts w:ascii="Calibri" w:hAnsi="Calibri"/>
                <w:b/>
                <w:szCs w:val="22"/>
              </w:rPr>
              <w:t>ection</w:t>
            </w:r>
            <w:r>
              <w:rPr>
                <w:rFonts w:ascii="Calibri" w:hAnsi="Calibri"/>
                <w:b/>
                <w:szCs w:val="22"/>
              </w:rPr>
              <w:t>s</w:t>
            </w:r>
            <w:r w:rsidRPr="00D4039B">
              <w:rPr>
                <w:rFonts w:ascii="Calibri" w:hAnsi="Calibri"/>
                <w:b/>
                <w:szCs w:val="22"/>
              </w:rPr>
              <w:t xml:space="preserve"> 16 and 72 of the Planning (Listed Buildings and Conservation Areas) Act 1990</w:t>
            </w:r>
          </w:p>
          <w:p w14:paraId="46D951A5" w14:textId="77777777" w:rsidR="00D4039B" w:rsidRPr="008C75E4" w:rsidRDefault="00D4039B" w:rsidP="000C5434">
            <w:pPr>
              <w:jc w:val="both"/>
              <w:rPr>
                <w:rFonts w:ascii="Calibri" w:hAnsi="Calibri"/>
                <w:b/>
                <w:szCs w:val="22"/>
              </w:rPr>
            </w:pPr>
          </w:p>
        </w:tc>
      </w:tr>
      <w:tr w:rsidR="008C75E4" w:rsidRPr="008C75E4" w14:paraId="5F808117"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0A619DBB" w14:textId="77777777" w:rsidR="00C0704D" w:rsidRPr="008C75E4"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5DECC64E" w14:textId="77777777" w:rsidR="00101855" w:rsidRPr="001946E0" w:rsidRDefault="000C5434" w:rsidP="00454754">
            <w:pPr>
              <w:pStyle w:val="PLANNING"/>
              <w:rPr>
                <w:rFonts w:ascii="Calibri" w:hAnsi="Calibri"/>
                <w:bCs/>
                <w:szCs w:val="22"/>
              </w:rPr>
            </w:pPr>
            <w:r>
              <w:rPr>
                <w:rFonts w:ascii="Calibri" w:hAnsi="Calibri"/>
                <w:bCs/>
                <w:szCs w:val="22"/>
              </w:rPr>
              <w:t>None relevant</w:t>
            </w:r>
          </w:p>
        </w:tc>
      </w:tr>
      <w:tr w:rsidR="008C75E4" w:rsidRPr="008C75E4" w14:paraId="77BA5A31" w14:textId="77777777" w:rsidTr="00504440">
        <w:trPr>
          <w:trHeight w:hRule="exact" w:val="144"/>
          <w:jc w:val="center"/>
        </w:trPr>
        <w:tc>
          <w:tcPr>
            <w:tcW w:w="9555" w:type="dxa"/>
            <w:gridSpan w:val="14"/>
            <w:tcBorders>
              <w:left w:val="nil"/>
              <w:right w:val="nil"/>
            </w:tcBorders>
            <w:tcMar>
              <w:top w:w="57" w:type="dxa"/>
              <w:bottom w:w="57" w:type="dxa"/>
            </w:tcMar>
          </w:tcPr>
          <w:p w14:paraId="5FE538A1" w14:textId="77777777" w:rsidR="003F16AA" w:rsidRPr="00504440" w:rsidRDefault="003F16AA" w:rsidP="00504440">
            <w:pPr>
              <w:rPr>
                <w:sz w:val="4"/>
                <w:szCs w:val="4"/>
              </w:rPr>
            </w:pPr>
          </w:p>
        </w:tc>
      </w:tr>
      <w:tr w:rsidR="008C75E4" w:rsidRPr="008C75E4" w14:paraId="3174A36C" w14:textId="77777777" w:rsidTr="00504440">
        <w:trPr>
          <w:jc w:val="center"/>
        </w:trPr>
        <w:tc>
          <w:tcPr>
            <w:tcW w:w="9555" w:type="dxa"/>
            <w:gridSpan w:val="14"/>
            <w:tcMar>
              <w:top w:w="57" w:type="dxa"/>
              <w:bottom w:w="57" w:type="dxa"/>
            </w:tcMar>
          </w:tcPr>
          <w:p w14:paraId="4323049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1D2B246" w14:textId="77777777" w:rsidTr="00504440">
        <w:trPr>
          <w:trHeight w:val="1152"/>
          <w:jc w:val="center"/>
        </w:trPr>
        <w:tc>
          <w:tcPr>
            <w:tcW w:w="9555" w:type="dxa"/>
            <w:gridSpan w:val="14"/>
            <w:tcMar>
              <w:top w:w="57" w:type="dxa"/>
              <w:bottom w:w="57" w:type="dxa"/>
            </w:tcMar>
          </w:tcPr>
          <w:p w14:paraId="62AE3C66"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15010E9" w14:textId="77777777" w:rsidR="000C5434" w:rsidRDefault="004C342B" w:rsidP="00454754">
            <w:pPr>
              <w:pStyle w:val="Header"/>
              <w:tabs>
                <w:tab w:val="clear" w:pos="4153"/>
                <w:tab w:val="clear" w:pos="8306"/>
              </w:tabs>
              <w:contextualSpacing/>
              <w:jc w:val="both"/>
              <w:rPr>
                <w:rFonts w:ascii="Calibri" w:hAnsi="Calibri"/>
                <w:szCs w:val="22"/>
              </w:rPr>
            </w:pPr>
            <w:r w:rsidRPr="004C342B">
              <w:rPr>
                <w:rFonts w:ascii="Calibri" w:hAnsi="Calibri"/>
                <w:szCs w:val="22"/>
              </w:rPr>
              <w:t>Lister’s farm is a family run farm located adjacent to Settle Road</w:t>
            </w:r>
            <w:r w:rsidR="00BE6AA6">
              <w:rPr>
                <w:rFonts w:ascii="Calibri" w:hAnsi="Calibri"/>
                <w:szCs w:val="22"/>
              </w:rPr>
              <w:t xml:space="preserve"> just past a railway bridge which crosses over the road</w:t>
            </w:r>
            <w:r w:rsidRPr="004C342B">
              <w:rPr>
                <w:rFonts w:ascii="Calibri" w:hAnsi="Calibri"/>
                <w:szCs w:val="22"/>
              </w:rPr>
              <w:t xml:space="preserve">. It comprises a </w:t>
            </w:r>
            <w:proofErr w:type="gramStart"/>
            <w:r w:rsidRPr="004C342B">
              <w:rPr>
                <w:rFonts w:ascii="Calibri" w:hAnsi="Calibri"/>
                <w:szCs w:val="22"/>
              </w:rPr>
              <w:t>farm house</w:t>
            </w:r>
            <w:proofErr w:type="gramEnd"/>
            <w:r w:rsidRPr="004C342B">
              <w:rPr>
                <w:rFonts w:ascii="Calibri" w:hAnsi="Calibri"/>
                <w:szCs w:val="22"/>
              </w:rPr>
              <w:t xml:space="preserve"> and several</w:t>
            </w:r>
            <w:r w:rsidR="00917622">
              <w:rPr>
                <w:rFonts w:ascii="Calibri" w:hAnsi="Calibri"/>
                <w:szCs w:val="22"/>
              </w:rPr>
              <w:t xml:space="preserve"> traditional and modern</w:t>
            </w:r>
            <w:r w:rsidRPr="004C342B">
              <w:rPr>
                <w:rFonts w:ascii="Calibri" w:hAnsi="Calibri"/>
                <w:szCs w:val="22"/>
              </w:rPr>
              <w:t xml:space="preserve"> farm buildings</w:t>
            </w:r>
            <w:r w:rsidR="00917622">
              <w:rPr>
                <w:rFonts w:ascii="Calibri" w:hAnsi="Calibri"/>
                <w:szCs w:val="22"/>
              </w:rPr>
              <w:t xml:space="preserve"> </w:t>
            </w:r>
            <w:r w:rsidR="00BE6AA6">
              <w:rPr>
                <w:rFonts w:ascii="Calibri" w:hAnsi="Calibri"/>
                <w:szCs w:val="22"/>
              </w:rPr>
              <w:t>located in a relatively low lying position. The site is, sandwiched</w:t>
            </w:r>
            <w:r>
              <w:rPr>
                <w:rFonts w:ascii="Calibri" w:hAnsi="Calibri"/>
                <w:szCs w:val="22"/>
              </w:rPr>
              <w:t xml:space="preserve"> between the A682 and the railway line</w:t>
            </w:r>
            <w:r w:rsidR="00BE6AA6">
              <w:rPr>
                <w:rFonts w:ascii="Calibri" w:hAnsi="Calibri"/>
                <w:szCs w:val="22"/>
              </w:rPr>
              <w:t xml:space="preserve"> which is elevated at the top of an embankment</w:t>
            </w:r>
            <w:r>
              <w:rPr>
                <w:rFonts w:ascii="Calibri" w:hAnsi="Calibri"/>
                <w:szCs w:val="22"/>
              </w:rPr>
              <w:t xml:space="preserve"> close to the rear</w:t>
            </w:r>
            <w:r w:rsidR="00BE6AA6">
              <w:rPr>
                <w:rFonts w:ascii="Calibri" w:hAnsi="Calibri"/>
                <w:szCs w:val="22"/>
              </w:rPr>
              <w:t xml:space="preserve"> garden boundary</w:t>
            </w:r>
            <w:r>
              <w:rPr>
                <w:rFonts w:ascii="Calibri" w:hAnsi="Calibri"/>
                <w:szCs w:val="22"/>
              </w:rPr>
              <w:t xml:space="preserve">. Beyond this is a strip of fields before the land adjoins the River </w:t>
            </w:r>
            <w:proofErr w:type="spellStart"/>
            <w:r>
              <w:rPr>
                <w:rFonts w:ascii="Calibri" w:hAnsi="Calibri"/>
                <w:szCs w:val="22"/>
              </w:rPr>
              <w:t>Ribble</w:t>
            </w:r>
            <w:proofErr w:type="spellEnd"/>
            <w:r>
              <w:rPr>
                <w:rFonts w:ascii="Calibri" w:hAnsi="Calibri"/>
                <w:szCs w:val="22"/>
              </w:rPr>
              <w:t>. The site is not within a settlement boundary and</w:t>
            </w:r>
            <w:r w:rsidR="00BE6AA6">
              <w:rPr>
                <w:rFonts w:ascii="Calibri" w:hAnsi="Calibri"/>
                <w:szCs w:val="22"/>
              </w:rPr>
              <w:t xml:space="preserve"> the area is rural in character but there are several other farms and small clusters of dwellings in close proximity. </w:t>
            </w:r>
          </w:p>
          <w:p w14:paraId="07A59E27" w14:textId="77777777" w:rsidR="00BE6AA6" w:rsidRDefault="00BE6AA6" w:rsidP="00454754">
            <w:pPr>
              <w:pStyle w:val="Header"/>
              <w:tabs>
                <w:tab w:val="clear" w:pos="4153"/>
                <w:tab w:val="clear" w:pos="8306"/>
              </w:tabs>
              <w:contextualSpacing/>
              <w:jc w:val="both"/>
              <w:rPr>
                <w:rFonts w:ascii="Calibri" w:hAnsi="Calibri"/>
                <w:szCs w:val="22"/>
              </w:rPr>
            </w:pPr>
          </w:p>
          <w:p w14:paraId="77B0FA08" w14:textId="77777777" w:rsidR="00BE6AA6" w:rsidRDefault="00BE6AA6" w:rsidP="00454754">
            <w:pPr>
              <w:pStyle w:val="Header"/>
              <w:tabs>
                <w:tab w:val="clear" w:pos="4153"/>
                <w:tab w:val="clear" w:pos="8306"/>
              </w:tabs>
              <w:contextualSpacing/>
              <w:jc w:val="both"/>
              <w:rPr>
                <w:rFonts w:ascii="Calibri" w:hAnsi="Calibri"/>
                <w:szCs w:val="22"/>
              </w:rPr>
            </w:pPr>
            <w:r>
              <w:rPr>
                <w:rFonts w:ascii="Calibri" w:hAnsi="Calibri"/>
                <w:szCs w:val="22"/>
              </w:rPr>
              <w:t xml:space="preserve">It is understood that a riding school has operated from the premises in the past and the design and access statement explains that the family rear horses and ponies. </w:t>
            </w:r>
          </w:p>
          <w:p w14:paraId="5B750A21" w14:textId="77777777" w:rsidR="00BE6AA6" w:rsidRDefault="00BE6AA6" w:rsidP="00454754">
            <w:pPr>
              <w:pStyle w:val="Header"/>
              <w:tabs>
                <w:tab w:val="clear" w:pos="4153"/>
                <w:tab w:val="clear" w:pos="8306"/>
              </w:tabs>
              <w:contextualSpacing/>
              <w:jc w:val="both"/>
              <w:rPr>
                <w:rFonts w:ascii="Calibri" w:hAnsi="Calibri"/>
                <w:szCs w:val="22"/>
              </w:rPr>
            </w:pPr>
          </w:p>
          <w:p w14:paraId="34126C54" w14:textId="77777777" w:rsidR="00BE6AA6" w:rsidRPr="004C342B" w:rsidRDefault="00BE6AA6" w:rsidP="00454754">
            <w:pPr>
              <w:pStyle w:val="Header"/>
              <w:tabs>
                <w:tab w:val="clear" w:pos="4153"/>
                <w:tab w:val="clear" w:pos="8306"/>
              </w:tabs>
              <w:contextualSpacing/>
              <w:jc w:val="both"/>
              <w:rPr>
                <w:rFonts w:ascii="Calibri" w:hAnsi="Calibri"/>
                <w:szCs w:val="22"/>
              </w:rPr>
            </w:pPr>
            <w:r>
              <w:rPr>
                <w:rFonts w:ascii="Calibri" w:hAnsi="Calibri"/>
                <w:szCs w:val="22"/>
              </w:rPr>
              <w:t>The site is not within the AONB but the farmhouse is a Grade II listed building dating back to 16</w:t>
            </w:r>
            <w:r w:rsidR="00D4039B">
              <w:rPr>
                <w:rFonts w:ascii="Calibri" w:hAnsi="Calibri"/>
                <w:szCs w:val="22"/>
              </w:rPr>
              <w:t>7</w:t>
            </w:r>
            <w:r>
              <w:rPr>
                <w:rFonts w:ascii="Calibri" w:hAnsi="Calibri"/>
                <w:szCs w:val="22"/>
              </w:rPr>
              <w:t xml:space="preserve">5, it is apparent that the building has undergone many alterations particularly to the rear elevation. </w:t>
            </w:r>
          </w:p>
        </w:tc>
      </w:tr>
      <w:tr w:rsidR="008C75E4" w:rsidRPr="008C75E4" w14:paraId="1C63DEBC" w14:textId="77777777" w:rsidTr="00504440">
        <w:trPr>
          <w:trHeight w:val="1152"/>
          <w:jc w:val="center"/>
        </w:trPr>
        <w:tc>
          <w:tcPr>
            <w:tcW w:w="9555" w:type="dxa"/>
            <w:gridSpan w:val="14"/>
            <w:tcMar>
              <w:top w:w="57" w:type="dxa"/>
              <w:bottom w:w="57" w:type="dxa"/>
            </w:tcMar>
          </w:tcPr>
          <w:p w14:paraId="4B0E0683"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741CBCAF" w14:textId="77777777" w:rsidR="00454754" w:rsidRDefault="00CF3F1B"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w:t>
            </w:r>
            <w:r w:rsidR="004D1A8C">
              <w:rPr>
                <w:rFonts w:ascii="Calibri" w:hAnsi="Calibri"/>
                <w:szCs w:val="22"/>
              </w:rPr>
              <w:t xml:space="preserve">consent for the conversion of the single storey outbuilding to an annexe, link extension and two storey extension to the rear of the farm house. It also includes relocation of the existing door to the haybarn to provide safe access. </w:t>
            </w:r>
          </w:p>
          <w:p w14:paraId="0D7F7166" w14:textId="77777777" w:rsidR="004D1A8C" w:rsidRDefault="004D1A8C" w:rsidP="00454754">
            <w:pPr>
              <w:pStyle w:val="Header"/>
              <w:tabs>
                <w:tab w:val="clear" w:pos="4153"/>
                <w:tab w:val="clear" w:pos="8306"/>
              </w:tabs>
              <w:jc w:val="both"/>
              <w:rPr>
                <w:rFonts w:ascii="Calibri" w:hAnsi="Calibri"/>
                <w:szCs w:val="22"/>
              </w:rPr>
            </w:pPr>
          </w:p>
          <w:p w14:paraId="6D2E1837" w14:textId="77777777" w:rsidR="004D1A8C" w:rsidRPr="00F012FA" w:rsidRDefault="004D1A8C" w:rsidP="00454754">
            <w:pPr>
              <w:pStyle w:val="Header"/>
              <w:tabs>
                <w:tab w:val="clear" w:pos="4153"/>
                <w:tab w:val="clear" w:pos="8306"/>
              </w:tabs>
              <w:jc w:val="both"/>
              <w:rPr>
                <w:rFonts w:ascii="Calibri" w:hAnsi="Calibri"/>
                <w:szCs w:val="22"/>
              </w:rPr>
            </w:pPr>
            <w:r>
              <w:rPr>
                <w:rFonts w:ascii="Calibri" w:hAnsi="Calibri"/>
                <w:szCs w:val="22"/>
              </w:rPr>
              <w:t xml:space="preserve">Since submission and following discussions with the agent the </w:t>
            </w:r>
            <w:r w:rsidR="004E4285">
              <w:rPr>
                <w:rFonts w:ascii="Calibri" w:hAnsi="Calibri"/>
                <w:szCs w:val="22"/>
              </w:rPr>
              <w:t>proposal</w:t>
            </w:r>
            <w:r>
              <w:rPr>
                <w:rFonts w:ascii="Calibri" w:hAnsi="Calibri"/>
                <w:szCs w:val="22"/>
              </w:rPr>
              <w:t xml:space="preserve"> has been amended. </w:t>
            </w:r>
            <w:r w:rsidR="00881E7B">
              <w:rPr>
                <w:rFonts w:ascii="Calibri" w:hAnsi="Calibri"/>
                <w:szCs w:val="22"/>
              </w:rPr>
              <w:t xml:space="preserve">The scale of the proposed extensions to the rear of the property have been reduced and simplified in design. </w:t>
            </w:r>
            <w:r>
              <w:rPr>
                <w:rFonts w:ascii="Calibri" w:hAnsi="Calibri"/>
                <w:szCs w:val="22"/>
              </w:rPr>
              <w:t>The new living accommodation is for a family member who is employed in the rural activities at the farm and the applicant has confirmed that they are willing for the new living accommodation to be tied to the primary living accommodation as</w:t>
            </w:r>
            <w:r w:rsidR="009D748A">
              <w:rPr>
                <w:rFonts w:ascii="Calibri" w:hAnsi="Calibri"/>
                <w:szCs w:val="22"/>
              </w:rPr>
              <w:t xml:space="preserve"> an</w:t>
            </w:r>
            <w:r>
              <w:rPr>
                <w:rFonts w:ascii="Calibri" w:hAnsi="Calibri"/>
                <w:szCs w:val="22"/>
              </w:rPr>
              <w:t xml:space="preserve"> </w:t>
            </w:r>
            <w:r w:rsidR="009D748A" w:rsidRPr="009D748A">
              <w:rPr>
                <w:rFonts w:ascii="Calibri" w:hAnsi="Calibri"/>
                <w:szCs w:val="22"/>
              </w:rPr>
              <w:t>annexe to the main house, occupied by a family member who is employed in the business at the farm.</w:t>
            </w:r>
          </w:p>
        </w:tc>
      </w:tr>
      <w:tr w:rsidR="00C214A6" w:rsidRPr="008C75E4" w14:paraId="29002BAA" w14:textId="77777777" w:rsidTr="00504440">
        <w:trPr>
          <w:trHeight w:val="864"/>
          <w:jc w:val="center"/>
        </w:trPr>
        <w:tc>
          <w:tcPr>
            <w:tcW w:w="9555" w:type="dxa"/>
            <w:gridSpan w:val="14"/>
            <w:tcMar>
              <w:top w:w="57" w:type="dxa"/>
              <w:bottom w:w="57" w:type="dxa"/>
            </w:tcMar>
          </w:tcPr>
          <w:p w14:paraId="3E648360"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3110D2BE" w14:textId="77777777" w:rsidR="00D102D9" w:rsidRDefault="004D1A8C" w:rsidP="00454754">
            <w:pPr>
              <w:pStyle w:val="Header"/>
              <w:tabs>
                <w:tab w:val="clear" w:pos="4153"/>
                <w:tab w:val="clear" w:pos="8306"/>
              </w:tabs>
              <w:jc w:val="both"/>
              <w:rPr>
                <w:rFonts w:ascii="Calibri" w:hAnsi="Calibri"/>
                <w:szCs w:val="22"/>
              </w:rPr>
            </w:pPr>
            <w:r>
              <w:rPr>
                <w:rFonts w:ascii="Calibri" w:hAnsi="Calibri"/>
                <w:szCs w:val="22"/>
              </w:rPr>
              <w:t xml:space="preserve">The living accommodation proposed is </w:t>
            </w:r>
            <w:r w:rsidR="00610D42">
              <w:rPr>
                <w:rFonts w:ascii="Calibri" w:hAnsi="Calibri"/>
                <w:szCs w:val="22"/>
              </w:rPr>
              <w:t>self-contained</w:t>
            </w:r>
            <w:r>
              <w:rPr>
                <w:rFonts w:ascii="Calibri" w:hAnsi="Calibri"/>
                <w:szCs w:val="22"/>
              </w:rPr>
              <w:t xml:space="preserve"> and capable of being occupied independently of the farmhouse, therefore </w:t>
            </w:r>
            <w:r w:rsidR="00706B74">
              <w:rPr>
                <w:rFonts w:ascii="Calibri" w:hAnsi="Calibri"/>
                <w:szCs w:val="22"/>
              </w:rPr>
              <w:t>is larger than would normally be</w:t>
            </w:r>
            <w:r>
              <w:rPr>
                <w:rFonts w:ascii="Calibri" w:hAnsi="Calibri"/>
                <w:szCs w:val="22"/>
              </w:rPr>
              <w:t xml:space="preserve"> considered to be an annexe. </w:t>
            </w:r>
            <w:r w:rsidR="00610D42">
              <w:rPr>
                <w:rFonts w:ascii="Calibri" w:hAnsi="Calibri"/>
                <w:szCs w:val="22"/>
              </w:rPr>
              <w:t xml:space="preserve">Furthermore, a link extension to the main house and extension to the main house to provide extra living accommodation is proposed. </w:t>
            </w:r>
            <w:r>
              <w:rPr>
                <w:rFonts w:ascii="Calibri" w:hAnsi="Calibri"/>
                <w:szCs w:val="22"/>
              </w:rPr>
              <w:t xml:space="preserve">As such the proposal must accord with policy DMG2 in order for it to be acceptable. DMG2 states that development outside settlement boundaries will only be approved if it meets at least one of a </w:t>
            </w:r>
            <w:proofErr w:type="gramStart"/>
            <w:r>
              <w:rPr>
                <w:rFonts w:ascii="Calibri" w:hAnsi="Calibri"/>
                <w:szCs w:val="22"/>
              </w:rPr>
              <w:t>list</w:t>
            </w:r>
            <w:proofErr w:type="gramEnd"/>
            <w:r>
              <w:rPr>
                <w:rFonts w:ascii="Calibri" w:hAnsi="Calibri"/>
                <w:szCs w:val="22"/>
              </w:rPr>
              <w:t xml:space="preserve"> of exceptions </w:t>
            </w:r>
            <w:r w:rsidR="003027C2">
              <w:rPr>
                <w:rFonts w:ascii="Calibri" w:hAnsi="Calibri"/>
                <w:szCs w:val="22"/>
              </w:rPr>
              <w:t>two of which are:</w:t>
            </w:r>
          </w:p>
          <w:p w14:paraId="6D7186D5" w14:textId="77777777" w:rsidR="003027C2" w:rsidRDefault="00610D42" w:rsidP="003027C2">
            <w:pPr>
              <w:pStyle w:val="Header"/>
              <w:numPr>
                <w:ilvl w:val="0"/>
                <w:numId w:val="11"/>
              </w:numPr>
              <w:tabs>
                <w:tab w:val="clear" w:pos="4153"/>
                <w:tab w:val="clear" w:pos="8306"/>
              </w:tabs>
              <w:jc w:val="both"/>
              <w:rPr>
                <w:rFonts w:asciiTheme="minorHAnsi" w:hAnsiTheme="minorHAnsi" w:cstheme="minorHAnsi"/>
              </w:rPr>
            </w:pPr>
            <w:r>
              <w:rPr>
                <w:rFonts w:asciiTheme="minorHAnsi" w:hAnsiTheme="minorHAnsi" w:cstheme="minorHAnsi"/>
              </w:rPr>
              <w:t>T</w:t>
            </w:r>
            <w:r w:rsidR="003027C2" w:rsidRPr="003027C2">
              <w:rPr>
                <w:rFonts w:asciiTheme="minorHAnsi" w:hAnsiTheme="minorHAnsi" w:cstheme="minorHAnsi"/>
              </w:rPr>
              <w:t xml:space="preserve">he development is needed for the purposes of forestry or agriculture. </w:t>
            </w:r>
          </w:p>
          <w:p w14:paraId="374E81FB" w14:textId="77777777" w:rsidR="003027C2" w:rsidRPr="003027C2" w:rsidRDefault="00610D42" w:rsidP="003027C2">
            <w:pPr>
              <w:pStyle w:val="Header"/>
              <w:numPr>
                <w:ilvl w:val="0"/>
                <w:numId w:val="11"/>
              </w:numPr>
              <w:tabs>
                <w:tab w:val="clear" w:pos="4153"/>
                <w:tab w:val="clear" w:pos="8306"/>
              </w:tabs>
              <w:jc w:val="both"/>
              <w:rPr>
                <w:rFonts w:asciiTheme="minorHAnsi" w:hAnsiTheme="minorHAnsi" w:cstheme="minorHAnsi"/>
                <w:szCs w:val="22"/>
              </w:rPr>
            </w:pPr>
            <w:r>
              <w:rPr>
                <w:rFonts w:asciiTheme="minorHAnsi" w:hAnsiTheme="minorHAnsi" w:cstheme="minorHAnsi"/>
              </w:rPr>
              <w:t>T</w:t>
            </w:r>
            <w:r w:rsidR="003027C2" w:rsidRPr="003027C2">
              <w:rPr>
                <w:rFonts w:asciiTheme="minorHAnsi" w:hAnsiTheme="minorHAnsi" w:cstheme="minorHAnsi"/>
              </w:rPr>
              <w:t>he development is for local needs housing which meets an identified need and is secured as such.</w:t>
            </w:r>
          </w:p>
          <w:p w14:paraId="59DD438A" w14:textId="77777777" w:rsidR="00610D42" w:rsidRPr="00610D42" w:rsidRDefault="00610D42" w:rsidP="00610D42">
            <w:pPr>
              <w:pStyle w:val="Header"/>
              <w:jc w:val="both"/>
              <w:rPr>
                <w:rFonts w:asciiTheme="minorHAnsi" w:hAnsiTheme="minorHAnsi" w:cstheme="minorHAnsi"/>
                <w:szCs w:val="22"/>
              </w:rPr>
            </w:pPr>
            <w:r>
              <w:rPr>
                <w:rFonts w:asciiTheme="minorHAnsi" w:hAnsiTheme="minorHAnsi" w:cstheme="minorHAnsi"/>
                <w:szCs w:val="22"/>
              </w:rPr>
              <w:t>Furthermore,</w:t>
            </w:r>
            <w:r w:rsidR="003027C2">
              <w:rPr>
                <w:rFonts w:asciiTheme="minorHAnsi" w:hAnsiTheme="minorHAnsi" w:cstheme="minorHAnsi"/>
                <w:szCs w:val="22"/>
              </w:rPr>
              <w:t xml:space="preserve"> Policy DMH3 states that</w:t>
            </w:r>
            <w:r>
              <w:rPr>
                <w:rFonts w:asciiTheme="minorHAnsi" w:hAnsiTheme="minorHAnsi" w:cstheme="minorHAnsi"/>
                <w:szCs w:val="22"/>
              </w:rPr>
              <w:t xml:space="preserve">, </w:t>
            </w:r>
            <w:r w:rsidRPr="00610D42">
              <w:rPr>
                <w:rFonts w:asciiTheme="minorHAnsi" w:hAnsiTheme="minorHAnsi" w:cstheme="minorHAnsi"/>
                <w:szCs w:val="22"/>
              </w:rPr>
              <w:t xml:space="preserve">within areas defined as open countryside or AONB on the proposals map, residential development will be limited </w:t>
            </w:r>
            <w:r w:rsidR="000820CA">
              <w:rPr>
                <w:rFonts w:asciiTheme="minorHAnsi" w:hAnsiTheme="minorHAnsi" w:cstheme="minorHAnsi"/>
                <w:szCs w:val="22"/>
              </w:rPr>
              <w:t>and must</w:t>
            </w:r>
            <w:r>
              <w:rPr>
                <w:rFonts w:asciiTheme="minorHAnsi" w:hAnsiTheme="minorHAnsi" w:cstheme="minorHAnsi"/>
                <w:szCs w:val="22"/>
              </w:rPr>
              <w:t xml:space="preserve"> </w:t>
            </w:r>
            <w:r w:rsidR="000820CA">
              <w:rPr>
                <w:rFonts w:asciiTheme="minorHAnsi" w:hAnsiTheme="minorHAnsi" w:cstheme="minorHAnsi"/>
                <w:szCs w:val="22"/>
              </w:rPr>
              <w:t>meet certain conditions</w:t>
            </w:r>
            <w:r>
              <w:rPr>
                <w:rFonts w:asciiTheme="minorHAnsi" w:hAnsiTheme="minorHAnsi" w:cstheme="minorHAnsi"/>
                <w:szCs w:val="22"/>
              </w:rPr>
              <w:t>, the two relevant criteria are</w:t>
            </w:r>
            <w:r w:rsidRPr="00610D42">
              <w:rPr>
                <w:rFonts w:asciiTheme="minorHAnsi" w:hAnsiTheme="minorHAnsi" w:cstheme="minorHAnsi"/>
                <w:szCs w:val="22"/>
              </w:rPr>
              <w:t>:</w:t>
            </w:r>
          </w:p>
          <w:p w14:paraId="1874D84E" w14:textId="77777777" w:rsidR="00610D42" w:rsidRDefault="00610D42" w:rsidP="00610D42">
            <w:pPr>
              <w:pStyle w:val="Header"/>
              <w:numPr>
                <w:ilvl w:val="0"/>
                <w:numId w:val="12"/>
              </w:numPr>
              <w:jc w:val="both"/>
              <w:rPr>
                <w:rFonts w:asciiTheme="minorHAnsi" w:hAnsiTheme="minorHAnsi" w:cstheme="minorHAnsi"/>
                <w:szCs w:val="22"/>
              </w:rPr>
            </w:pPr>
            <w:r>
              <w:rPr>
                <w:rFonts w:asciiTheme="minorHAnsi" w:hAnsiTheme="minorHAnsi" w:cstheme="minorHAnsi"/>
                <w:szCs w:val="22"/>
              </w:rPr>
              <w:t>D</w:t>
            </w:r>
            <w:r w:rsidRPr="00610D42">
              <w:rPr>
                <w:rFonts w:asciiTheme="minorHAnsi" w:hAnsiTheme="minorHAnsi" w:cstheme="minorHAnsi"/>
                <w:szCs w:val="22"/>
              </w:rPr>
              <w:t xml:space="preserve">evelopment essential for the purposes of agriculture or residential development which meets an identified local need. in assessing any proposal for an agricultural, </w:t>
            </w:r>
            <w:r>
              <w:rPr>
                <w:rFonts w:asciiTheme="minorHAnsi" w:hAnsiTheme="minorHAnsi" w:cstheme="minorHAnsi"/>
                <w:szCs w:val="22"/>
              </w:rPr>
              <w:t>forestry</w:t>
            </w:r>
            <w:r w:rsidRPr="00610D42">
              <w:rPr>
                <w:rFonts w:asciiTheme="minorHAnsi" w:hAnsiTheme="minorHAnsi" w:cstheme="minorHAnsi"/>
                <w:szCs w:val="22"/>
              </w:rPr>
              <w:t xml:space="preserve"> or other essential workers dwellings a functional and financial test will be </w:t>
            </w:r>
            <w:r>
              <w:rPr>
                <w:rFonts w:asciiTheme="minorHAnsi" w:hAnsiTheme="minorHAnsi" w:cstheme="minorHAnsi"/>
                <w:szCs w:val="22"/>
              </w:rPr>
              <w:t>applied</w:t>
            </w:r>
            <w:r w:rsidRPr="00610D42">
              <w:rPr>
                <w:rFonts w:asciiTheme="minorHAnsi" w:hAnsiTheme="minorHAnsi" w:cstheme="minorHAnsi"/>
                <w:szCs w:val="22"/>
              </w:rPr>
              <w:t>.</w:t>
            </w:r>
          </w:p>
          <w:p w14:paraId="559AF3A3" w14:textId="77777777" w:rsidR="003027C2" w:rsidRDefault="00610D42" w:rsidP="00610D42">
            <w:pPr>
              <w:pStyle w:val="Header"/>
              <w:numPr>
                <w:ilvl w:val="0"/>
                <w:numId w:val="12"/>
              </w:numPr>
              <w:jc w:val="both"/>
              <w:rPr>
                <w:rFonts w:asciiTheme="minorHAnsi" w:hAnsiTheme="minorHAnsi" w:cstheme="minorHAnsi"/>
                <w:szCs w:val="22"/>
              </w:rPr>
            </w:pPr>
            <w:r>
              <w:rPr>
                <w:rFonts w:asciiTheme="minorHAnsi" w:hAnsiTheme="minorHAnsi" w:cstheme="minorHAnsi"/>
                <w:szCs w:val="22"/>
              </w:rPr>
              <w:t>T</w:t>
            </w:r>
            <w:r w:rsidRPr="00610D42">
              <w:rPr>
                <w:rFonts w:asciiTheme="minorHAnsi" w:hAnsiTheme="minorHAnsi" w:cstheme="minorHAnsi"/>
                <w:szCs w:val="22"/>
              </w:rPr>
              <w:t xml:space="preserve">he appropriate conversion of buildings to dwellings providing they are suitably located and their form and general design are in keeping with their surroundings. </w:t>
            </w:r>
            <w:r>
              <w:rPr>
                <w:rFonts w:asciiTheme="minorHAnsi" w:hAnsiTheme="minorHAnsi" w:cstheme="minorHAnsi"/>
                <w:szCs w:val="22"/>
              </w:rPr>
              <w:t>B</w:t>
            </w:r>
            <w:r w:rsidRPr="00610D42">
              <w:rPr>
                <w:rFonts w:asciiTheme="minorHAnsi" w:hAnsiTheme="minorHAnsi" w:cstheme="minorHAnsi"/>
                <w:szCs w:val="22"/>
              </w:rPr>
              <w:t>uildings must be structurally sound and capable of conversion without the need for complete or substantial reconstruction.</w:t>
            </w:r>
          </w:p>
          <w:p w14:paraId="3481A31C" w14:textId="77777777" w:rsidR="00610D42" w:rsidRDefault="00610D42" w:rsidP="00610D42">
            <w:pPr>
              <w:pStyle w:val="Header"/>
              <w:jc w:val="both"/>
              <w:rPr>
                <w:rFonts w:asciiTheme="minorHAnsi" w:hAnsiTheme="minorHAnsi" w:cstheme="minorHAnsi"/>
                <w:szCs w:val="22"/>
              </w:rPr>
            </w:pPr>
            <w:r>
              <w:rPr>
                <w:rFonts w:asciiTheme="minorHAnsi" w:hAnsiTheme="minorHAnsi" w:cstheme="minorHAnsi"/>
                <w:szCs w:val="22"/>
              </w:rPr>
              <w:t>In this case the annexe could be considered to accord criteria in DMG2 and DMH3</w:t>
            </w:r>
            <w:r w:rsidR="009D748A">
              <w:rPr>
                <w:rFonts w:asciiTheme="minorHAnsi" w:hAnsiTheme="minorHAnsi" w:cstheme="minorHAnsi"/>
                <w:szCs w:val="22"/>
              </w:rPr>
              <w:t>. It is further justified as</w:t>
            </w:r>
            <w:r>
              <w:rPr>
                <w:rFonts w:asciiTheme="minorHAnsi" w:hAnsiTheme="minorHAnsi" w:cstheme="minorHAnsi"/>
                <w:szCs w:val="22"/>
              </w:rPr>
              <w:t xml:space="preserve"> it is </w:t>
            </w:r>
            <w:r w:rsidR="009D748A">
              <w:rPr>
                <w:rFonts w:asciiTheme="minorHAnsi" w:hAnsiTheme="minorHAnsi" w:cstheme="minorHAnsi"/>
                <w:szCs w:val="22"/>
              </w:rPr>
              <w:t xml:space="preserve">for a family member who is employed at the farm however </w:t>
            </w:r>
            <w:proofErr w:type="gramStart"/>
            <w:r w:rsidR="009D748A">
              <w:rPr>
                <w:rFonts w:asciiTheme="minorHAnsi" w:hAnsiTheme="minorHAnsi" w:cstheme="minorHAnsi"/>
                <w:szCs w:val="22"/>
              </w:rPr>
              <w:t>this issues</w:t>
            </w:r>
            <w:proofErr w:type="gramEnd"/>
            <w:r w:rsidR="009D748A">
              <w:rPr>
                <w:rFonts w:asciiTheme="minorHAnsi" w:hAnsiTheme="minorHAnsi" w:cstheme="minorHAnsi"/>
                <w:szCs w:val="22"/>
              </w:rPr>
              <w:t xml:space="preserve"> is not </w:t>
            </w:r>
            <w:proofErr w:type="spellStart"/>
            <w:r w:rsidR="009D748A">
              <w:rPr>
                <w:rFonts w:asciiTheme="minorHAnsi" w:hAnsiTheme="minorHAnsi" w:cstheme="minorHAnsi"/>
                <w:szCs w:val="22"/>
              </w:rPr>
              <w:t>crtical</w:t>
            </w:r>
            <w:proofErr w:type="spellEnd"/>
            <w:r w:rsidR="009D748A">
              <w:rPr>
                <w:rFonts w:asciiTheme="minorHAnsi" w:hAnsiTheme="minorHAnsi" w:cstheme="minorHAnsi"/>
                <w:szCs w:val="22"/>
              </w:rPr>
              <w:t xml:space="preserve"> providing it remains as </w:t>
            </w:r>
            <w:proofErr w:type="spellStart"/>
            <w:r w:rsidR="009D748A">
              <w:rPr>
                <w:rFonts w:asciiTheme="minorHAnsi" w:hAnsiTheme="minorHAnsi" w:cstheme="minorHAnsi"/>
                <w:szCs w:val="22"/>
              </w:rPr>
              <w:t>a</w:t>
            </w:r>
            <w:proofErr w:type="spellEnd"/>
            <w:r w:rsidR="009D748A">
              <w:rPr>
                <w:rFonts w:asciiTheme="minorHAnsi" w:hAnsiTheme="minorHAnsi" w:cstheme="minorHAnsi"/>
                <w:szCs w:val="22"/>
              </w:rPr>
              <w:t xml:space="preserve"> annexe to the main property. It is also </w:t>
            </w:r>
            <w:r>
              <w:rPr>
                <w:rFonts w:asciiTheme="minorHAnsi" w:hAnsiTheme="minorHAnsi" w:cstheme="minorHAnsi"/>
                <w:szCs w:val="22"/>
              </w:rPr>
              <w:t xml:space="preserve">predominantly a conversion but the additions will allow it to be linked into the main house, this link extension is not considered to be excessive in scale. </w:t>
            </w:r>
          </w:p>
          <w:p w14:paraId="6C5B3C6A" w14:textId="77777777" w:rsidR="00610D42" w:rsidRDefault="00610D42" w:rsidP="00610D42">
            <w:pPr>
              <w:pStyle w:val="Header"/>
              <w:jc w:val="both"/>
              <w:rPr>
                <w:rFonts w:asciiTheme="minorHAnsi" w:hAnsiTheme="minorHAnsi" w:cstheme="minorHAnsi"/>
                <w:szCs w:val="22"/>
              </w:rPr>
            </w:pPr>
          </w:p>
          <w:p w14:paraId="0329A725" w14:textId="77777777" w:rsidR="000820CA" w:rsidRDefault="00610D42" w:rsidP="00610D42">
            <w:pPr>
              <w:pStyle w:val="Header"/>
              <w:jc w:val="both"/>
              <w:rPr>
                <w:rFonts w:asciiTheme="minorHAnsi" w:hAnsiTheme="minorHAnsi" w:cstheme="minorHAnsi"/>
                <w:szCs w:val="22"/>
              </w:rPr>
            </w:pPr>
            <w:r>
              <w:rPr>
                <w:rFonts w:asciiTheme="minorHAnsi" w:hAnsiTheme="minorHAnsi" w:cstheme="minorHAnsi"/>
                <w:szCs w:val="22"/>
              </w:rPr>
              <w:lastRenderedPageBreak/>
              <w:t>With regards to the rear extension to the farmhouse this is acceptable in principle</w:t>
            </w:r>
            <w:r w:rsidR="000820CA">
              <w:rPr>
                <w:rFonts w:asciiTheme="minorHAnsi" w:hAnsiTheme="minorHAnsi" w:cstheme="minorHAnsi"/>
                <w:szCs w:val="22"/>
              </w:rPr>
              <w:t xml:space="preserve"> as a domestic extension ancillary to an existing dwelling house. </w:t>
            </w:r>
            <w:r>
              <w:rPr>
                <w:rFonts w:asciiTheme="minorHAnsi" w:hAnsiTheme="minorHAnsi" w:cstheme="minorHAnsi"/>
                <w:szCs w:val="22"/>
              </w:rPr>
              <w:t xml:space="preserve"> </w:t>
            </w:r>
            <w:r w:rsidR="00452DE3">
              <w:rPr>
                <w:rFonts w:asciiTheme="minorHAnsi" w:hAnsiTheme="minorHAnsi" w:cstheme="minorHAnsi"/>
                <w:szCs w:val="22"/>
              </w:rPr>
              <w:t>Therefore,</w:t>
            </w:r>
            <w:r w:rsidR="00D4039B">
              <w:rPr>
                <w:rFonts w:asciiTheme="minorHAnsi" w:hAnsiTheme="minorHAnsi" w:cstheme="minorHAnsi"/>
                <w:szCs w:val="22"/>
              </w:rPr>
              <w:t xml:space="preserve"> the proposal is considered acceptable in principle subject to controls over occupation and an assessment of the other material planning issues.</w:t>
            </w:r>
          </w:p>
          <w:p w14:paraId="6FFDFB00" w14:textId="77777777" w:rsidR="00D4039B" w:rsidRDefault="00D4039B" w:rsidP="00610D42">
            <w:pPr>
              <w:pStyle w:val="Header"/>
              <w:jc w:val="both"/>
              <w:rPr>
                <w:rFonts w:asciiTheme="minorHAnsi" w:hAnsiTheme="minorHAnsi" w:cstheme="minorHAnsi"/>
                <w:szCs w:val="22"/>
              </w:rPr>
            </w:pPr>
          </w:p>
          <w:p w14:paraId="7D93108E" w14:textId="77777777" w:rsidR="00610D42" w:rsidRPr="003027C2" w:rsidRDefault="000820CA" w:rsidP="00610D42">
            <w:pPr>
              <w:pStyle w:val="Header"/>
              <w:jc w:val="both"/>
              <w:rPr>
                <w:rFonts w:asciiTheme="minorHAnsi" w:hAnsiTheme="minorHAnsi" w:cstheme="minorHAnsi"/>
                <w:szCs w:val="22"/>
              </w:rPr>
            </w:pPr>
            <w:r>
              <w:rPr>
                <w:rFonts w:asciiTheme="minorHAnsi" w:hAnsiTheme="minorHAnsi" w:cstheme="minorHAnsi"/>
                <w:szCs w:val="22"/>
              </w:rPr>
              <w:t xml:space="preserve">Notwithstanding the above matters of principle </w:t>
            </w:r>
            <w:r w:rsidR="00610D42">
              <w:rPr>
                <w:rFonts w:asciiTheme="minorHAnsi" w:hAnsiTheme="minorHAnsi" w:cstheme="minorHAnsi"/>
                <w:szCs w:val="22"/>
              </w:rPr>
              <w:t xml:space="preserve">as the farm is Grade II listed the LPA must accord with their duties under section 16 (for listed building consent) and 72 of the </w:t>
            </w:r>
            <w:r w:rsidR="00610D42" w:rsidRPr="00610D42">
              <w:rPr>
                <w:rFonts w:asciiTheme="minorHAnsi" w:hAnsiTheme="minorHAnsi" w:cstheme="minorHAnsi"/>
                <w:szCs w:val="22"/>
              </w:rPr>
              <w:t xml:space="preserve">Planning (Listed Buildings and Conservation Areas) Act 1990 </w:t>
            </w:r>
            <w:r w:rsidR="00610D42">
              <w:rPr>
                <w:rFonts w:asciiTheme="minorHAnsi" w:hAnsiTheme="minorHAnsi" w:cstheme="minorHAnsi"/>
                <w:szCs w:val="22"/>
              </w:rPr>
              <w:t xml:space="preserve">when considering the development as a whole and ensure that special regard is paid to maintaining or enhancing the character and significance of the heritage asset and its setting.  </w:t>
            </w:r>
          </w:p>
          <w:p w14:paraId="0DEF1B8A" w14:textId="77777777" w:rsidR="004D1A8C" w:rsidRPr="006D7624" w:rsidRDefault="004D1A8C" w:rsidP="00454754">
            <w:pPr>
              <w:pStyle w:val="Header"/>
              <w:tabs>
                <w:tab w:val="clear" w:pos="4153"/>
                <w:tab w:val="clear" w:pos="8306"/>
              </w:tabs>
              <w:jc w:val="both"/>
              <w:rPr>
                <w:rFonts w:ascii="Calibri" w:hAnsi="Calibri"/>
                <w:szCs w:val="22"/>
              </w:rPr>
            </w:pPr>
          </w:p>
        </w:tc>
      </w:tr>
      <w:tr w:rsidR="008C75E4" w:rsidRPr="008C75E4" w14:paraId="500F6144" w14:textId="77777777" w:rsidTr="00504440">
        <w:trPr>
          <w:trHeight w:val="864"/>
          <w:jc w:val="center"/>
        </w:trPr>
        <w:tc>
          <w:tcPr>
            <w:tcW w:w="9555" w:type="dxa"/>
            <w:gridSpan w:val="14"/>
            <w:tcMar>
              <w:top w:w="57" w:type="dxa"/>
              <w:bottom w:w="57" w:type="dxa"/>
            </w:tcMar>
          </w:tcPr>
          <w:p w14:paraId="0697EAE2"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0D1A9694" w14:textId="77777777" w:rsidR="00C6456D" w:rsidRPr="00D23470" w:rsidRDefault="000820CA" w:rsidP="00454754">
            <w:pPr>
              <w:contextualSpacing/>
              <w:jc w:val="both"/>
              <w:rPr>
                <w:rFonts w:ascii="Calibri" w:hAnsi="Calibri"/>
                <w:szCs w:val="22"/>
              </w:rPr>
            </w:pPr>
            <w:r>
              <w:rPr>
                <w:rFonts w:ascii="Calibri" w:hAnsi="Calibri"/>
                <w:szCs w:val="22"/>
              </w:rPr>
              <w:t xml:space="preserve">The buildings on the site are all related to the farm unit and the nearest dwelling to the site is </w:t>
            </w:r>
            <w:r w:rsidR="00A833EE">
              <w:rPr>
                <w:rFonts w:ascii="Calibri" w:hAnsi="Calibri"/>
                <w:szCs w:val="22"/>
              </w:rPr>
              <w:t xml:space="preserve">43 metres away on the opposite side of the road. It is not considered that the development will have any impact on neighbouring amenity. </w:t>
            </w:r>
          </w:p>
        </w:tc>
      </w:tr>
      <w:tr w:rsidR="00610D42" w:rsidRPr="008C75E4" w14:paraId="00F5B1BF" w14:textId="77777777" w:rsidTr="00504440">
        <w:trPr>
          <w:trHeight w:val="864"/>
          <w:jc w:val="center"/>
        </w:trPr>
        <w:tc>
          <w:tcPr>
            <w:tcW w:w="9555" w:type="dxa"/>
            <w:gridSpan w:val="14"/>
            <w:tcMar>
              <w:top w:w="57" w:type="dxa"/>
              <w:bottom w:w="57" w:type="dxa"/>
            </w:tcMar>
          </w:tcPr>
          <w:p w14:paraId="79133BB3" w14:textId="77777777" w:rsidR="009C592E" w:rsidRPr="00B36C26" w:rsidRDefault="009C592E" w:rsidP="009C592E">
            <w:pPr>
              <w:contextualSpacing/>
              <w:jc w:val="both"/>
              <w:rPr>
                <w:rFonts w:ascii="Calibri" w:hAnsi="Calibri"/>
                <w:b/>
                <w:szCs w:val="22"/>
              </w:rPr>
            </w:pPr>
            <w:r w:rsidRPr="00B36C26">
              <w:rPr>
                <w:rFonts w:ascii="Calibri" w:hAnsi="Calibri"/>
                <w:b/>
                <w:szCs w:val="22"/>
              </w:rPr>
              <w:t>Heritage Assets:</w:t>
            </w:r>
          </w:p>
          <w:p w14:paraId="71E64599" w14:textId="77777777" w:rsidR="009C592E" w:rsidRPr="00B36C26" w:rsidRDefault="009C592E" w:rsidP="009C592E">
            <w:pPr>
              <w:contextualSpacing/>
              <w:jc w:val="both"/>
              <w:rPr>
                <w:rFonts w:ascii="Calibri" w:hAnsi="Calibri"/>
                <w:szCs w:val="22"/>
              </w:rPr>
            </w:pPr>
            <w:r w:rsidRPr="00B36C26">
              <w:rPr>
                <w:rFonts w:ascii="Calibri" w:hAnsi="Calibri"/>
                <w:szCs w:val="22"/>
              </w:rPr>
              <w:t>As aforementioned, Listers Farmhouse is a Grade II listed building and is described in the list entry as:</w:t>
            </w:r>
          </w:p>
          <w:p w14:paraId="2A08FD4A" w14:textId="77777777" w:rsidR="009C592E" w:rsidRPr="00B36C26" w:rsidRDefault="009C592E" w:rsidP="009C592E">
            <w:pPr>
              <w:contextualSpacing/>
              <w:jc w:val="both"/>
              <w:rPr>
                <w:rFonts w:ascii="Calibri" w:hAnsi="Calibri"/>
                <w:szCs w:val="22"/>
              </w:rPr>
            </w:pPr>
          </w:p>
          <w:p w14:paraId="35E9B95B" w14:textId="77777777" w:rsidR="009C592E" w:rsidRPr="00B36C26" w:rsidRDefault="009C592E" w:rsidP="009C592E">
            <w:pPr>
              <w:contextualSpacing/>
              <w:jc w:val="both"/>
              <w:rPr>
                <w:rFonts w:ascii="Calibri" w:hAnsi="Calibri"/>
                <w:szCs w:val="22"/>
              </w:rPr>
            </w:pPr>
            <w:r w:rsidRPr="00B36C26">
              <w:rPr>
                <w:rFonts w:ascii="Calibri" w:hAnsi="Calibri"/>
                <w:szCs w:val="22"/>
              </w:rPr>
              <w:t xml:space="preserve">House, 1675. </w:t>
            </w:r>
            <w:proofErr w:type="spellStart"/>
            <w:r w:rsidRPr="00B36C26">
              <w:rPr>
                <w:rFonts w:ascii="Calibri" w:hAnsi="Calibri"/>
                <w:szCs w:val="22"/>
              </w:rPr>
              <w:t>Pebbledashed</w:t>
            </w:r>
            <w:proofErr w:type="spellEnd"/>
            <w:r w:rsidRPr="00B36C26">
              <w:rPr>
                <w:rFonts w:ascii="Calibri" w:hAnsi="Calibri"/>
                <w:szCs w:val="22"/>
              </w:rPr>
              <w:t xml:space="preserve"> rubble with stone slate roof. 2 storeys, 3 bays. Windows mullioned, with hollow chamfer, except for those of the middle bay which have a double chamfer. Those on the ground floor are of 4 lights, the left-hand one having a hood. Those on the 1st floor are of 3 lights. The middle ground-floor window has a hood which also encloses the door to the left, which is chamfered with elliptical arched head and 'TL IL 1675 TL IL' inscribed on the lintel. Chimney on left-hand gable and between bays 2 and 3. The right-hand gable has a ball finial. Interior not examined, but middle room said to have a wide chamfered fireplace with segmental arched head.</w:t>
            </w:r>
          </w:p>
          <w:p w14:paraId="627897BF" w14:textId="77777777" w:rsidR="009C592E" w:rsidRPr="00B36C26" w:rsidRDefault="009C592E" w:rsidP="009C592E">
            <w:pPr>
              <w:contextualSpacing/>
              <w:jc w:val="both"/>
              <w:rPr>
                <w:rFonts w:ascii="Calibri" w:hAnsi="Calibri"/>
                <w:szCs w:val="22"/>
              </w:rPr>
            </w:pPr>
          </w:p>
          <w:p w14:paraId="4762635C" w14:textId="77777777" w:rsidR="009C592E" w:rsidRPr="00B36C26" w:rsidRDefault="009C592E" w:rsidP="009C592E">
            <w:pPr>
              <w:contextualSpacing/>
              <w:jc w:val="both"/>
              <w:rPr>
                <w:rFonts w:ascii="Calibri" w:hAnsi="Calibri"/>
                <w:szCs w:val="22"/>
              </w:rPr>
            </w:pPr>
            <w:r w:rsidRPr="00B36C26">
              <w:rPr>
                <w:rFonts w:ascii="Calibri" w:hAnsi="Calibri"/>
                <w:szCs w:val="22"/>
              </w:rPr>
              <w:t xml:space="preserve">A heritage impact assessment was submitted on 22nd March which explained the alterations to the building and their impact in more detail. The rear portion of the building has been altered circa. 1980s, post listing and therefore has limited significance other than being part of the listed building as a whole. No original features are proposed to be removed internally and the extensions will only affect more modern walls. </w:t>
            </w:r>
          </w:p>
          <w:p w14:paraId="248AAC9F" w14:textId="77777777" w:rsidR="009C592E" w:rsidRPr="00B36C26" w:rsidRDefault="009C592E" w:rsidP="009C592E">
            <w:pPr>
              <w:contextualSpacing/>
              <w:jc w:val="both"/>
              <w:rPr>
                <w:rFonts w:ascii="Calibri" w:hAnsi="Calibri"/>
                <w:szCs w:val="22"/>
              </w:rPr>
            </w:pPr>
          </w:p>
          <w:p w14:paraId="770D0E53" w14:textId="77777777" w:rsidR="009C592E" w:rsidRPr="00B36C26" w:rsidRDefault="009C592E" w:rsidP="009C592E">
            <w:pPr>
              <w:contextualSpacing/>
              <w:jc w:val="both"/>
              <w:rPr>
                <w:rFonts w:ascii="Calibri" w:hAnsi="Calibri"/>
                <w:szCs w:val="22"/>
              </w:rPr>
            </w:pPr>
            <w:r w:rsidRPr="00B36C26">
              <w:rPr>
                <w:rFonts w:ascii="Calibri" w:hAnsi="Calibri"/>
                <w:szCs w:val="22"/>
              </w:rPr>
              <w:t xml:space="preserve">The two-storey rear extension will have some impact on the listed building but is following the form of the existing two storey rearward facing gable and just bringing it further out to the rear, the link section will be a simple lean to with a glazed section and will continue along the rear of the attached outbuilding.  The rear elevation has modern windows openings and frames. No mention of the rear elevation is included in the entry and it is clear as mentioned above that this has been significantly altered, furthermore it is largely screened from public vantage points. The value of this building is assumed to come primarily of its age and historic interest as an early farmhouse. The list entry focusses on those features that are to the principal elevation in in the public domain. It is not considered that the extension and the link to the outbuilding would detract from this or any internal features of interest and the special interest of the building will be maintained while allowing it to be a more functional living space for future generations.  The conversion of the more modern outbuilding and relocation of the door will not have an impact on its setting.  </w:t>
            </w:r>
          </w:p>
          <w:p w14:paraId="4AEB79B1" w14:textId="77777777" w:rsidR="009C592E" w:rsidRPr="00B36C26" w:rsidRDefault="009C592E" w:rsidP="009C592E">
            <w:pPr>
              <w:contextualSpacing/>
              <w:jc w:val="both"/>
              <w:rPr>
                <w:rFonts w:ascii="Calibri" w:hAnsi="Calibri"/>
                <w:szCs w:val="22"/>
              </w:rPr>
            </w:pPr>
          </w:p>
          <w:p w14:paraId="46A858BC" w14:textId="77777777" w:rsidR="009C592E" w:rsidRPr="00B36C26" w:rsidRDefault="009C592E" w:rsidP="009C592E">
            <w:pPr>
              <w:contextualSpacing/>
              <w:jc w:val="both"/>
              <w:rPr>
                <w:rFonts w:ascii="Calibri" w:hAnsi="Calibri"/>
                <w:szCs w:val="22"/>
              </w:rPr>
            </w:pPr>
            <w:r w:rsidRPr="00B36C26">
              <w:rPr>
                <w:rFonts w:ascii="Calibri" w:hAnsi="Calibri"/>
                <w:szCs w:val="22"/>
              </w:rPr>
              <w:t xml:space="preserve">The Heritage Impact Assessment concludes that there will be less than substantial harm. Where this is identified the NPPF requires that a public benefit should be demonstrated that is sufficient to outweigh the level of harm identified. In this case the harm is less than substantial but minimal given the age of the features affected. The public benefit is that the building can be adapted to provide functional living accommodation and be maintained in its optimum viable use as a modern family home for persons employed in the rural business at the premises.  It will also provide short term economic benefits to tradespersons who will be employed to carry out the building works. </w:t>
            </w:r>
          </w:p>
          <w:p w14:paraId="4361118B" w14:textId="77777777" w:rsidR="009C592E" w:rsidRPr="00B36C26" w:rsidRDefault="009C592E" w:rsidP="009C592E">
            <w:pPr>
              <w:contextualSpacing/>
              <w:jc w:val="both"/>
              <w:rPr>
                <w:rFonts w:ascii="Calibri" w:hAnsi="Calibri"/>
                <w:szCs w:val="22"/>
              </w:rPr>
            </w:pPr>
          </w:p>
          <w:p w14:paraId="7DEAD4E3" w14:textId="77777777" w:rsidR="009C592E" w:rsidRPr="00B36C26" w:rsidRDefault="009C592E" w:rsidP="009C592E">
            <w:pPr>
              <w:contextualSpacing/>
              <w:jc w:val="both"/>
              <w:rPr>
                <w:rFonts w:ascii="Calibri" w:hAnsi="Calibri"/>
                <w:szCs w:val="22"/>
              </w:rPr>
            </w:pPr>
            <w:r w:rsidRPr="00B36C26">
              <w:rPr>
                <w:rFonts w:ascii="Calibri" w:hAnsi="Calibri"/>
                <w:szCs w:val="22"/>
              </w:rPr>
              <w:t>The assessment suggests that full archaeological reco</w:t>
            </w:r>
            <w:r w:rsidR="00F657EA">
              <w:rPr>
                <w:rFonts w:ascii="Calibri" w:hAnsi="Calibri"/>
                <w:szCs w:val="22"/>
              </w:rPr>
              <w:t>r</w:t>
            </w:r>
            <w:r w:rsidRPr="00B36C26">
              <w:rPr>
                <w:rFonts w:ascii="Calibri" w:hAnsi="Calibri"/>
                <w:szCs w:val="22"/>
              </w:rPr>
              <w:t xml:space="preserve">ding is not required but photographs will be taken before any works are carried out. </w:t>
            </w:r>
          </w:p>
          <w:p w14:paraId="34F60F09" w14:textId="77777777" w:rsidR="009C592E" w:rsidRPr="00B36C26" w:rsidRDefault="009C592E" w:rsidP="009C592E">
            <w:pPr>
              <w:contextualSpacing/>
              <w:jc w:val="both"/>
              <w:rPr>
                <w:rFonts w:ascii="Calibri" w:hAnsi="Calibri"/>
                <w:szCs w:val="22"/>
              </w:rPr>
            </w:pPr>
          </w:p>
          <w:p w14:paraId="5EABAECC" w14:textId="77777777" w:rsidR="009C592E" w:rsidRPr="00B36C26" w:rsidRDefault="009C592E" w:rsidP="009C592E">
            <w:pPr>
              <w:contextualSpacing/>
              <w:jc w:val="both"/>
              <w:rPr>
                <w:rFonts w:ascii="Calibri" w:hAnsi="Calibri"/>
                <w:szCs w:val="22"/>
              </w:rPr>
            </w:pPr>
            <w:r w:rsidRPr="00B36C26">
              <w:rPr>
                <w:rFonts w:ascii="Calibri" w:hAnsi="Calibri"/>
                <w:szCs w:val="22"/>
              </w:rPr>
              <w:t xml:space="preserve">Conditions will be imposed to ensure that the new materials are a suitable match to the existing buildings. </w:t>
            </w:r>
          </w:p>
          <w:p w14:paraId="7B5DC2D7" w14:textId="77777777" w:rsidR="009C592E" w:rsidRPr="00B36C26" w:rsidRDefault="009C592E" w:rsidP="009C592E">
            <w:pPr>
              <w:contextualSpacing/>
              <w:jc w:val="both"/>
              <w:rPr>
                <w:rFonts w:ascii="Calibri" w:hAnsi="Calibri"/>
                <w:szCs w:val="22"/>
              </w:rPr>
            </w:pPr>
          </w:p>
          <w:p w14:paraId="5708A02D" w14:textId="77777777" w:rsidR="004E0F20" w:rsidRPr="00B36C26" w:rsidRDefault="009C592E" w:rsidP="009C592E">
            <w:pPr>
              <w:contextualSpacing/>
              <w:jc w:val="both"/>
              <w:rPr>
                <w:rFonts w:ascii="Calibri" w:hAnsi="Calibri"/>
                <w:szCs w:val="22"/>
              </w:rPr>
            </w:pPr>
            <w:r w:rsidRPr="00B36C26">
              <w:rPr>
                <w:rFonts w:ascii="Calibri" w:hAnsi="Calibri"/>
                <w:szCs w:val="22"/>
              </w:rPr>
              <w:t xml:space="preserve">The proposal is considered to accord with policy EN5, DME4, and the NPPF as well as the duties in the Act in terms of the impact on heritage assets.  </w:t>
            </w:r>
          </w:p>
        </w:tc>
      </w:tr>
      <w:tr w:rsidR="008C75E4" w:rsidRPr="008C75E4" w14:paraId="46CC6EB7" w14:textId="77777777" w:rsidTr="00504440">
        <w:trPr>
          <w:trHeight w:val="864"/>
          <w:jc w:val="center"/>
        </w:trPr>
        <w:tc>
          <w:tcPr>
            <w:tcW w:w="9555" w:type="dxa"/>
            <w:gridSpan w:val="14"/>
            <w:tcMar>
              <w:top w:w="57" w:type="dxa"/>
              <w:bottom w:w="57" w:type="dxa"/>
            </w:tcMar>
          </w:tcPr>
          <w:p w14:paraId="6CB0A63B" w14:textId="77777777" w:rsidR="00C0704D" w:rsidRDefault="00DF42DA" w:rsidP="006126D1">
            <w:pPr>
              <w:contextualSpacing/>
              <w:jc w:val="both"/>
              <w:rPr>
                <w:rFonts w:ascii="Calibri" w:hAnsi="Calibri"/>
                <w:b/>
                <w:szCs w:val="22"/>
              </w:rPr>
            </w:pPr>
            <w:r w:rsidRPr="00DF42DA">
              <w:rPr>
                <w:rFonts w:ascii="Calibri" w:hAnsi="Calibri"/>
                <w:b/>
                <w:szCs w:val="22"/>
              </w:rPr>
              <w:lastRenderedPageBreak/>
              <w:t>Visual Amenity:</w:t>
            </w:r>
          </w:p>
          <w:p w14:paraId="4FE607F7" w14:textId="77777777" w:rsidR="00C50517" w:rsidRPr="00545D8C" w:rsidRDefault="00D4039B" w:rsidP="00454754">
            <w:pPr>
              <w:contextualSpacing/>
              <w:jc w:val="both"/>
              <w:rPr>
                <w:rFonts w:ascii="Calibri" w:hAnsi="Calibri"/>
                <w:szCs w:val="22"/>
              </w:rPr>
            </w:pPr>
            <w:r>
              <w:rPr>
                <w:rFonts w:ascii="Calibri" w:hAnsi="Calibri"/>
                <w:szCs w:val="22"/>
              </w:rPr>
              <w:t xml:space="preserve">Notwithstanding the </w:t>
            </w:r>
            <w:r w:rsidR="00E2736D">
              <w:rPr>
                <w:rFonts w:ascii="Calibri" w:hAnsi="Calibri"/>
                <w:szCs w:val="22"/>
              </w:rPr>
              <w:t>heritage</w:t>
            </w:r>
            <w:r>
              <w:rPr>
                <w:rFonts w:ascii="Calibri" w:hAnsi="Calibri"/>
                <w:szCs w:val="22"/>
              </w:rPr>
              <w:t xml:space="preserve"> considerations above, the extensions have been designed to be in keeping with the host property in terms of scale and choice of materials. They will not introduce significant built form in relation to the </w:t>
            </w:r>
            <w:r w:rsidR="00E2736D">
              <w:rPr>
                <w:rFonts w:ascii="Calibri" w:hAnsi="Calibri"/>
                <w:szCs w:val="22"/>
              </w:rPr>
              <w:t>existing</w:t>
            </w:r>
            <w:r>
              <w:rPr>
                <w:rFonts w:ascii="Calibri" w:hAnsi="Calibri"/>
                <w:szCs w:val="22"/>
              </w:rPr>
              <w:t xml:space="preserve"> buildings and will be subservient. The minor alterations to the barn door will not have a significant impact on its appearance. Nor will there be any encroachment into open land as the development is within the confines of the farm complex.</w:t>
            </w:r>
            <w:r w:rsidR="006E448A">
              <w:rPr>
                <w:rFonts w:ascii="Calibri" w:hAnsi="Calibri"/>
                <w:szCs w:val="22"/>
              </w:rPr>
              <w:t xml:space="preserve"> As such whilst there will be some impact on the appearance of the building this is not considered to be harmful. Given the location of the proposal there will be no significant impact on the wider landscape. </w:t>
            </w:r>
          </w:p>
        </w:tc>
      </w:tr>
      <w:tr w:rsidR="006E448A" w:rsidRPr="008C75E4" w14:paraId="626702EF" w14:textId="77777777" w:rsidTr="00504440">
        <w:trPr>
          <w:trHeight w:val="864"/>
          <w:jc w:val="center"/>
        </w:trPr>
        <w:tc>
          <w:tcPr>
            <w:tcW w:w="9555" w:type="dxa"/>
            <w:gridSpan w:val="14"/>
            <w:tcMar>
              <w:top w:w="57" w:type="dxa"/>
              <w:bottom w:w="57" w:type="dxa"/>
            </w:tcMar>
          </w:tcPr>
          <w:p w14:paraId="2BC0301C" w14:textId="77777777" w:rsidR="006E448A" w:rsidRDefault="006E448A" w:rsidP="006126D1">
            <w:pPr>
              <w:contextualSpacing/>
              <w:jc w:val="both"/>
              <w:rPr>
                <w:rFonts w:ascii="Calibri" w:hAnsi="Calibri"/>
                <w:b/>
                <w:szCs w:val="22"/>
              </w:rPr>
            </w:pPr>
            <w:r>
              <w:rPr>
                <w:rFonts w:ascii="Calibri" w:hAnsi="Calibri"/>
                <w:b/>
                <w:szCs w:val="22"/>
              </w:rPr>
              <w:t>Ecology:</w:t>
            </w:r>
          </w:p>
          <w:p w14:paraId="07025C8B" w14:textId="77777777" w:rsidR="006E448A" w:rsidRDefault="006E448A" w:rsidP="006126D1">
            <w:pPr>
              <w:contextualSpacing/>
              <w:jc w:val="both"/>
              <w:rPr>
                <w:rFonts w:ascii="Calibri" w:hAnsi="Calibri"/>
                <w:szCs w:val="22"/>
              </w:rPr>
            </w:pPr>
            <w:r>
              <w:rPr>
                <w:rFonts w:ascii="Calibri" w:hAnsi="Calibri"/>
                <w:szCs w:val="22"/>
              </w:rPr>
              <w:t>The submitted bat scoping assessment concludes the following:</w:t>
            </w:r>
          </w:p>
          <w:p w14:paraId="00A50715" w14:textId="77777777" w:rsidR="006E448A" w:rsidRDefault="006E448A" w:rsidP="006126D1">
            <w:pPr>
              <w:contextualSpacing/>
              <w:jc w:val="both"/>
              <w:rPr>
                <w:rFonts w:ascii="Calibri" w:hAnsi="Calibri"/>
                <w:szCs w:val="22"/>
              </w:rPr>
            </w:pPr>
          </w:p>
          <w:p w14:paraId="560D6826" w14:textId="77777777" w:rsidR="006E448A" w:rsidRDefault="006E448A" w:rsidP="006E448A">
            <w:pPr>
              <w:contextualSpacing/>
              <w:jc w:val="both"/>
              <w:rPr>
                <w:rFonts w:asciiTheme="minorHAnsi" w:hAnsiTheme="minorHAnsi" w:cstheme="minorHAnsi"/>
              </w:rPr>
            </w:pPr>
            <w:r w:rsidRPr="006E448A">
              <w:rPr>
                <w:rFonts w:asciiTheme="minorHAnsi" w:hAnsiTheme="minorHAnsi" w:cstheme="minorHAnsi"/>
              </w:rPr>
              <w:t xml:space="preserve">The works to the haybarn have a negligible potential to impact roosting bats. It is therefore recommended that no further surveys or Bat Mitigation Licences are required before works associated with this building proceed. </w:t>
            </w:r>
          </w:p>
          <w:p w14:paraId="5B616A7F" w14:textId="77777777" w:rsidR="006E448A" w:rsidRDefault="006E448A" w:rsidP="006E448A">
            <w:pPr>
              <w:contextualSpacing/>
              <w:jc w:val="both"/>
              <w:rPr>
                <w:rFonts w:asciiTheme="minorHAnsi" w:hAnsiTheme="minorHAnsi" w:cstheme="minorHAnsi"/>
              </w:rPr>
            </w:pPr>
            <w:r w:rsidRPr="006E448A">
              <w:rPr>
                <w:rFonts w:asciiTheme="minorHAnsi" w:hAnsiTheme="minorHAnsi" w:cstheme="minorHAnsi"/>
              </w:rPr>
              <w:t xml:space="preserve">The outbuilding has a negligible potential to support roosting bats. It is therefore recommended that no further surveys or Bat Mitigation Licences are required before works affecting this outbuilding are required. </w:t>
            </w:r>
          </w:p>
          <w:p w14:paraId="433F76A2" w14:textId="77777777" w:rsidR="006E448A" w:rsidRDefault="006E448A" w:rsidP="006E448A">
            <w:pPr>
              <w:contextualSpacing/>
              <w:jc w:val="both"/>
              <w:rPr>
                <w:rFonts w:asciiTheme="minorHAnsi" w:hAnsiTheme="minorHAnsi" w:cstheme="minorHAnsi"/>
              </w:rPr>
            </w:pPr>
          </w:p>
          <w:p w14:paraId="74B6FF4A" w14:textId="77777777" w:rsidR="006E448A" w:rsidRDefault="006E448A" w:rsidP="006E448A">
            <w:pPr>
              <w:contextualSpacing/>
              <w:jc w:val="both"/>
              <w:rPr>
                <w:rFonts w:asciiTheme="minorHAnsi" w:hAnsiTheme="minorHAnsi" w:cstheme="minorHAnsi"/>
              </w:rPr>
            </w:pPr>
            <w:r w:rsidRPr="006E448A">
              <w:rPr>
                <w:rFonts w:asciiTheme="minorHAnsi" w:hAnsiTheme="minorHAnsi" w:cstheme="minorHAnsi"/>
              </w:rPr>
              <w:t xml:space="preserve">This assessment identified past use of the main farmhouse by bats. As the proposed works will impact the area with the potential to support roosting bats (two-storey extension off the northwest aspect) </w:t>
            </w:r>
            <w:bookmarkStart w:id="0" w:name="_Hlk66971614"/>
            <w:r w:rsidRPr="006E448A">
              <w:rPr>
                <w:rFonts w:asciiTheme="minorHAnsi" w:hAnsiTheme="minorHAnsi" w:cstheme="minorHAnsi"/>
              </w:rPr>
              <w:t>dusk emergence activity surveys are recommended to confirm the roost use</w:t>
            </w:r>
            <w:bookmarkEnd w:id="0"/>
            <w:r w:rsidRPr="006E448A">
              <w:rPr>
                <w:rFonts w:asciiTheme="minorHAnsi" w:hAnsiTheme="minorHAnsi" w:cstheme="minorHAnsi"/>
              </w:rPr>
              <w:t>. The activity survey should be completed before works which will impact the identified extension commence. These surveys would aim to determine the presence (or likely absence) of bats at this site; and</w:t>
            </w:r>
            <w:r w:rsidR="00BE6A30">
              <w:rPr>
                <w:rFonts w:asciiTheme="minorHAnsi" w:hAnsiTheme="minorHAnsi" w:cstheme="minorHAnsi"/>
              </w:rPr>
              <w:t xml:space="preserve"> </w:t>
            </w:r>
            <w:r w:rsidRPr="006E448A">
              <w:rPr>
                <w:rFonts w:asciiTheme="minorHAnsi" w:hAnsiTheme="minorHAnsi" w:cstheme="minorHAnsi"/>
              </w:rPr>
              <w:t xml:space="preserve">determine how bats are utilising the site, in what number and what species. </w:t>
            </w:r>
          </w:p>
          <w:p w14:paraId="2B6C9CF1" w14:textId="77777777" w:rsidR="006E448A" w:rsidRDefault="006E448A" w:rsidP="006E448A">
            <w:pPr>
              <w:contextualSpacing/>
              <w:jc w:val="both"/>
              <w:rPr>
                <w:rFonts w:asciiTheme="minorHAnsi" w:hAnsiTheme="minorHAnsi" w:cstheme="minorHAnsi"/>
                <w:szCs w:val="22"/>
              </w:rPr>
            </w:pPr>
          </w:p>
          <w:p w14:paraId="00CD8220" w14:textId="77777777" w:rsidR="006E448A" w:rsidRPr="006E448A" w:rsidRDefault="006E448A" w:rsidP="006E448A">
            <w:pPr>
              <w:contextualSpacing/>
              <w:jc w:val="both"/>
              <w:rPr>
                <w:rFonts w:asciiTheme="minorHAnsi" w:hAnsiTheme="minorHAnsi" w:cstheme="minorHAnsi"/>
                <w:szCs w:val="22"/>
              </w:rPr>
            </w:pPr>
            <w:r>
              <w:rPr>
                <w:rFonts w:asciiTheme="minorHAnsi" w:hAnsiTheme="minorHAnsi" w:cstheme="minorHAnsi"/>
                <w:szCs w:val="22"/>
              </w:rPr>
              <w:t xml:space="preserve">This matter can be controlled with a suitable condition. </w:t>
            </w:r>
          </w:p>
          <w:p w14:paraId="6705BE6B" w14:textId="77777777" w:rsidR="006E448A" w:rsidRPr="006E448A" w:rsidRDefault="006E448A" w:rsidP="006E448A">
            <w:pPr>
              <w:contextualSpacing/>
              <w:jc w:val="both"/>
              <w:rPr>
                <w:rFonts w:ascii="Calibri" w:hAnsi="Calibri"/>
                <w:szCs w:val="22"/>
              </w:rPr>
            </w:pPr>
          </w:p>
        </w:tc>
      </w:tr>
      <w:tr w:rsidR="008C75E4" w:rsidRPr="008C75E4" w14:paraId="5D2B3E35" w14:textId="77777777" w:rsidTr="00504440">
        <w:trPr>
          <w:trHeight w:val="864"/>
          <w:jc w:val="center"/>
        </w:trPr>
        <w:tc>
          <w:tcPr>
            <w:tcW w:w="9555" w:type="dxa"/>
            <w:gridSpan w:val="14"/>
            <w:tcMar>
              <w:top w:w="57" w:type="dxa"/>
              <w:bottom w:w="57" w:type="dxa"/>
            </w:tcMar>
          </w:tcPr>
          <w:p w14:paraId="24E87DFE"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063633B9" w14:textId="77777777" w:rsidR="00C50517" w:rsidRDefault="00E2736D" w:rsidP="00454754">
            <w:pPr>
              <w:pStyle w:val="Header"/>
              <w:tabs>
                <w:tab w:val="clear" w:pos="4153"/>
                <w:tab w:val="clear" w:pos="8306"/>
              </w:tabs>
              <w:contextualSpacing/>
              <w:jc w:val="both"/>
              <w:rPr>
                <w:rFonts w:ascii="Calibri" w:hAnsi="Calibri"/>
                <w:szCs w:val="22"/>
              </w:rPr>
            </w:pPr>
            <w:r>
              <w:rPr>
                <w:rFonts w:ascii="Calibri" w:hAnsi="Calibri"/>
                <w:szCs w:val="22"/>
              </w:rPr>
              <w:t xml:space="preserve">Lancashire County Council’s highway engineer has raised no objection to the proposal. </w:t>
            </w:r>
          </w:p>
          <w:p w14:paraId="686AE764" w14:textId="77777777" w:rsidR="00E2736D" w:rsidRDefault="00E2736D" w:rsidP="00454754">
            <w:pPr>
              <w:pStyle w:val="Header"/>
              <w:tabs>
                <w:tab w:val="clear" w:pos="4153"/>
                <w:tab w:val="clear" w:pos="8306"/>
              </w:tabs>
              <w:contextualSpacing/>
              <w:jc w:val="both"/>
              <w:rPr>
                <w:rFonts w:ascii="Calibri" w:hAnsi="Calibri"/>
                <w:szCs w:val="22"/>
              </w:rPr>
            </w:pPr>
          </w:p>
          <w:p w14:paraId="683BE774" w14:textId="77777777" w:rsidR="00E2736D" w:rsidRPr="002A7DF7" w:rsidRDefault="00E2736D" w:rsidP="00454754">
            <w:pPr>
              <w:pStyle w:val="Header"/>
              <w:tabs>
                <w:tab w:val="clear" w:pos="4153"/>
                <w:tab w:val="clear" w:pos="8306"/>
              </w:tabs>
              <w:contextualSpacing/>
              <w:jc w:val="both"/>
              <w:rPr>
                <w:rFonts w:ascii="Calibri" w:hAnsi="Calibri"/>
                <w:szCs w:val="22"/>
              </w:rPr>
            </w:pPr>
            <w:r>
              <w:rPr>
                <w:rFonts w:ascii="Calibri" w:hAnsi="Calibri"/>
                <w:szCs w:val="22"/>
              </w:rPr>
              <w:t xml:space="preserve">It is noted that the relocation of the door to the hay barn will allow vehicles to park clear of the highway when unloading into the building. </w:t>
            </w:r>
          </w:p>
        </w:tc>
      </w:tr>
      <w:tr w:rsidR="008C75E4" w:rsidRPr="008C75E4" w14:paraId="41C3355C" w14:textId="77777777" w:rsidTr="00504440">
        <w:trPr>
          <w:trHeight w:val="864"/>
          <w:jc w:val="center"/>
        </w:trPr>
        <w:tc>
          <w:tcPr>
            <w:tcW w:w="9555" w:type="dxa"/>
            <w:gridSpan w:val="14"/>
            <w:tcMar>
              <w:top w:w="57" w:type="dxa"/>
              <w:bottom w:w="57" w:type="dxa"/>
            </w:tcMar>
          </w:tcPr>
          <w:p w14:paraId="5EFE54C3"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5E06B10D" w14:textId="77777777" w:rsidR="00C44E40" w:rsidRPr="00BA2247" w:rsidRDefault="00E2736D"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proposal subject to conditions is considered to be an acceptable form of development </w:t>
            </w:r>
            <w:r w:rsidR="006E448A">
              <w:rPr>
                <w:rFonts w:ascii="Calibri" w:hAnsi="Calibri"/>
                <w:szCs w:val="22"/>
              </w:rPr>
              <w:t xml:space="preserve">which accords with the relevant policies of the Core Strategy </w:t>
            </w:r>
            <w:r>
              <w:rPr>
                <w:rFonts w:ascii="Calibri" w:hAnsi="Calibri"/>
                <w:szCs w:val="22"/>
              </w:rPr>
              <w:t xml:space="preserve">and for the reasons discussed above it is recommended accordingly. </w:t>
            </w:r>
          </w:p>
        </w:tc>
      </w:tr>
      <w:tr w:rsidR="00C0704D" w:rsidRPr="008C75E4" w14:paraId="243D76A4" w14:textId="77777777" w:rsidTr="00504440">
        <w:trPr>
          <w:jc w:val="center"/>
        </w:trPr>
        <w:tc>
          <w:tcPr>
            <w:tcW w:w="2837" w:type="dxa"/>
            <w:gridSpan w:val="4"/>
            <w:tcMar>
              <w:top w:w="57" w:type="dxa"/>
              <w:bottom w:w="57" w:type="dxa"/>
            </w:tcMar>
          </w:tcPr>
          <w:p w14:paraId="78E2EB0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345E6460" w14:textId="77777777" w:rsidR="00C0704D" w:rsidRPr="008C75E4" w:rsidRDefault="00E2736D" w:rsidP="006126D1">
            <w:pPr>
              <w:jc w:val="both"/>
              <w:rPr>
                <w:rFonts w:ascii="Calibri" w:hAnsi="Calibri"/>
                <w:bCs/>
                <w:szCs w:val="22"/>
              </w:rPr>
            </w:pPr>
            <w:r>
              <w:rPr>
                <w:rFonts w:ascii="Calibri" w:hAnsi="Calibri"/>
                <w:bCs/>
                <w:szCs w:val="22"/>
              </w:rPr>
              <w:t xml:space="preserve">That planning permission is granted. </w:t>
            </w:r>
          </w:p>
        </w:tc>
      </w:tr>
    </w:tbl>
    <w:p w14:paraId="64FD3B28" w14:textId="77777777" w:rsidR="0031197A" w:rsidRPr="008C75E4" w:rsidRDefault="0063513D"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3CDE0" w14:textId="77777777" w:rsidR="00D80310" w:rsidRDefault="00D80310" w:rsidP="006D0B5F">
      <w:r>
        <w:separator/>
      </w:r>
    </w:p>
  </w:endnote>
  <w:endnote w:type="continuationSeparator" w:id="0">
    <w:p w14:paraId="1E1F3CA2"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C50B1" w14:textId="77777777" w:rsidR="00D80310" w:rsidRDefault="00D80310" w:rsidP="006D0B5F">
      <w:r>
        <w:separator/>
      </w:r>
    </w:p>
  </w:footnote>
  <w:footnote w:type="continuationSeparator" w:id="0">
    <w:p w14:paraId="6E48A45D"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54D03"/>
    <w:multiLevelType w:val="hybridMultilevel"/>
    <w:tmpl w:val="75FA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26900"/>
    <w:multiLevelType w:val="hybridMultilevel"/>
    <w:tmpl w:val="0A54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6"/>
  </w:num>
  <w:num w:numId="5">
    <w:abstractNumId w:val="0"/>
  </w:num>
  <w:num w:numId="6">
    <w:abstractNumId w:val="3"/>
  </w:num>
  <w:num w:numId="7">
    <w:abstractNumId w:val="7"/>
  </w:num>
  <w:num w:numId="8">
    <w:abstractNumId w:val="10"/>
  </w:num>
  <w:num w:numId="9">
    <w:abstractNumId w:val="4"/>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20CA"/>
    <w:rsid w:val="0008638E"/>
    <w:rsid w:val="000B090D"/>
    <w:rsid w:val="000B57EC"/>
    <w:rsid w:val="000B5CB5"/>
    <w:rsid w:val="000C5434"/>
    <w:rsid w:val="000C7A57"/>
    <w:rsid w:val="000D3030"/>
    <w:rsid w:val="00101855"/>
    <w:rsid w:val="0010371E"/>
    <w:rsid w:val="00106932"/>
    <w:rsid w:val="00130035"/>
    <w:rsid w:val="00141512"/>
    <w:rsid w:val="0016428F"/>
    <w:rsid w:val="00174004"/>
    <w:rsid w:val="001946E0"/>
    <w:rsid w:val="00196722"/>
    <w:rsid w:val="001B769B"/>
    <w:rsid w:val="001C1453"/>
    <w:rsid w:val="001C3914"/>
    <w:rsid w:val="001D4F7A"/>
    <w:rsid w:val="001D5ADD"/>
    <w:rsid w:val="00203F50"/>
    <w:rsid w:val="00206E24"/>
    <w:rsid w:val="00237DA1"/>
    <w:rsid w:val="00250879"/>
    <w:rsid w:val="00263B45"/>
    <w:rsid w:val="00284480"/>
    <w:rsid w:val="0028751A"/>
    <w:rsid w:val="0029334A"/>
    <w:rsid w:val="002A01CF"/>
    <w:rsid w:val="002A7DF7"/>
    <w:rsid w:val="002B7854"/>
    <w:rsid w:val="002C6277"/>
    <w:rsid w:val="002D4346"/>
    <w:rsid w:val="002E2952"/>
    <w:rsid w:val="002E7CC1"/>
    <w:rsid w:val="002F041D"/>
    <w:rsid w:val="002F2580"/>
    <w:rsid w:val="002F7502"/>
    <w:rsid w:val="003027C2"/>
    <w:rsid w:val="003137E0"/>
    <w:rsid w:val="00320A6F"/>
    <w:rsid w:val="00321B6E"/>
    <w:rsid w:val="003359D0"/>
    <w:rsid w:val="00341E8D"/>
    <w:rsid w:val="00347F5E"/>
    <w:rsid w:val="003562A3"/>
    <w:rsid w:val="003634D9"/>
    <w:rsid w:val="0036759A"/>
    <w:rsid w:val="003825D5"/>
    <w:rsid w:val="003A4376"/>
    <w:rsid w:val="003C28E1"/>
    <w:rsid w:val="003E2151"/>
    <w:rsid w:val="003E2CDE"/>
    <w:rsid w:val="003F16AA"/>
    <w:rsid w:val="003F16B4"/>
    <w:rsid w:val="003F3DB5"/>
    <w:rsid w:val="003F481A"/>
    <w:rsid w:val="00404C72"/>
    <w:rsid w:val="00435FC9"/>
    <w:rsid w:val="0044039F"/>
    <w:rsid w:val="00440CB6"/>
    <w:rsid w:val="00452DE3"/>
    <w:rsid w:val="00454754"/>
    <w:rsid w:val="004654DD"/>
    <w:rsid w:val="004854EC"/>
    <w:rsid w:val="004936A6"/>
    <w:rsid w:val="004947BB"/>
    <w:rsid w:val="004A5EA9"/>
    <w:rsid w:val="004C2434"/>
    <w:rsid w:val="004C342B"/>
    <w:rsid w:val="004D1A8C"/>
    <w:rsid w:val="004D6FC7"/>
    <w:rsid w:val="004E0F20"/>
    <w:rsid w:val="004E4285"/>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65DF"/>
    <w:rsid w:val="005F1593"/>
    <w:rsid w:val="00610D42"/>
    <w:rsid w:val="006126D1"/>
    <w:rsid w:val="006326A2"/>
    <w:rsid w:val="0063513D"/>
    <w:rsid w:val="00665C24"/>
    <w:rsid w:val="00690EC3"/>
    <w:rsid w:val="00692B60"/>
    <w:rsid w:val="00695F88"/>
    <w:rsid w:val="006A71AD"/>
    <w:rsid w:val="006C126E"/>
    <w:rsid w:val="006C2BFA"/>
    <w:rsid w:val="006D0B5F"/>
    <w:rsid w:val="006D4E58"/>
    <w:rsid w:val="006D7624"/>
    <w:rsid w:val="006E448A"/>
    <w:rsid w:val="006F137D"/>
    <w:rsid w:val="006F4D38"/>
    <w:rsid w:val="0070054B"/>
    <w:rsid w:val="00706480"/>
    <w:rsid w:val="00706B74"/>
    <w:rsid w:val="00710DBB"/>
    <w:rsid w:val="00725F1C"/>
    <w:rsid w:val="007430C8"/>
    <w:rsid w:val="00755FCC"/>
    <w:rsid w:val="00776AE2"/>
    <w:rsid w:val="007921CD"/>
    <w:rsid w:val="007C2188"/>
    <w:rsid w:val="007C5713"/>
    <w:rsid w:val="007C791C"/>
    <w:rsid w:val="007D6D02"/>
    <w:rsid w:val="007D7DF4"/>
    <w:rsid w:val="007E0D23"/>
    <w:rsid w:val="007F196D"/>
    <w:rsid w:val="00805895"/>
    <w:rsid w:val="008075CB"/>
    <w:rsid w:val="00811771"/>
    <w:rsid w:val="008154DD"/>
    <w:rsid w:val="008542DE"/>
    <w:rsid w:val="0086109A"/>
    <w:rsid w:val="008638DE"/>
    <w:rsid w:val="00881E7B"/>
    <w:rsid w:val="00891182"/>
    <w:rsid w:val="008A2403"/>
    <w:rsid w:val="008A28C8"/>
    <w:rsid w:val="008C75E4"/>
    <w:rsid w:val="008D03C4"/>
    <w:rsid w:val="008F6B58"/>
    <w:rsid w:val="0090282C"/>
    <w:rsid w:val="00906D0C"/>
    <w:rsid w:val="00917622"/>
    <w:rsid w:val="00934B34"/>
    <w:rsid w:val="009565F5"/>
    <w:rsid w:val="009825FF"/>
    <w:rsid w:val="00985097"/>
    <w:rsid w:val="00994EF1"/>
    <w:rsid w:val="009C4BCF"/>
    <w:rsid w:val="009C592E"/>
    <w:rsid w:val="009C7F61"/>
    <w:rsid w:val="009D748A"/>
    <w:rsid w:val="009E6A8B"/>
    <w:rsid w:val="00A04A96"/>
    <w:rsid w:val="00A155A5"/>
    <w:rsid w:val="00A40070"/>
    <w:rsid w:val="00A412A0"/>
    <w:rsid w:val="00A42E82"/>
    <w:rsid w:val="00A46EE9"/>
    <w:rsid w:val="00A55E83"/>
    <w:rsid w:val="00A579BB"/>
    <w:rsid w:val="00A63D55"/>
    <w:rsid w:val="00A833EE"/>
    <w:rsid w:val="00A8441B"/>
    <w:rsid w:val="00A9088C"/>
    <w:rsid w:val="00A9168C"/>
    <w:rsid w:val="00A95D89"/>
    <w:rsid w:val="00AB3243"/>
    <w:rsid w:val="00AB5232"/>
    <w:rsid w:val="00B14DDC"/>
    <w:rsid w:val="00B30A5E"/>
    <w:rsid w:val="00B31505"/>
    <w:rsid w:val="00B36C26"/>
    <w:rsid w:val="00B6269C"/>
    <w:rsid w:val="00B74C73"/>
    <w:rsid w:val="00B93EB5"/>
    <w:rsid w:val="00B96F5A"/>
    <w:rsid w:val="00BA2247"/>
    <w:rsid w:val="00BA5D97"/>
    <w:rsid w:val="00BA6B19"/>
    <w:rsid w:val="00BB1C52"/>
    <w:rsid w:val="00BB2A50"/>
    <w:rsid w:val="00BC1E48"/>
    <w:rsid w:val="00BD3F03"/>
    <w:rsid w:val="00BE6A30"/>
    <w:rsid w:val="00BE6AA6"/>
    <w:rsid w:val="00BF49EF"/>
    <w:rsid w:val="00C0704D"/>
    <w:rsid w:val="00C214A6"/>
    <w:rsid w:val="00C24A51"/>
    <w:rsid w:val="00C25722"/>
    <w:rsid w:val="00C44E40"/>
    <w:rsid w:val="00C50517"/>
    <w:rsid w:val="00C618DB"/>
    <w:rsid w:val="00C6456D"/>
    <w:rsid w:val="00C93384"/>
    <w:rsid w:val="00CA28BA"/>
    <w:rsid w:val="00CA2B32"/>
    <w:rsid w:val="00CD1729"/>
    <w:rsid w:val="00CD2E03"/>
    <w:rsid w:val="00CD38B1"/>
    <w:rsid w:val="00CF3F1B"/>
    <w:rsid w:val="00D102D9"/>
    <w:rsid w:val="00D1063F"/>
    <w:rsid w:val="00D11007"/>
    <w:rsid w:val="00D1420C"/>
    <w:rsid w:val="00D23470"/>
    <w:rsid w:val="00D2449B"/>
    <w:rsid w:val="00D4039B"/>
    <w:rsid w:val="00D54384"/>
    <w:rsid w:val="00D54E67"/>
    <w:rsid w:val="00D54F48"/>
    <w:rsid w:val="00D632BB"/>
    <w:rsid w:val="00D80310"/>
    <w:rsid w:val="00D9608A"/>
    <w:rsid w:val="00D96DF7"/>
    <w:rsid w:val="00D97AA3"/>
    <w:rsid w:val="00DA27B6"/>
    <w:rsid w:val="00DC3C8A"/>
    <w:rsid w:val="00DD62F6"/>
    <w:rsid w:val="00DD7E97"/>
    <w:rsid w:val="00DE740E"/>
    <w:rsid w:val="00DF06F5"/>
    <w:rsid w:val="00DF42DA"/>
    <w:rsid w:val="00E03AFD"/>
    <w:rsid w:val="00E0485E"/>
    <w:rsid w:val="00E06DFC"/>
    <w:rsid w:val="00E23FB0"/>
    <w:rsid w:val="00E270CB"/>
    <w:rsid w:val="00E2736D"/>
    <w:rsid w:val="00E3317F"/>
    <w:rsid w:val="00E46243"/>
    <w:rsid w:val="00E66534"/>
    <w:rsid w:val="00E719D1"/>
    <w:rsid w:val="00E71A35"/>
    <w:rsid w:val="00E72F6C"/>
    <w:rsid w:val="00E80113"/>
    <w:rsid w:val="00EA09F9"/>
    <w:rsid w:val="00EA1673"/>
    <w:rsid w:val="00EB7D74"/>
    <w:rsid w:val="00EC23C7"/>
    <w:rsid w:val="00ED00B7"/>
    <w:rsid w:val="00EF1341"/>
    <w:rsid w:val="00EF44E6"/>
    <w:rsid w:val="00F012FA"/>
    <w:rsid w:val="00F055D3"/>
    <w:rsid w:val="00F129DD"/>
    <w:rsid w:val="00F16D0F"/>
    <w:rsid w:val="00F31975"/>
    <w:rsid w:val="00F32789"/>
    <w:rsid w:val="00F657EA"/>
    <w:rsid w:val="00F71D53"/>
    <w:rsid w:val="00F731F5"/>
    <w:rsid w:val="00F75F59"/>
    <w:rsid w:val="00F8201E"/>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D05D"/>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F89B-FE55-4835-8A8E-D0ED52DA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Tara Thompson</cp:lastModifiedBy>
  <cp:revision>2</cp:revision>
  <cp:lastPrinted>2020-03-11T10:54:00Z</cp:lastPrinted>
  <dcterms:created xsi:type="dcterms:W3CDTF">2021-03-24T11:17:00Z</dcterms:created>
  <dcterms:modified xsi:type="dcterms:W3CDTF">2021-03-24T11:17:00Z</dcterms:modified>
</cp:coreProperties>
</file>