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
        <w:gridCol w:w="356"/>
        <w:gridCol w:w="1030"/>
        <w:gridCol w:w="175"/>
        <w:gridCol w:w="425"/>
        <w:gridCol w:w="233"/>
        <w:gridCol w:w="197"/>
        <w:gridCol w:w="1030"/>
        <w:gridCol w:w="1030"/>
        <w:gridCol w:w="519"/>
        <w:gridCol w:w="579"/>
        <w:gridCol w:w="1030"/>
        <w:gridCol w:w="1030"/>
        <w:gridCol w:w="1031"/>
      </w:tblGrid>
      <w:tr w:rsidR="004A5EA9" w:rsidRPr="00D2449B" w14:paraId="22A16DB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1D49B4"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0881B51F" w14:textId="77777777" w:rsidTr="000A7CF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FB9C24"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A1D88F"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FDCABB"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57272C"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86A884"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FB883A"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A5DC5C"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036D3D"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82C9B9" w14:textId="77777777" w:rsidR="004936A6" w:rsidRPr="00D2449B" w:rsidRDefault="004936A6" w:rsidP="00D2449B">
            <w:pPr>
              <w:jc w:val="center"/>
              <w:rPr>
                <w:rFonts w:ascii="Calibri" w:hAnsi="Calibri"/>
                <w:b/>
                <w:szCs w:val="22"/>
              </w:rPr>
            </w:pPr>
          </w:p>
        </w:tc>
      </w:tr>
      <w:tr w:rsidR="004A5EA9" w:rsidRPr="00D2449B" w14:paraId="008247E1" w14:textId="77777777" w:rsidTr="000A7CF7">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30E23DA" w14:textId="77777777" w:rsidR="004A5EA9" w:rsidRPr="00D2449B" w:rsidRDefault="004A5EA9" w:rsidP="004A5EA9">
            <w:pPr>
              <w:jc w:val="center"/>
              <w:rPr>
                <w:rFonts w:ascii="Calibri" w:hAnsi="Calibri"/>
                <w:b/>
                <w:szCs w:val="22"/>
              </w:rPr>
            </w:pPr>
          </w:p>
        </w:tc>
      </w:tr>
      <w:tr w:rsidR="004A5EA9" w:rsidRPr="00D2449B" w14:paraId="6AB969BC"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0C2296"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978F89" w14:textId="77777777" w:rsidR="004A5EA9" w:rsidRPr="00250879" w:rsidRDefault="004A5EA9" w:rsidP="008542DE">
            <w:pPr>
              <w:rPr>
                <w:rFonts w:ascii="Calibri" w:hAnsi="Calibri"/>
                <w:color w:val="548DD4" w:themeColor="text2" w:themeTint="99"/>
                <w:szCs w:val="22"/>
              </w:rPr>
            </w:pPr>
            <w:r w:rsidRPr="002C6277">
              <w:rPr>
                <w:rFonts w:ascii="Calibri" w:hAnsi="Calibri"/>
                <w:szCs w:val="22"/>
              </w:rPr>
              <w:t>3/</w:t>
            </w:r>
            <w:r w:rsidR="005053A2">
              <w:rPr>
                <w:rFonts w:ascii="Calibri" w:hAnsi="Calibri"/>
                <w:szCs w:val="22"/>
              </w:rPr>
              <w:t>2020/1070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6A6534"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61D0FB84" wp14:editId="294DCF5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605AC94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1A3639"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9F1C40" w14:textId="77777777" w:rsidR="004A5EA9" w:rsidRPr="00C0704D" w:rsidRDefault="005053A2"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0B7A2B" w14:textId="77777777" w:rsidR="004A5EA9" w:rsidRPr="00D2449B" w:rsidRDefault="004A5EA9">
            <w:pPr>
              <w:rPr>
                <w:rFonts w:ascii="Calibri" w:hAnsi="Calibri"/>
                <w:szCs w:val="22"/>
              </w:rPr>
            </w:pPr>
          </w:p>
        </w:tc>
      </w:tr>
      <w:tr w:rsidR="004A5EA9" w:rsidRPr="00D2449B" w14:paraId="5EF57CE5"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E91DE3"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2C4690" w14:textId="77777777" w:rsidR="004A5EA9" w:rsidRPr="00250879" w:rsidRDefault="005053A2" w:rsidP="00811771">
            <w:pPr>
              <w:rPr>
                <w:rFonts w:ascii="Calibri" w:hAnsi="Calibri"/>
                <w:color w:val="548DD4" w:themeColor="text2" w:themeTint="99"/>
                <w:szCs w:val="22"/>
              </w:rPr>
            </w:pPr>
            <w:r w:rsidRPr="005053A2">
              <w:rPr>
                <w:rFonts w:ascii="Calibri" w:hAnsi="Calibri"/>
                <w:color w:val="000000" w:themeColor="text1"/>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9BC586" w14:textId="77777777" w:rsidR="004A5EA9" w:rsidRPr="00D2449B" w:rsidRDefault="004A5EA9">
            <w:pPr>
              <w:rPr>
                <w:rFonts w:ascii="Calibri" w:hAnsi="Calibri"/>
                <w:szCs w:val="22"/>
              </w:rPr>
            </w:pPr>
          </w:p>
        </w:tc>
      </w:tr>
      <w:tr w:rsidR="004A5EA9" w:rsidRPr="00D2449B" w14:paraId="5FC8AA19" w14:textId="77777777" w:rsidTr="000A7CF7">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C54785"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556320" w14:textId="77777777" w:rsidR="004A5EA9" w:rsidRPr="00D2449B" w:rsidRDefault="000A7CF7" w:rsidP="002A01CF">
            <w:pPr>
              <w:jc w:val="center"/>
              <w:rPr>
                <w:rFonts w:ascii="Calibri" w:hAnsi="Calibri"/>
                <w:b/>
                <w:szCs w:val="22"/>
              </w:rPr>
            </w:pPr>
            <w:r>
              <w:rPr>
                <w:rFonts w:ascii="Calibri" w:hAnsi="Calibri"/>
                <w:b/>
                <w:szCs w:val="22"/>
              </w:rPr>
              <w:t>REFUSAL</w:t>
            </w:r>
          </w:p>
        </w:tc>
      </w:tr>
      <w:tr w:rsidR="004A5EA9" w:rsidRPr="00D2449B" w14:paraId="1BB38969"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327B5E"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6591C425"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AB46D4"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C90A02" w14:textId="77777777" w:rsidR="004A5EA9" w:rsidRPr="002C6277" w:rsidRDefault="005053A2">
            <w:pPr>
              <w:rPr>
                <w:rFonts w:ascii="Calibri" w:hAnsi="Calibri"/>
                <w:szCs w:val="22"/>
              </w:rPr>
            </w:pPr>
            <w:r w:rsidRPr="005053A2">
              <w:rPr>
                <w:rFonts w:ascii="Calibri" w:hAnsi="Calibri"/>
                <w:szCs w:val="22"/>
              </w:rPr>
              <w:t>Proposed division of one house into two dwellings. No extension or increase in accommodation proposed.</w:t>
            </w:r>
          </w:p>
        </w:tc>
      </w:tr>
      <w:tr w:rsidR="002A01CF" w:rsidRPr="00D2449B" w14:paraId="0FA3F279"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1E9BFB"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52AC2C" w14:textId="77777777" w:rsidR="002A01CF" w:rsidRPr="002C6277" w:rsidRDefault="005053A2" w:rsidP="00A42E82">
            <w:pPr>
              <w:rPr>
                <w:rFonts w:ascii="Calibri" w:hAnsi="Calibri"/>
                <w:szCs w:val="22"/>
              </w:rPr>
            </w:pPr>
            <w:r w:rsidRPr="005053A2">
              <w:rPr>
                <w:rFonts w:ascii="Calibri" w:hAnsi="Calibri"/>
                <w:szCs w:val="22"/>
              </w:rPr>
              <w:t>Roall Garth Hesketh Lane Preston PR3 2TH</w:t>
            </w:r>
          </w:p>
        </w:tc>
      </w:tr>
      <w:tr w:rsidR="00A95D89" w:rsidRPr="00D2449B" w14:paraId="6899B3C3"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F99C14F"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7BF4499E"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92254A"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AD85D6"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95917D7"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B91B4C" w14:textId="77777777" w:rsidR="002A01CF" w:rsidRPr="005053A2" w:rsidRDefault="005053A2">
            <w:pPr>
              <w:rPr>
                <w:rFonts w:ascii="Calibri" w:hAnsi="Calibri"/>
                <w:szCs w:val="22"/>
              </w:rPr>
            </w:pPr>
            <w:r w:rsidRPr="005053A2">
              <w:rPr>
                <w:rFonts w:ascii="Calibri" w:hAnsi="Calibri"/>
                <w:szCs w:val="22"/>
              </w:rPr>
              <w:t>No representations have been received in respect of the proposed development.</w:t>
            </w:r>
          </w:p>
        </w:tc>
      </w:tr>
      <w:tr w:rsidR="00C618DB" w:rsidRPr="00D2449B" w14:paraId="6D8C198C"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9F455CB" w14:textId="77777777" w:rsidR="00C618DB" w:rsidRPr="00D2449B" w:rsidRDefault="00C618DB">
            <w:pPr>
              <w:rPr>
                <w:rFonts w:ascii="Calibri" w:hAnsi="Calibri"/>
                <w:bCs/>
                <w:szCs w:val="22"/>
              </w:rPr>
            </w:pPr>
          </w:p>
        </w:tc>
      </w:tr>
      <w:tr w:rsidR="00C618DB" w:rsidRPr="00D2449B" w14:paraId="0FD2A940"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BCF0AB"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699DAD"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29B01205"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B3C6F5"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E45C27" w14:textId="77777777" w:rsidR="002A01CF" w:rsidRPr="00D2449B" w:rsidRDefault="002A01CF">
            <w:pPr>
              <w:rPr>
                <w:rFonts w:ascii="Calibri" w:hAnsi="Calibri"/>
                <w:b/>
                <w:szCs w:val="22"/>
              </w:rPr>
            </w:pPr>
          </w:p>
        </w:tc>
      </w:tr>
      <w:tr w:rsidR="00C0704D" w:rsidRPr="00D2449B" w14:paraId="63A88DD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01917" w14:textId="77777777" w:rsidR="00C0704D" w:rsidRDefault="005053A2" w:rsidP="00D74711">
            <w:pPr>
              <w:rPr>
                <w:rFonts w:ascii="Calibri" w:hAnsi="Calibri"/>
                <w:szCs w:val="22"/>
              </w:rPr>
            </w:pPr>
            <w:r>
              <w:rPr>
                <w:rFonts w:ascii="Calibri" w:hAnsi="Calibri"/>
                <w:szCs w:val="22"/>
              </w:rPr>
              <w:t>LCC Highways have raised no objections to the proposal subject to the imposition of the following conditions:</w:t>
            </w:r>
          </w:p>
          <w:p w14:paraId="18BF67F1" w14:textId="77777777" w:rsidR="005053A2" w:rsidRDefault="005053A2" w:rsidP="00D74711">
            <w:pPr>
              <w:rPr>
                <w:rFonts w:ascii="Calibri" w:hAnsi="Calibri"/>
                <w:szCs w:val="22"/>
              </w:rPr>
            </w:pPr>
          </w:p>
          <w:p w14:paraId="02034133" w14:textId="77777777" w:rsidR="005053A2" w:rsidRDefault="005053A2" w:rsidP="005053A2">
            <w:pPr>
              <w:pStyle w:val="ListParagraph"/>
              <w:numPr>
                <w:ilvl w:val="0"/>
                <w:numId w:val="2"/>
              </w:numPr>
              <w:jc w:val="both"/>
              <w:rPr>
                <w:rFonts w:ascii="Calibri" w:hAnsi="Calibri"/>
                <w:szCs w:val="22"/>
              </w:rPr>
            </w:pPr>
            <w:r w:rsidRPr="005053A2">
              <w:rPr>
                <w:rFonts w:ascii="Calibri" w:hAnsi="Calibri"/>
                <w:szCs w:val="22"/>
              </w:rPr>
              <w:t>Before the development hereby permitted becomes operative, the existing and any new boundary treatments on the highway frontage of the site to Hesketh Lane shall be reduced to and be permanently maintained henceforth at a height not greater than 0.9m above the nearside carriageway level.</w:t>
            </w:r>
          </w:p>
          <w:p w14:paraId="51E9014A" w14:textId="77777777" w:rsidR="005053A2" w:rsidRDefault="005053A2" w:rsidP="005053A2">
            <w:pPr>
              <w:pStyle w:val="ListParagraph"/>
              <w:jc w:val="both"/>
              <w:rPr>
                <w:rFonts w:ascii="Calibri" w:hAnsi="Calibri"/>
                <w:szCs w:val="22"/>
              </w:rPr>
            </w:pPr>
            <w:r w:rsidRPr="005053A2">
              <w:rPr>
                <w:rFonts w:ascii="Calibri" w:hAnsi="Calibri"/>
                <w:szCs w:val="22"/>
              </w:rPr>
              <w:t>Reason: To ensure adequate visibility for the drivers of vehicles entering and leaving the site.</w:t>
            </w:r>
          </w:p>
          <w:p w14:paraId="72E363D3" w14:textId="77777777" w:rsidR="005053A2" w:rsidRDefault="005053A2" w:rsidP="005053A2">
            <w:pPr>
              <w:pStyle w:val="ListParagraph"/>
              <w:jc w:val="both"/>
              <w:rPr>
                <w:rFonts w:ascii="Calibri" w:hAnsi="Calibri"/>
                <w:szCs w:val="22"/>
              </w:rPr>
            </w:pPr>
          </w:p>
          <w:p w14:paraId="187994BC" w14:textId="77777777" w:rsidR="005053A2" w:rsidRDefault="005053A2" w:rsidP="005053A2">
            <w:pPr>
              <w:pStyle w:val="ListParagraph"/>
              <w:numPr>
                <w:ilvl w:val="0"/>
                <w:numId w:val="2"/>
              </w:numPr>
              <w:rPr>
                <w:rFonts w:ascii="Calibri" w:hAnsi="Calibri"/>
                <w:szCs w:val="22"/>
              </w:rPr>
            </w:pPr>
            <w:r w:rsidRPr="005053A2">
              <w:rPr>
                <w:rFonts w:ascii="Calibri" w:hAnsi="Calibri"/>
                <w:szCs w:val="22"/>
              </w:rPr>
              <w:t>Before the new and existing accesses are used for vehicular purposes, that part of the access extending from the carriageway boundary for a minimum distance of 5m into the site shall be appropriately paved in tarmacadam, concrete, block paviours, or other hard material to be approved by the Local Planning Authority.</w:t>
            </w:r>
          </w:p>
          <w:p w14:paraId="0B4BA62D" w14:textId="77777777" w:rsidR="005053A2" w:rsidRDefault="005053A2" w:rsidP="005053A2">
            <w:pPr>
              <w:pStyle w:val="ListParagraph"/>
              <w:rPr>
                <w:rFonts w:ascii="Calibri" w:hAnsi="Calibri"/>
                <w:szCs w:val="22"/>
              </w:rPr>
            </w:pPr>
            <w:r w:rsidRPr="005053A2">
              <w:rPr>
                <w:rFonts w:ascii="Calibri" w:hAnsi="Calibri"/>
                <w:szCs w:val="22"/>
              </w:rPr>
              <w:t>Reason: To prevent loose surface material from being carried on to the public highway thus causing a potential source of danger to road users.</w:t>
            </w:r>
          </w:p>
          <w:p w14:paraId="7032B076" w14:textId="77777777" w:rsidR="005053A2" w:rsidRPr="005053A2" w:rsidRDefault="005053A2" w:rsidP="005053A2">
            <w:pPr>
              <w:pStyle w:val="ListParagraph"/>
              <w:rPr>
                <w:rFonts w:ascii="Calibri" w:hAnsi="Calibri"/>
                <w:szCs w:val="22"/>
              </w:rPr>
            </w:pPr>
          </w:p>
        </w:tc>
      </w:tr>
      <w:tr w:rsidR="00C0704D" w:rsidRPr="00D2449B" w14:paraId="704AC234"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562508"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D77907"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20452BB5"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093BB9" w14:textId="77777777" w:rsidR="00C0704D" w:rsidRPr="00C0704D" w:rsidRDefault="005053A2" w:rsidP="00692B60">
            <w:pPr>
              <w:rPr>
                <w:rFonts w:ascii="Calibri" w:hAnsi="Calibri"/>
                <w:szCs w:val="22"/>
              </w:rPr>
            </w:pPr>
            <w:r w:rsidRPr="00C0704D">
              <w:rPr>
                <w:rFonts w:ascii="Calibri" w:hAnsi="Calibri"/>
                <w:szCs w:val="22"/>
              </w:rPr>
              <w:t>No representations have been received in respect of the proposed development.</w:t>
            </w:r>
          </w:p>
        </w:tc>
      </w:tr>
      <w:tr w:rsidR="00C0704D" w:rsidRPr="00D2449B" w14:paraId="626ADF60"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8AA9034" w14:textId="77777777" w:rsidR="00C0704D" w:rsidRPr="00D2449B" w:rsidRDefault="00C0704D">
            <w:pPr>
              <w:rPr>
                <w:rFonts w:ascii="Calibri" w:hAnsi="Calibri"/>
                <w:color w:val="FF0000"/>
                <w:szCs w:val="22"/>
              </w:rPr>
            </w:pPr>
          </w:p>
        </w:tc>
      </w:tr>
      <w:tr w:rsidR="00C0704D" w:rsidRPr="00D2449B" w14:paraId="0C9DDFDD"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084077"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7294470E"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A1D177"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ED9434" w14:textId="77777777" w:rsidR="00C0704D" w:rsidRDefault="00C0704D" w:rsidP="00C0704D">
            <w:pPr>
              <w:rPr>
                <w:rFonts w:ascii="Calibri" w:hAnsi="Calibri"/>
                <w:b/>
                <w:szCs w:val="22"/>
              </w:rPr>
            </w:pPr>
          </w:p>
          <w:p w14:paraId="3E5B5DCA"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5229F27C"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2E4872AA" w14:textId="77777777" w:rsidR="008542DE" w:rsidRDefault="008542DE" w:rsidP="008542DE">
            <w:pPr>
              <w:pStyle w:val="PLANNING"/>
              <w:rPr>
                <w:rFonts w:ascii="Calibri" w:hAnsi="Calibri"/>
                <w:szCs w:val="22"/>
              </w:rPr>
            </w:pPr>
            <w:r w:rsidRPr="00C618DB">
              <w:rPr>
                <w:rFonts w:ascii="Calibri" w:hAnsi="Calibri"/>
                <w:szCs w:val="22"/>
              </w:rPr>
              <w:t>Key Statement DMI2 – Transport Considerations</w:t>
            </w:r>
          </w:p>
          <w:p w14:paraId="2C63A1A6" w14:textId="77777777" w:rsidR="005053A2" w:rsidRPr="00C618DB" w:rsidRDefault="005053A2" w:rsidP="008542DE">
            <w:pPr>
              <w:pStyle w:val="PLANNING"/>
              <w:rPr>
                <w:rFonts w:ascii="Calibri" w:hAnsi="Calibri"/>
                <w:szCs w:val="22"/>
              </w:rPr>
            </w:pPr>
          </w:p>
          <w:p w14:paraId="053D387F"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18AD15CA"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43299BF5"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2E50DAF9" w14:textId="77777777" w:rsidR="008542DE" w:rsidRPr="00C618DB" w:rsidRDefault="008542DE" w:rsidP="008542DE">
            <w:pPr>
              <w:pStyle w:val="PLANNING"/>
              <w:rPr>
                <w:rFonts w:ascii="Calibri" w:hAnsi="Calibri"/>
                <w:szCs w:val="22"/>
              </w:rPr>
            </w:pPr>
            <w:r w:rsidRPr="00C618DB">
              <w:rPr>
                <w:rFonts w:ascii="Calibri" w:hAnsi="Calibri"/>
                <w:szCs w:val="22"/>
              </w:rPr>
              <w:t>Policy DMH3 – Dwellings in the Open Countryside</w:t>
            </w:r>
          </w:p>
          <w:p w14:paraId="6EED5B8B" w14:textId="77777777" w:rsidR="008542DE" w:rsidRDefault="008542DE" w:rsidP="008542DE">
            <w:pPr>
              <w:pStyle w:val="PLANNING"/>
              <w:rPr>
                <w:rFonts w:ascii="Calibri" w:hAnsi="Calibri"/>
                <w:szCs w:val="22"/>
              </w:rPr>
            </w:pPr>
          </w:p>
          <w:p w14:paraId="22DDE294"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3549FDA4" w14:textId="77777777" w:rsidR="008542DE" w:rsidRPr="00D2449B" w:rsidRDefault="008542DE" w:rsidP="00C0704D">
            <w:pPr>
              <w:rPr>
                <w:rFonts w:ascii="Calibri" w:hAnsi="Calibri"/>
                <w:b/>
                <w:szCs w:val="22"/>
              </w:rPr>
            </w:pPr>
          </w:p>
        </w:tc>
      </w:tr>
      <w:tr w:rsidR="00C0704D" w:rsidRPr="00D2449B" w14:paraId="03206067"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76D30E"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28B9A61" w14:textId="77777777" w:rsidR="00C0704D" w:rsidRDefault="00C0704D" w:rsidP="00C0704D">
            <w:pPr>
              <w:pStyle w:val="PLANNING"/>
              <w:rPr>
                <w:rFonts w:ascii="Calibri" w:hAnsi="Calibri"/>
                <w:b/>
                <w:bCs/>
                <w:szCs w:val="22"/>
              </w:rPr>
            </w:pPr>
          </w:p>
          <w:p w14:paraId="10AE29FF" w14:textId="77777777" w:rsidR="005053A2" w:rsidRDefault="005053A2" w:rsidP="00C0704D">
            <w:pPr>
              <w:pStyle w:val="PLANNING"/>
              <w:rPr>
                <w:rFonts w:ascii="Calibri" w:hAnsi="Calibri"/>
                <w:b/>
                <w:bCs/>
                <w:szCs w:val="22"/>
              </w:rPr>
            </w:pPr>
            <w:r>
              <w:rPr>
                <w:rFonts w:ascii="Calibri" w:hAnsi="Calibri"/>
                <w:b/>
                <w:bCs/>
                <w:szCs w:val="22"/>
              </w:rPr>
              <w:t>3/2018/1107:</w:t>
            </w:r>
          </w:p>
          <w:p w14:paraId="048DDC4E" w14:textId="77777777" w:rsidR="005053A2" w:rsidRPr="005053A2" w:rsidRDefault="005053A2" w:rsidP="00C0704D">
            <w:pPr>
              <w:pStyle w:val="PLANNING"/>
              <w:rPr>
                <w:rFonts w:ascii="Calibri" w:hAnsi="Calibri"/>
                <w:bCs/>
                <w:szCs w:val="22"/>
              </w:rPr>
            </w:pPr>
            <w:r w:rsidRPr="005053A2">
              <w:rPr>
                <w:rFonts w:ascii="Calibri" w:hAnsi="Calibri"/>
                <w:bCs/>
                <w:szCs w:val="22"/>
              </w:rPr>
              <w:t>Change of use from C3 (dwelling) to C2 (residential care) with associated minor alterations to internal layout, replacement of one garage door with combination window frame, installation of new window to rear of garage.  (Withdrawn)</w:t>
            </w:r>
          </w:p>
          <w:p w14:paraId="51494672" w14:textId="77777777" w:rsidR="005053A2" w:rsidRPr="00D2449B" w:rsidRDefault="005053A2" w:rsidP="00C0704D">
            <w:pPr>
              <w:pStyle w:val="PLANNING"/>
              <w:rPr>
                <w:rFonts w:ascii="Calibri" w:hAnsi="Calibri"/>
                <w:b/>
                <w:bCs/>
                <w:szCs w:val="22"/>
              </w:rPr>
            </w:pPr>
          </w:p>
        </w:tc>
      </w:tr>
      <w:tr w:rsidR="00C0704D" w:rsidRPr="00D2449B" w14:paraId="1F232152"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C1F12DB" w14:textId="77777777" w:rsidR="00C0704D" w:rsidRPr="006A71AD" w:rsidRDefault="00C0704D" w:rsidP="006A71AD">
            <w:pPr>
              <w:pStyle w:val="PLANNING"/>
              <w:rPr>
                <w:rFonts w:ascii="Calibri" w:hAnsi="Calibri"/>
                <w:b/>
                <w:bCs/>
                <w:szCs w:val="22"/>
              </w:rPr>
            </w:pPr>
          </w:p>
        </w:tc>
      </w:tr>
      <w:tr w:rsidR="00C0704D" w:rsidRPr="00D2449B" w14:paraId="2DBB09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C21562"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52DB3FFB"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6B8B6E"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7D0EB8A" w14:textId="77777777" w:rsidR="00C0704D" w:rsidRDefault="00C0704D" w:rsidP="00811771">
            <w:pPr>
              <w:pStyle w:val="Header"/>
              <w:tabs>
                <w:tab w:val="clear" w:pos="4153"/>
                <w:tab w:val="clear" w:pos="8306"/>
              </w:tabs>
              <w:contextualSpacing/>
              <w:jc w:val="both"/>
              <w:rPr>
                <w:rFonts w:ascii="Calibri" w:hAnsi="Calibri"/>
                <w:bCs/>
                <w:szCs w:val="22"/>
              </w:rPr>
            </w:pPr>
          </w:p>
          <w:p w14:paraId="54E8F701" w14:textId="77777777" w:rsidR="00C0704D" w:rsidRDefault="005053A2"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part-single part two-storey detached dwelling fronting Hesketh Lane, Chipping.   The property is located within the defined open countryside being located approximately </w:t>
            </w:r>
            <w:r w:rsidR="00562608">
              <w:rPr>
                <w:rFonts w:ascii="Calibri" w:hAnsi="Calibri"/>
                <w:bCs/>
                <w:szCs w:val="22"/>
              </w:rPr>
              <w:t>1700m to the south of and outside of the defined settlement boundary of Chipping.</w:t>
            </w:r>
          </w:p>
          <w:p w14:paraId="0858D475" w14:textId="77777777" w:rsidR="005053A2" w:rsidRPr="006C2BFA" w:rsidRDefault="005053A2" w:rsidP="00B93EB5">
            <w:pPr>
              <w:pStyle w:val="Header"/>
              <w:tabs>
                <w:tab w:val="clear" w:pos="4153"/>
                <w:tab w:val="clear" w:pos="8306"/>
              </w:tabs>
              <w:contextualSpacing/>
              <w:jc w:val="both"/>
              <w:rPr>
                <w:rFonts w:ascii="Calibri" w:hAnsi="Calibri"/>
                <w:bCs/>
                <w:szCs w:val="22"/>
              </w:rPr>
            </w:pPr>
          </w:p>
        </w:tc>
      </w:tr>
      <w:tr w:rsidR="00C0704D" w:rsidRPr="00D2449B" w14:paraId="4CEC8460"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3251DB"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657B17F2" w14:textId="77777777" w:rsidR="00C0704D" w:rsidRDefault="00C0704D" w:rsidP="00440CB6">
            <w:pPr>
              <w:pStyle w:val="Header"/>
              <w:tabs>
                <w:tab w:val="clear" w:pos="4153"/>
                <w:tab w:val="clear" w:pos="8306"/>
              </w:tabs>
              <w:jc w:val="both"/>
              <w:rPr>
                <w:rFonts w:ascii="Calibri" w:hAnsi="Calibri"/>
                <w:b/>
                <w:szCs w:val="22"/>
              </w:rPr>
            </w:pPr>
          </w:p>
          <w:p w14:paraId="3E529381" w14:textId="77777777" w:rsidR="00C0704D" w:rsidRDefault="00F1068A" w:rsidP="00933EA9">
            <w:pPr>
              <w:jc w:val="both"/>
              <w:rPr>
                <w:rFonts w:ascii="Calibri" w:hAnsi="Calibri"/>
                <w:szCs w:val="22"/>
              </w:rPr>
            </w:pPr>
            <w:r>
              <w:rPr>
                <w:rFonts w:ascii="Calibri" w:hAnsi="Calibri"/>
                <w:szCs w:val="22"/>
              </w:rPr>
              <w:t xml:space="preserve">The submitted details </w:t>
            </w:r>
            <w:r w:rsidR="00933EA9">
              <w:rPr>
                <w:rFonts w:ascii="Calibri" w:hAnsi="Calibri"/>
                <w:szCs w:val="22"/>
              </w:rPr>
              <w:t>propose the subdivision of the existing dwelling to that of two independent residential dwellings.  In this respect it is proposed that the existing two-storey side garage and upper floor accommodation will be separated from the main dwelling to form a one-bedroom dwelling.    The submitted details proposes that the remainder of the main body of the dwelling will remain largely in its current configuration albeit experiencing a loss of one bedroom through the proposed subdivision.</w:t>
            </w:r>
          </w:p>
          <w:p w14:paraId="00F1879F" w14:textId="77777777" w:rsidR="00F1068A" w:rsidRPr="00D54E67" w:rsidRDefault="00F1068A" w:rsidP="00933EA9">
            <w:pPr>
              <w:jc w:val="both"/>
              <w:rPr>
                <w:rFonts w:ascii="Calibri" w:hAnsi="Calibri"/>
                <w:szCs w:val="22"/>
              </w:rPr>
            </w:pPr>
          </w:p>
        </w:tc>
      </w:tr>
      <w:tr w:rsidR="008542DE" w:rsidRPr="00D2449B" w14:paraId="33197771"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9F37C3" w14:textId="77777777" w:rsidR="008542DE" w:rsidRDefault="008542DE" w:rsidP="008542DE">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7F2AED75" w14:textId="77777777" w:rsidR="008542DE" w:rsidRPr="00D2449B" w:rsidRDefault="008542DE" w:rsidP="008542DE">
            <w:pPr>
              <w:pStyle w:val="Header"/>
              <w:tabs>
                <w:tab w:val="clear" w:pos="4153"/>
                <w:tab w:val="clear" w:pos="8306"/>
              </w:tabs>
              <w:contextualSpacing/>
              <w:jc w:val="both"/>
              <w:rPr>
                <w:rFonts w:ascii="Calibri" w:hAnsi="Calibri"/>
                <w:b/>
                <w:szCs w:val="22"/>
              </w:rPr>
            </w:pPr>
          </w:p>
          <w:p w14:paraId="2CE4957F" w14:textId="77777777" w:rsidR="00591200" w:rsidRPr="00591200" w:rsidRDefault="00591200" w:rsidP="00591200">
            <w:pPr>
              <w:contextualSpacing/>
              <w:jc w:val="both"/>
              <w:rPr>
                <w:rFonts w:ascii="Calibri" w:hAnsi="Calibri"/>
                <w:bCs/>
                <w:color w:val="000000" w:themeColor="text1"/>
                <w:szCs w:val="22"/>
              </w:rPr>
            </w:pPr>
            <w:r w:rsidRPr="00591200">
              <w:rPr>
                <w:rFonts w:ascii="Calibri" w:hAnsi="Calibri"/>
                <w:bCs/>
                <w:color w:val="000000" w:themeColor="text1"/>
                <w:szCs w:val="22"/>
              </w:rPr>
              <w:t xml:space="preserve">Given the sites location outside of a defined settlement boundary, Policy DMG2 remains fully engaged. Policy DMG2 is two-fold in its approach to guiding development. The primary part of the policy DMG2(1) is engaged where development proposals are located ‘in’ principal and tier 1 settlements with the second part of the policy DMG2(2) being engaged when a proposed development is located ‘outside’ defined settlement areas or within tier 2 villages, with each part of the policy therefore being engaged in isolation and independent of the other dependant on the locational aspects of a proposal.  </w:t>
            </w:r>
          </w:p>
          <w:p w14:paraId="5847E381" w14:textId="77777777" w:rsidR="00591200" w:rsidRPr="00591200" w:rsidRDefault="00591200" w:rsidP="00591200">
            <w:pPr>
              <w:contextualSpacing/>
              <w:jc w:val="both"/>
              <w:rPr>
                <w:rFonts w:ascii="Calibri" w:hAnsi="Calibri"/>
                <w:bCs/>
                <w:color w:val="000000" w:themeColor="text1"/>
                <w:szCs w:val="22"/>
              </w:rPr>
            </w:pPr>
          </w:p>
          <w:p w14:paraId="58EFB8CF" w14:textId="77777777" w:rsidR="00591200" w:rsidRPr="00591200" w:rsidRDefault="00591200" w:rsidP="00591200">
            <w:pPr>
              <w:contextualSpacing/>
              <w:jc w:val="both"/>
              <w:rPr>
                <w:rFonts w:ascii="Calibri" w:hAnsi="Calibri"/>
                <w:bCs/>
                <w:color w:val="000000" w:themeColor="text1"/>
                <w:szCs w:val="22"/>
              </w:rPr>
            </w:pPr>
            <w:r w:rsidRPr="00591200">
              <w:rPr>
                <w:rFonts w:ascii="Calibri" w:hAnsi="Calibri"/>
                <w:bCs/>
                <w:color w:val="000000" w:themeColor="text1"/>
                <w:szCs w:val="22"/>
              </w:rPr>
              <w:t xml:space="preserve">The mechanics and engagement of the policy are clear in this respect insofar that it contains explicit triggers as to when the former or latter criterion are applied and the triggers are purely locational and clearly based on a proposals relationship to defined settlement boundaries and whether, in this case, such a proposal is ‘in’ or ‘outside’ a defined settlement.  </w:t>
            </w:r>
          </w:p>
          <w:p w14:paraId="7F91BB15" w14:textId="77777777" w:rsidR="00591200" w:rsidRPr="00591200" w:rsidRDefault="00591200" w:rsidP="00591200">
            <w:pPr>
              <w:contextualSpacing/>
              <w:rPr>
                <w:rFonts w:ascii="Calibri" w:hAnsi="Calibri"/>
                <w:bCs/>
                <w:color w:val="548DD4" w:themeColor="text2" w:themeTint="99"/>
                <w:szCs w:val="22"/>
              </w:rPr>
            </w:pPr>
          </w:p>
          <w:p w14:paraId="14C30553" w14:textId="77777777" w:rsidR="00591200" w:rsidRPr="00591200" w:rsidRDefault="00591200" w:rsidP="00591200">
            <w:pPr>
              <w:contextualSpacing/>
              <w:rPr>
                <w:rFonts w:ascii="Calibri" w:hAnsi="Calibri"/>
                <w:bCs/>
                <w:color w:val="000000" w:themeColor="text1"/>
                <w:szCs w:val="22"/>
              </w:rPr>
            </w:pPr>
            <w:r w:rsidRPr="00591200">
              <w:rPr>
                <w:rFonts w:ascii="Calibri" w:hAnsi="Calibri"/>
                <w:bCs/>
                <w:color w:val="000000" w:themeColor="text1"/>
                <w:szCs w:val="22"/>
              </w:rPr>
              <w:t>The proposal is located outside of any defined settlement boundary, in this respect, when assessing the locational aspects of development, Policy DMG2(2) remains engaged which states that:</w:t>
            </w:r>
          </w:p>
          <w:p w14:paraId="18AFFBD3" w14:textId="77777777" w:rsidR="00591200" w:rsidRPr="00591200" w:rsidRDefault="00591200" w:rsidP="00591200">
            <w:pPr>
              <w:contextualSpacing/>
              <w:rPr>
                <w:rFonts w:ascii="Calibri" w:hAnsi="Calibri"/>
                <w:bCs/>
                <w:color w:val="000000" w:themeColor="text1"/>
                <w:szCs w:val="22"/>
              </w:rPr>
            </w:pPr>
          </w:p>
          <w:p w14:paraId="325C89BF" w14:textId="77777777" w:rsidR="00591200" w:rsidRPr="00591200" w:rsidRDefault="00591200" w:rsidP="00591200">
            <w:pPr>
              <w:contextualSpacing/>
              <w:rPr>
                <w:rFonts w:ascii="Calibri" w:hAnsi="Calibri"/>
                <w:bCs/>
                <w:color w:val="000000" w:themeColor="text1"/>
                <w:szCs w:val="22"/>
              </w:rPr>
            </w:pPr>
            <w:r w:rsidRPr="00591200">
              <w:rPr>
                <w:rFonts w:ascii="Calibri" w:hAnsi="Calibri"/>
                <w:bCs/>
                <w:color w:val="000000" w:themeColor="text1"/>
                <w:szCs w:val="22"/>
              </w:rPr>
              <w:t>Within the tier 2 villages and outside the defined settlement areas development must meet at least one of the following considerations:</w:t>
            </w:r>
          </w:p>
          <w:p w14:paraId="231D31CA" w14:textId="77777777" w:rsidR="00591200" w:rsidRPr="00591200" w:rsidRDefault="00591200" w:rsidP="00591200">
            <w:pPr>
              <w:contextualSpacing/>
              <w:rPr>
                <w:rFonts w:ascii="Calibri" w:hAnsi="Calibri"/>
                <w:bCs/>
                <w:color w:val="000000" w:themeColor="text1"/>
                <w:szCs w:val="22"/>
              </w:rPr>
            </w:pPr>
          </w:p>
          <w:p w14:paraId="320BDE36" w14:textId="77777777" w:rsidR="00591200" w:rsidRPr="00591200" w:rsidRDefault="00591200" w:rsidP="00591200">
            <w:pPr>
              <w:pStyle w:val="ListParagraph"/>
              <w:numPr>
                <w:ilvl w:val="0"/>
                <w:numId w:val="3"/>
              </w:numPr>
              <w:rPr>
                <w:rFonts w:ascii="Calibri" w:hAnsi="Calibri"/>
                <w:bCs/>
                <w:color w:val="000000" w:themeColor="text1"/>
                <w:szCs w:val="22"/>
              </w:rPr>
            </w:pPr>
            <w:r w:rsidRPr="00591200">
              <w:rPr>
                <w:rFonts w:ascii="Calibri" w:hAnsi="Calibri"/>
                <w:bCs/>
                <w:color w:val="000000" w:themeColor="text1"/>
                <w:szCs w:val="22"/>
              </w:rPr>
              <w:t>The development should be essential to the local economy or social wellbeing of the area.</w:t>
            </w:r>
          </w:p>
          <w:p w14:paraId="0C589091" w14:textId="77777777" w:rsidR="00591200" w:rsidRPr="00591200" w:rsidRDefault="00591200" w:rsidP="00591200">
            <w:pPr>
              <w:pStyle w:val="ListParagraph"/>
              <w:numPr>
                <w:ilvl w:val="0"/>
                <w:numId w:val="3"/>
              </w:numPr>
              <w:rPr>
                <w:rFonts w:ascii="Calibri" w:hAnsi="Calibri"/>
                <w:bCs/>
                <w:color w:val="000000" w:themeColor="text1"/>
                <w:szCs w:val="22"/>
              </w:rPr>
            </w:pPr>
            <w:r w:rsidRPr="00591200">
              <w:rPr>
                <w:rFonts w:ascii="Calibri" w:hAnsi="Calibri"/>
                <w:bCs/>
                <w:color w:val="000000" w:themeColor="text1"/>
                <w:szCs w:val="22"/>
              </w:rPr>
              <w:t>The development is needed for the purposes of forestry or agriculture.</w:t>
            </w:r>
          </w:p>
          <w:p w14:paraId="3CAEC113" w14:textId="77777777" w:rsidR="00591200" w:rsidRPr="00591200" w:rsidRDefault="00591200" w:rsidP="00591200">
            <w:pPr>
              <w:pStyle w:val="ListParagraph"/>
              <w:numPr>
                <w:ilvl w:val="0"/>
                <w:numId w:val="3"/>
              </w:numPr>
              <w:rPr>
                <w:rFonts w:ascii="Calibri" w:hAnsi="Calibri"/>
                <w:bCs/>
                <w:color w:val="000000" w:themeColor="text1"/>
                <w:szCs w:val="22"/>
              </w:rPr>
            </w:pPr>
            <w:r w:rsidRPr="00591200">
              <w:rPr>
                <w:rFonts w:ascii="Calibri" w:hAnsi="Calibri"/>
                <w:bCs/>
                <w:color w:val="000000" w:themeColor="text1"/>
                <w:szCs w:val="22"/>
              </w:rPr>
              <w:t>The development is for local needs housing which meets an identified need and is secured as such.</w:t>
            </w:r>
          </w:p>
          <w:p w14:paraId="1731CACD" w14:textId="77777777" w:rsidR="00591200" w:rsidRPr="00591200" w:rsidRDefault="00591200" w:rsidP="00591200">
            <w:pPr>
              <w:pStyle w:val="ListParagraph"/>
              <w:numPr>
                <w:ilvl w:val="0"/>
                <w:numId w:val="3"/>
              </w:numPr>
              <w:rPr>
                <w:rFonts w:ascii="Calibri" w:hAnsi="Calibri"/>
                <w:bCs/>
                <w:color w:val="000000" w:themeColor="text1"/>
                <w:szCs w:val="22"/>
              </w:rPr>
            </w:pPr>
            <w:r w:rsidRPr="00591200">
              <w:rPr>
                <w:rFonts w:ascii="Calibri" w:hAnsi="Calibri"/>
                <w:bCs/>
                <w:color w:val="000000" w:themeColor="text1"/>
                <w:szCs w:val="22"/>
              </w:rPr>
              <w:lastRenderedPageBreak/>
              <w:t>The development is for small scale tourism or recreational developments appropriate to a rural area.</w:t>
            </w:r>
          </w:p>
          <w:p w14:paraId="6C3DC63A" w14:textId="77777777" w:rsidR="00591200" w:rsidRPr="00591200" w:rsidRDefault="00591200" w:rsidP="00591200">
            <w:pPr>
              <w:pStyle w:val="ListParagraph"/>
              <w:numPr>
                <w:ilvl w:val="0"/>
                <w:numId w:val="3"/>
              </w:numPr>
              <w:rPr>
                <w:rFonts w:ascii="Calibri" w:hAnsi="Calibri"/>
                <w:bCs/>
                <w:color w:val="000000" w:themeColor="text1"/>
                <w:szCs w:val="22"/>
              </w:rPr>
            </w:pPr>
            <w:r w:rsidRPr="00591200">
              <w:rPr>
                <w:rFonts w:ascii="Calibri" w:hAnsi="Calibri"/>
                <w:bCs/>
                <w:color w:val="000000" w:themeColor="text1"/>
                <w:szCs w:val="22"/>
              </w:rPr>
              <w:t>The development is for small‐scale uses appropriate to a rural area where a local need or benefit can be demonstrated.</w:t>
            </w:r>
          </w:p>
          <w:p w14:paraId="18EAA246" w14:textId="77777777" w:rsidR="00591200" w:rsidRPr="00591200" w:rsidRDefault="00591200" w:rsidP="00591200">
            <w:pPr>
              <w:contextualSpacing/>
              <w:rPr>
                <w:rFonts w:ascii="Calibri" w:hAnsi="Calibri"/>
                <w:bCs/>
                <w:color w:val="000000" w:themeColor="text1"/>
                <w:szCs w:val="22"/>
              </w:rPr>
            </w:pPr>
          </w:p>
          <w:p w14:paraId="7C600D00" w14:textId="77777777" w:rsidR="00591200" w:rsidRPr="00591200" w:rsidRDefault="00591200" w:rsidP="00591200">
            <w:pPr>
              <w:contextualSpacing/>
              <w:rPr>
                <w:rFonts w:ascii="Calibri" w:hAnsi="Calibri"/>
                <w:bCs/>
                <w:color w:val="000000" w:themeColor="text1"/>
                <w:szCs w:val="22"/>
              </w:rPr>
            </w:pPr>
            <w:r w:rsidRPr="00591200">
              <w:rPr>
                <w:rFonts w:ascii="Calibri" w:hAnsi="Calibri"/>
                <w:bCs/>
                <w:color w:val="000000" w:themeColor="text1"/>
                <w:szCs w:val="22"/>
              </w:rPr>
              <w:t>In addition to the requirements of Policy DMG2, Policy DMH3 is also applicable given the sites location within the defined open countryside with the policy providing further context stating that:</w:t>
            </w:r>
          </w:p>
          <w:p w14:paraId="0BDFB456" w14:textId="77777777" w:rsidR="00591200" w:rsidRPr="00591200" w:rsidRDefault="00591200" w:rsidP="00591200">
            <w:pPr>
              <w:contextualSpacing/>
              <w:rPr>
                <w:rFonts w:ascii="Calibri" w:hAnsi="Calibri"/>
                <w:bCs/>
                <w:color w:val="000000" w:themeColor="text1"/>
                <w:szCs w:val="22"/>
              </w:rPr>
            </w:pPr>
          </w:p>
          <w:p w14:paraId="2015FA1F" w14:textId="77777777" w:rsidR="00591200" w:rsidRPr="00591200" w:rsidRDefault="00591200" w:rsidP="00591200">
            <w:pPr>
              <w:contextualSpacing/>
              <w:rPr>
                <w:rFonts w:ascii="Calibri" w:hAnsi="Calibri"/>
                <w:bCs/>
                <w:color w:val="000000" w:themeColor="text1"/>
                <w:szCs w:val="22"/>
              </w:rPr>
            </w:pPr>
            <w:r w:rsidRPr="00591200">
              <w:rPr>
                <w:rFonts w:ascii="Calibri" w:hAnsi="Calibri"/>
                <w:bCs/>
                <w:color w:val="000000" w:themeColor="text1"/>
                <w:szCs w:val="22"/>
              </w:rPr>
              <w:t>Within areas defined as open countryside or AONB on the proposals map, residential development will be limited to:</w:t>
            </w:r>
          </w:p>
          <w:p w14:paraId="0629378E" w14:textId="77777777" w:rsidR="00591200" w:rsidRPr="00591200" w:rsidRDefault="00591200" w:rsidP="00591200">
            <w:pPr>
              <w:contextualSpacing/>
              <w:rPr>
                <w:rFonts w:ascii="Calibri" w:hAnsi="Calibri"/>
                <w:bCs/>
                <w:color w:val="000000" w:themeColor="text1"/>
                <w:szCs w:val="22"/>
              </w:rPr>
            </w:pPr>
          </w:p>
          <w:p w14:paraId="7644F037" w14:textId="77777777" w:rsidR="00591200" w:rsidRPr="00591200" w:rsidRDefault="00591200" w:rsidP="00591200">
            <w:pPr>
              <w:pStyle w:val="ListParagraph"/>
              <w:numPr>
                <w:ilvl w:val="0"/>
                <w:numId w:val="4"/>
              </w:numPr>
              <w:rPr>
                <w:rFonts w:ascii="Calibri" w:hAnsi="Calibri"/>
                <w:bCs/>
                <w:color w:val="000000" w:themeColor="text1"/>
                <w:szCs w:val="22"/>
              </w:rPr>
            </w:pPr>
            <w:r w:rsidRPr="00591200">
              <w:rPr>
                <w:rFonts w:ascii="Calibri" w:hAnsi="Calibri"/>
                <w:bCs/>
                <w:color w:val="000000" w:themeColor="text1"/>
                <w:szCs w:val="22"/>
              </w:rPr>
              <w:t>Development essential for the purposes of agriculture or residential development which meets an identified local need. In assessing any proposal for an agricultural, forestry or other essential workers dwellings a functional and financial test will be applied.</w:t>
            </w:r>
          </w:p>
          <w:p w14:paraId="4DC05F92" w14:textId="77777777" w:rsidR="00591200" w:rsidRPr="00591200" w:rsidRDefault="00591200" w:rsidP="00591200">
            <w:pPr>
              <w:pStyle w:val="ListParagraph"/>
              <w:numPr>
                <w:ilvl w:val="0"/>
                <w:numId w:val="4"/>
              </w:numPr>
              <w:rPr>
                <w:rFonts w:ascii="Calibri" w:hAnsi="Calibri"/>
                <w:bCs/>
                <w:color w:val="000000" w:themeColor="text1"/>
                <w:szCs w:val="22"/>
              </w:rPr>
            </w:pPr>
            <w:r w:rsidRPr="00591200">
              <w:rPr>
                <w:rFonts w:ascii="Calibri" w:hAnsi="Calibri"/>
                <w:bCs/>
                <w:color w:val="000000" w:themeColor="text1"/>
                <w:szCs w:val="22"/>
              </w:rPr>
              <w:t>The appropriate conversion of buildings to dwellings providing they are suitably located and their form and general design are in keeping with their surroundings. buildings must be structurally sound and capable of conversion without the need for complete or substantial reconstruction.</w:t>
            </w:r>
          </w:p>
          <w:p w14:paraId="681F4BF6" w14:textId="77777777" w:rsidR="00591200" w:rsidRPr="00591200" w:rsidRDefault="00591200" w:rsidP="00591200">
            <w:pPr>
              <w:contextualSpacing/>
              <w:rPr>
                <w:rFonts w:ascii="Calibri" w:hAnsi="Calibri"/>
                <w:bCs/>
                <w:color w:val="548DD4" w:themeColor="text2" w:themeTint="99"/>
                <w:szCs w:val="22"/>
              </w:rPr>
            </w:pPr>
          </w:p>
          <w:p w14:paraId="13B21A1A" w14:textId="77777777" w:rsidR="00591200" w:rsidRPr="00591200" w:rsidRDefault="00591200" w:rsidP="00591200">
            <w:pPr>
              <w:contextualSpacing/>
              <w:jc w:val="both"/>
              <w:rPr>
                <w:rFonts w:ascii="Calibri" w:hAnsi="Calibri"/>
                <w:bCs/>
                <w:color w:val="000000" w:themeColor="text1"/>
                <w:szCs w:val="22"/>
              </w:rPr>
            </w:pPr>
            <w:r w:rsidRPr="00591200">
              <w:rPr>
                <w:rFonts w:ascii="Calibri" w:hAnsi="Calibri"/>
                <w:bCs/>
                <w:color w:val="000000" w:themeColor="text1"/>
                <w:szCs w:val="22"/>
              </w:rPr>
              <w:t xml:space="preserve">The submitted details do not argue that the proposal is ‘essential to the local economy or social wellbeing of the area’ nor could it be considered that the proposal ‘is needed for the purposes of forestry or agriculture’.  Additionally, in respect of the matter of ‘local need’, no evidence has been provided to suggest that the proposal would align with the definition of ‘local needs housing’ as defined within the Adopted Core Strategy which states that ‘Local needs housing is the housing developed to meet the needs of existing and concealed households living within the parish and surrounding parishes which is evidenced by the Housing Needs Survey for the parish, the Housing Waiting List and the Strategic Housing Market Assessment’.  </w:t>
            </w:r>
          </w:p>
          <w:p w14:paraId="32A002FB" w14:textId="77777777" w:rsidR="00591200" w:rsidRPr="00591200" w:rsidRDefault="00591200" w:rsidP="00591200">
            <w:pPr>
              <w:contextualSpacing/>
              <w:rPr>
                <w:rFonts w:ascii="Calibri" w:hAnsi="Calibri"/>
                <w:bCs/>
                <w:color w:val="548DD4" w:themeColor="text2" w:themeTint="99"/>
                <w:szCs w:val="22"/>
              </w:rPr>
            </w:pPr>
          </w:p>
          <w:p w14:paraId="3F9F1F1D" w14:textId="77777777" w:rsidR="008542DE" w:rsidRPr="00591200" w:rsidRDefault="00591200" w:rsidP="00591200">
            <w:pPr>
              <w:contextualSpacing/>
              <w:jc w:val="both"/>
              <w:rPr>
                <w:rFonts w:ascii="Calibri" w:hAnsi="Calibri"/>
                <w:bCs/>
                <w:color w:val="000000" w:themeColor="text1"/>
                <w:szCs w:val="22"/>
              </w:rPr>
            </w:pPr>
            <w:r w:rsidRPr="00591200">
              <w:rPr>
                <w:rFonts w:ascii="Calibri" w:hAnsi="Calibri"/>
                <w:bCs/>
                <w:color w:val="000000" w:themeColor="text1"/>
                <w:szCs w:val="22"/>
              </w:rPr>
              <w:t xml:space="preserve">In light of the above matters it cannot be considered that the proposal meets any of the exception criterion contained within Policies DMG2 nor DMH3 in relation to </w:t>
            </w:r>
            <w:r>
              <w:rPr>
                <w:rFonts w:ascii="Calibri" w:hAnsi="Calibri"/>
                <w:bCs/>
                <w:color w:val="000000" w:themeColor="text1"/>
                <w:szCs w:val="22"/>
              </w:rPr>
              <w:t xml:space="preserve">the creation of </w:t>
            </w:r>
            <w:r w:rsidRPr="00591200">
              <w:rPr>
                <w:rFonts w:ascii="Calibri" w:hAnsi="Calibri"/>
                <w:bCs/>
                <w:color w:val="000000" w:themeColor="text1"/>
                <w:szCs w:val="22"/>
              </w:rPr>
              <w:t>new dwellings within the defined open countryside.</w:t>
            </w:r>
          </w:p>
          <w:p w14:paraId="567983C2" w14:textId="77777777" w:rsidR="00591200" w:rsidRDefault="00591200" w:rsidP="00591200">
            <w:pPr>
              <w:contextualSpacing/>
              <w:rPr>
                <w:rFonts w:ascii="Calibri" w:hAnsi="Calibri"/>
                <w:b/>
                <w:szCs w:val="22"/>
              </w:rPr>
            </w:pPr>
          </w:p>
          <w:p w14:paraId="0EC09CB8" w14:textId="77777777" w:rsidR="005176E5" w:rsidRDefault="00591200" w:rsidP="005176E5">
            <w:pPr>
              <w:contextualSpacing/>
              <w:jc w:val="both"/>
              <w:rPr>
                <w:rFonts w:ascii="Calibri" w:hAnsi="Calibri"/>
                <w:szCs w:val="22"/>
              </w:rPr>
            </w:pPr>
            <w:r w:rsidRPr="005176E5">
              <w:rPr>
                <w:rFonts w:ascii="Calibri" w:hAnsi="Calibri"/>
                <w:szCs w:val="22"/>
              </w:rPr>
              <w:t>The applicant has stated that they consider the proposal aligns with Paragraph 79(d) of the National planning Policy Framework which allows for the</w:t>
            </w:r>
            <w:r w:rsidR="005176E5">
              <w:rPr>
                <w:rFonts w:ascii="Calibri" w:hAnsi="Calibri"/>
                <w:szCs w:val="22"/>
              </w:rPr>
              <w:t xml:space="preserve"> creation of ‘isolated homes in the countryside’ though the</w:t>
            </w:r>
            <w:r w:rsidRPr="005176E5">
              <w:rPr>
                <w:rFonts w:ascii="Calibri" w:hAnsi="Calibri"/>
                <w:szCs w:val="22"/>
              </w:rPr>
              <w:t xml:space="preserve"> ‘</w:t>
            </w:r>
            <w:r w:rsidR="005176E5" w:rsidRPr="005176E5">
              <w:rPr>
                <w:rFonts w:ascii="Calibri" w:hAnsi="Calibri"/>
                <w:szCs w:val="22"/>
              </w:rPr>
              <w:t>subdivision</w:t>
            </w:r>
            <w:r w:rsidRPr="005176E5">
              <w:rPr>
                <w:rFonts w:ascii="Calibri" w:hAnsi="Calibri"/>
                <w:szCs w:val="22"/>
              </w:rPr>
              <w:t xml:space="preserve"> </w:t>
            </w:r>
            <w:r w:rsidR="005176E5" w:rsidRPr="005176E5">
              <w:rPr>
                <w:rFonts w:ascii="Calibri" w:hAnsi="Calibri"/>
                <w:szCs w:val="22"/>
              </w:rPr>
              <w:t>of an existing dwelling’</w:t>
            </w:r>
            <w:r w:rsidR="005176E5">
              <w:rPr>
                <w:rFonts w:ascii="Calibri" w:hAnsi="Calibri"/>
                <w:szCs w:val="22"/>
              </w:rPr>
              <w:t xml:space="preserve">.  </w:t>
            </w:r>
          </w:p>
          <w:p w14:paraId="0E490042" w14:textId="77777777" w:rsidR="005176E5" w:rsidRDefault="005176E5" w:rsidP="005176E5">
            <w:pPr>
              <w:contextualSpacing/>
              <w:jc w:val="both"/>
              <w:rPr>
                <w:rFonts w:ascii="Calibri" w:hAnsi="Calibri"/>
                <w:szCs w:val="22"/>
              </w:rPr>
            </w:pPr>
          </w:p>
          <w:p w14:paraId="219BAD69" w14:textId="77777777" w:rsidR="00591200" w:rsidRDefault="005176E5" w:rsidP="005176E5">
            <w:pPr>
              <w:contextualSpacing/>
              <w:jc w:val="both"/>
              <w:rPr>
                <w:rFonts w:ascii="Calibri" w:hAnsi="Calibri"/>
                <w:szCs w:val="22"/>
              </w:rPr>
            </w:pPr>
            <w:r>
              <w:rPr>
                <w:rFonts w:ascii="Calibri" w:hAnsi="Calibri"/>
                <w:szCs w:val="22"/>
              </w:rPr>
              <w:t xml:space="preserve">In respect of this matter, taking account of the location of the proposed dwelling, given that it forms an integral part of well-established ribbon development and that it benefits from a close-proximity relationship to adjacent built form, it cannot reasonably be considered that the proposal is ‘isolated’ when taking account of the established interpretation of ‘isolated’ as established in the High Court judgement of </w:t>
            </w:r>
            <w:r w:rsidRPr="005176E5">
              <w:rPr>
                <w:rFonts w:ascii="Calibri" w:hAnsi="Calibri"/>
                <w:szCs w:val="22"/>
              </w:rPr>
              <w:t>Braintree District Council v Secretary of State for Communities and Local Government and others</w:t>
            </w:r>
            <w:r>
              <w:rPr>
                <w:rFonts w:ascii="Calibri" w:hAnsi="Calibri"/>
                <w:szCs w:val="22"/>
              </w:rPr>
              <w:t xml:space="preserve"> </w:t>
            </w:r>
            <w:r w:rsidRPr="005176E5">
              <w:rPr>
                <w:rFonts w:ascii="Calibri" w:hAnsi="Calibri"/>
                <w:szCs w:val="22"/>
              </w:rPr>
              <w:t>[2018] EWCA Civ 610</w:t>
            </w:r>
            <w:r>
              <w:rPr>
                <w:rFonts w:ascii="Calibri" w:hAnsi="Calibri"/>
                <w:szCs w:val="22"/>
              </w:rPr>
              <w:t>.</w:t>
            </w:r>
          </w:p>
          <w:p w14:paraId="6C5848EB" w14:textId="77777777" w:rsidR="005176E5" w:rsidRDefault="005176E5" w:rsidP="005176E5">
            <w:pPr>
              <w:contextualSpacing/>
              <w:jc w:val="both"/>
              <w:rPr>
                <w:rFonts w:ascii="Calibri" w:hAnsi="Calibri"/>
                <w:szCs w:val="22"/>
              </w:rPr>
            </w:pPr>
          </w:p>
          <w:p w14:paraId="11F24CEB" w14:textId="77777777" w:rsidR="001C1372" w:rsidRDefault="005176E5" w:rsidP="005176E5">
            <w:pPr>
              <w:contextualSpacing/>
              <w:jc w:val="both"/>
              <w:rPr>
                <w:rFonts w:ascii="Calibri" w:hAnsi="Calibri"/>
                <w:szCs w:val="22"/>
              </w:rPr>
            </w:pPr>
            <w:r>
              <w:rPr>
                <w:rFonts w:ascii="Calibri" w:hAnsi="Calibri"/>
                <w:szCs w:val="22"/>
              </w:rPr>
              <w:t xml:space="preserve">In this respect, given the dwelling to which the application relates is not truly ‘isolated’ it cannot be argued that Paragraph 79 can be engaged to lend support to the proposal.  </w:t>
            </w:r>
            <w:r w:rsidR="0080441F">
              <w:rPr>
                <w:rFonts w:ascii="Calibri" w:hAnsi="Calibri"/>
                <w:szCs w:val="22"/>
              </w:rPr>
              <w:t>Notwithstanding</w:t>
            </w:r>
            <w:r>
              <w:rPr>
                <w:rFonts w:ascii="Calibri" w:hAnsi="Calibri"/>
                <w:szCs w:val="22"/>
              </w:rPr>
              <w:t xml:space="preserve"> this matter, the adopted development plan remains the starting point for decision making in the Borough.  And as such, taking account of the conflicts identified above it is not considered that the proposal would align with the aims and objectives of adopted development plan in respect of the locational aspirations for new development within the area.</w:t>
            </w:r>
          </w:p>
          <w:p w14:paraId="177D9C6E" w14:textId="77777777" w:rsidR="0080441F" w:rsidRDefault="0080441F" w:rsidP="005176E5">
            <w:pPr>
              <w:contextualSpacing/>
              <w:jc w:val="both"/>
              <w:rPr>
                <w:rFonts w:ascii="Calibri" w:hAnsi="Calibri"/>
                <w:szCs w:val="22"/>
              </w:rPr>
            </w:pPr>
          </w:p>
          <w:p w14:paraId="48E6DF42" w14:textId="77777777" w:rsidR="00EA2489" w:rsidRPr="009130C4" w:rsidRDefault="00EA2489" w:rsidP="005176E5">
            <w:pPr>
              <w:contextualSpacing/>
              <w:jc w:val="both"/>
              <w:rPr>
                <w:rFonts w:ascii="Calibri" w:hAnsi="Calibri"/>
                <w:szCs w:val="22"/>
              </w:rPr>
            </w:pPr>
            <w:r w:rsidRPr="009130C4">
              <w:rPr>
                <w:rFonts w:ascii="Calibri" w:hAnsi="Calibri"/>
                <w:szCs w:val="22"/>
              </w:rPr>
              <w:t xml:space="preserve">In addition to matters relating to the spatial and locational aspirations of new residential development within the Borough, consideration must also be given to </w:t>
            </w:r>
            <w:r w:rsidR="009130C4" w:rsidRPr="009130C4">
              <w:rPr>
                <w:rFonts w:ascii="Calibri" w:hAnsi="Calibri"/>
                <w:szCs w:val="22"/>
              </w:rPr>
              <w:t>the location of such development in respect of access to services and facilities, particularly on foot.</w:t>
            </w:r>
          </w:p>
          <w:p w14:paraId="5C0FC2C3" w14:textId="77777777" w:rsidR="00EA2489" w:rsidRPr="009130C4" w:rsidRDefault="00EA2489" w:rsidP="005176E5">
            <w:pPr>
              <w:contextualSpacing/>
              <w:jc w:val="both"/>
              <w:rPr>
                <w:rFonts w:ascii="Calibri" w:hAnsi="Calibri"/>
                <w:szCs w:val="22"/>
              </w:rPr>
            </w:pPr>
          </w:p>
          <w:p w14:paraId="63AFA03C" w14:textId="77777777" w:rsidR="0080441F" w:rsidRDefault="009130C4" w:rsidP="005176E5">
            <w:pPr>
              <w:contextualSpacing/>
              <w:jc w:val="both"/>
              <w:rPr>
                <w:rFonts w:ascii="Calibri" w:hAnsi="Calibri"/>
                <w:szCs w:val="22"/>
              </w:rPr>
            </w:pPr>
            <w:r w:rsidRPr="009130C4">
              <w:rPr>
                <w:rFonts w:ascii="Calibri" w:hAnsi="Calibri"/>
                <w:szCs w:val="22"/>
              </w:rPr>
              <w:t xml:space="preserve">In this respect, given the proposals largely divorced nature from any nearby services or facilities and </w:t>
            </w:r>
            <w:r w:rsidRPr="009130C4">
              <w:rPr>
                <w:rFonts w:ascii="Calibri" w:hAnsi="Calibri"/>
                <w:szCs w:val="22"/>
              </w:rPr>
              <w:lastRenderedPageBreak/>
              <w:t>given the lack of adequate footway provision in the vicinity that would facilitate walkable access to the nearest defined settlement.  It is considered that t</w:t>
            </w:r>
            <w:r w:rsidR="0080441F" w:rsidRPr="009130C4">
              <w:rPr>
                <w:rFonts w:ascii="Calibri" w:hAnsi="Calibri"/>
                <w:szCs w:val="22"/>
              </w:rPr>
              <w:t>he creation of a new dwelling in this location would lead to the perpetuation of an already unsustainable pattern of development, in a location that does not benefit from adequate walkable access to a wide range of local services or facilities, placing further reliance on the private motor-vehicle contrary to the aims and objectives of Policy DMG3 of the Ribble Valley Core Strategy and the presumption in favour of sustainable development as embodied within the National Planning Policy Framework.</w:t>
            </w:r>
          </w:p>
          <w:p w14:paraId="63A2FF20" w14:textId="77777777" w:rsidR="001C1372" w:rsidRDefault="001C1372" w:rsidP="005176E5">
            <w:pPr>
              <w:contextualSpacing/>
              <w:jc w:val="both"/>
              <w:rPr>
                <w:rFonts w:ascii="Calibri" w:hAnsi="Calibri"/>
                <w:szCs w:val="22"/>
              </w:rPr>
            </w:pPr>
          </w:p>
          <w:p w14:paraId="7F226CF3" w14:textId="77777777" w:rsidR="001C1372" w:rsidRDefault="001C1372" w:rsidP="005176E5">
            <w:pPr>
              <w:contextualSpacing/>
              <w:jc w:val="both"/>
              <w:rPr>
                <w:rFonts w:ascii="Calibri" w:hAnsi="Calibri"/>
                <w:szCs w:val="22"/>
              </w:rPr>
            </w:pPr>
            <w:r>
              <w:rPr>
                <w:rFonts w:ascii="Calibri" w:hAnsi="Calibri"/>
                <w:szCs w:val="22"/>
              </w:rPr>
              <w:t xml:space="preserve">Further to the above, the applicant has made comparison to a nearby planning application (3/2018/0786) for the conversion of an existing public house to that of residential dwellings including the erection of 4 holiday cottages.  In this respect the applicant considers that the aforementioned application demonstrates that policy is permissible of new dwellings within the open countryside and as such consent should be granted for the subdivision of Roall Garth.  </w:t>
            </w:r>
          </w:p>
          <w:p w14:paraId="66BAAFEB" w14:textId="77777777" w:rsidR="001C1372" w:rsidRDefault="001C1372" w:rsidP="005176E5">
            <w:pPr>
              <w:contextualSpacing/>
              <w:jc w:val="both"/>
              <w:rPr>
                <w:rFonts w:ascii="Calibri" w:hAnsi="Calibri"/>
                <w:szCs w:val="22"/>
              </w:rPr>
            </w:pPr>
          </w:p>
          <w:p w14:paraId="22FBBE23" w14:textId="77777777" w:rsidR="001C1372" w:rsidRPr="009130C4" w:rsidRDefault="001C1372" w:rsidP="005176E5">
            <w:pPr>
              <w:contextualSpacing/>
              <w:jc w:val="both"/>
              <w:rPr>
                <w:rFonts w:ascii="Calibri" w:hAnsi="Calibri"/>
                <w:szCs w:val="22"/>
              </w:rPr>
            </w:pPr>
            <w:r>
              <w:rPr>
                <w:rFonts w:ascii="Calibri" w:hAnsi="Calibri"/>
                <w:szCs w:val="22"/>
              </w:rPr>
              <w:t xml:space="preserve">The authority considers that this is not the case with the previous application relating to business premises which had been demonstrated as no longer being viable which was demonstrated through extensive marketing with no potential buyers/operators coming forward.  In this respect the application met the exception tests within </w:t>
            </w:r>
            <w:r w:rsidR="003310D9">
              <w:rPr>
                <w:rFonts w:ascii="Calibri" w:hAnsi="Calibri"/>
                <w:szCs w:val="22"/>
              </w:rPr>
              <w:t>Policy DMB1 of the Ribble Valley Core Strategy.</w:t>
            </w:r>
          </w:p>
          <w:p w14:paraId="2EBA108B" w14:textId="77777777" w:rsidR="005176E5" w:rsidRDefault="005176E5" w:rsidP="005176E5">
            <w:pPr>
              <w:contextualSpacing/>
              <w:jc w:val="both"/>
              <w:rPr>
                <w:rFonts w:ascii="Calibri" w:hAnsi="Calibri"/>
                <w:b/>
                <w:szCs w:val="22"/>
              </w:rPr>
            </w:pPr>
          </w:p>
        </w:tc>
      </w:tr>
      <w:tr w:rsidR="00C0704D" w:rsidRPr="00D2449B" w14:paraId="02B77120"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0806CF"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15FA2E76" w14:textId="77777777" w:rsidR="00C0704D" w:rsidRDefault="00C0704D" w:rsidP="00EA09F9">
            <w:pPr>
              <w:pStyle w:val="Header"/>
              <w:tabs>
                <w:tab w:val="clear" w:pos="4153"/>
                <w:tab w:val="clear" w:pos="8306"/>
              </w:tabs>
              <w:contextualSpacing/>
              <w:jc w:val="both"/>
              <w:rPr>
                <w:rFonts w:ascii="Calibri" w:hAnsi="Calibri"/>
                <w:b/>
                <w:szCs w:val="22"/>
              </w:rPr>
            </w:pPr>
          </w:p>
          <w:p w14:paraId="39D510B3" w14:textId="77777777" w:rsidR="00C0704D" w:rsidRPr="00A65747" w:rsidRDefault="00A65747" w:rsidP="00A65747">
            <w:pPr>
              <w:contextualSpacing/>
              <w:jc w:val="both"/>
              <w:rPr>
                <w:rFonts w:ascii="Calibri" w:hAnsi="Calibri"/>
                <w:szCs w:val="22"/>
              </w:rPr>
            </w:pPr>
            <w:r w:rsidRPr="00A65747">
              <w:rPr>
                <w:rFonts w:ascii="Calibri" w:hAnsi="Calibri"/>
                <w:szCs w:val="22"/>
              </w:rPr>
              <w:t xml:space="preserve">The submitted details propose minor exterior alterations that would result in the attached garage element of the proposal adopting a more domestic appearance through the introduction of windows and doors </w:t>
            </w:r>
            <w:r>
              <w:rPr>
                <w:rFonts w:ascii="Calibri" w:hAnsi="Calibri"/>
                <w:szCs w:val="22"/>
              </w:rPr>
              <w:t>to facilitate the conversion to that of habitable room-space.  In this respect it is not considered that the proposal will result in any undue impact upon the character or visual amenities of the area.</w:t>
            </w:r>
          </w:p>
          <w:p w14:paraId="3DEE86D5" w14:textId="77777777" w:rsidR="00A65747" w:rsidRDefault="00A65747" w:rsidP="005E1C6C">
            <w:pPr>
              <w:contextualSpacing/>
              <w:rPr>
                <w:rFonts w:ascii="Calibri" w:hAnsi="Calibri"/>
                <w:b/>
                <w:szCs w:val="22"/>
              </w:rPr>
            </w:pPr>
          </w:p>
        </w:tc>
      </w:tr>
      <w:tr w:rsidR="00C0704D" w:rsidRPr="00D2449B" w14:paraId="75206B0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7B80A3"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6702C6E7" w14:textId="77777777" w:rsidR="00C0704D" w:rsidRPr="00DD62F6" w:rsidRDefault="00C0704D" w:rsidP="00DD62F6">
            <w:pPr>
              <w:contextualSpacing/>
              <w:rPr>
                <w:rFonts w:ascii="Calibri" w:hAnsi="Calibri"/>
                <w:bCs/>
                <w:color w:val="548DD4" w:themeColor="text2" w:themeTint="99"/>
                <w:szCs w:val="22"/>
              </w:rPr>
            </w:pPr>
          </w:p>
          <w:p w14:paraId="70958D04" w14:textId="77777777" w:rsidR="00C0704D" w:rsidRPr="009130C4" w:rsidRDefault="00C0704D" w:rsidP="00DD62F6">
            <w:pPr>
              <w:pStyle w:val="Header"/>
              <w:tabs>
                <w:tab w:val="clear" w:pos="4153"/>
                <w:tab w:val="clear" w:pos="8306"/>
              </w:tabs>
              <w:contextualSpacing/>
              <w:jc w:val="both"/>
              <w:rPr>
                <w:rFonts w:ascii="Calibri" w:hAnsi="Calibri"/>
                <w:bCs/>
                <w:szCs w:val="22"/>
              </w:rPr>
            </w:pPr>
            <w:r w:rsidRPr="009130C4">
              <w:rPr>
                <w:rFonts w:ascii="Calibri" w:hAnsi="Calibri"/>
                <w:bCs/>
                <w:szCs w:val="22"/>
              </w:rPr>
              <w:t xml:space="preserve">It is for the above reasons and having regard to all material considerations and matters raised that </w:t>
            </w:r>
            <w:r w:rsidR="005176E5" w:rsidRPr="009130C4">
              <w:rPr>
                <w:rFonts w:ascii="Calibri" w:hAnsi="Calibri"/>
                <w:bCs/>
                <w:szCs w:val="22"/>
              </w:rPr>
              <w:t>the application is recommended for refusal.</w:t>
            </w:r>
          </w:p>
          <w:p w14:paraId="344FD162"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7230F4CD" w14:textId="77777777" w:rsidTr="000A7CF7">
        <w:trPr>
          <w:jc w:val="center"/>
        </w:trPr>
        <w:tc>
          <w:tcPr>
            <w:tcW w:w="266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B7B261"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43195D" w14:textId="77777777" w:rsidR="00C0704D" w:rsidRPr="00D2449B" w:rsidRDefault="00C0704D" w:rsidP="000A7CF7">
            <w:pPr>
              <w:rPr>
                <w:rFonts w:ascii="Calibri" w:hAnsi="Calibri"/>
                <w:bCs/>
                <w:szCs w:val="22"/>
              </w:rPr>
            </w:pPr>
            <w:r w:rsidRPr="008E0D46">
              <w:rPr>
                <w:rFonts w:asciiTheme="minorHAnsi" w:hAnsiTheme="minorHAnsi"/>
                <w:bCs/>
                <w:szCs w:val="22"/>
              </w:rPr>
              <w:t xml:space="preserve">That planning consent be </w:t>
            </w:r>
            <w:r w:rsidR="000A7CF7">
              <w:rPr>
                <w:rFonts w:asciiTheme="minorHAnsi" w:hAnsiTheme="minorHAnsi"/>
                <w:bCs/>
                <w:szCs w:val="22"/>
              </w:rPr>
              <w:t>refused for the following reason(s)</w:t>
            </w:r>
          </w:p>
        </w:tc>
      </w:tr>
      <w:tr w:rsidR="000A7CF7" w:rsidRPr="00D2449B" w14:paraId="0D31107D"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2C4B84" w14:textId="77777777" w:rsidR="000A7CF7" w:rsidRPr="000A7CF7" w:rsidRDefault="000A7CF7" w:rsidP="000A7CF7">
            <w:pPr>
              <w:jc w:val="center"/>
              <w:rPr>
                <w:rFonts w:asciiTheme="minorHAnsi" w:hAnsiTheme="minorHAnsi"/>
                <w:b/>
                <w:bCs/>
                <w:szCs w:val="22"/>
              </w:rPr>
            </w:pPr>
            <w:r w:rsidRPr="000A7CF7">
              <w:rPr>
                <w:rFonts w:asciiTheme="minorHAnsi" w:hAnsiTheme="minorHAnsi"/>
                <w:b/>
                <w:bCs/>
                <w:szCs w:val="22"/>
              </w:rPr>
              <w:t>01</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59E849" w14:textId="77777777" w:rsidR="000A7CF7" w:rsidRPr="008E0D46" w:rsidRDefault="005051EA" w:rsidP="005051EA">
            <w:pPr>
              <w:jc w:val="both"/>
              <w:rPr>
                <w:rFonts w:asciiTheme="minorHAnsi" w:hAnsiTheme="minorHAnsi"/>
                <w:bCs/>
                <w:szCs w:val="22"/>
              </w:rPr>
            </w:pPr>
            <w:r w:rsidRPr="005051EA">
              <w:rPr>
                <w:rFonts w:asciiTheme="minorHAnsi" w:hAnsiTheme="minorHAnsi"/>
                <w:bCs/>
                <w:szCs w:val="22"/>
              </w:rPr>
              <w:t xml:space="preserve">The proposal is considered contrary to Policies DMG2 and DMH3 of the Ribble Valley Core Strategy in that approval would lead to the creation </w:t>
            </w:r>
            <w:r w:rsidR="007C5799">
              <w:rPr>
                <w:rFonts w:asciiTheme="minorHAnsi" w:hAnsiTheme="minorHAnsi"/>
                <w:bCs/>
                <w:szCs w:val="22"/>
              </w:rPr>
              <w:t xml:space="preserve">of a </w:t>
            </w:r>
            <w:r w:rsidRPr="005051EA">
              <w:rPr>
                <w:rFonts w:asciiTheme="minorHAnsi" w:hAnsiTheme="minorHAnsi"/>
                <w:bCs/>
                <w:szCs w:val="22"/>
              </w:rPr>
              <w:t>new residential dwelling in the defined open countryside, located outside of a defined settlement boundary, without sufficient justification insofar that it has not been adequately demonstrated that the proposal is for that of local needs housing that meets a current identified and evidenced outstanding need.</w:t>
            </w:r>
          </w:p>
        </w:tc>
      </w:tr>
      <w:tr w:rsidR="000A7CF7" w:rsidRPr="00D2449B" w14:paraId="0DDAA255"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524854" w14:textId="77777777" w:rsidR="000A7CF7" w:rsidRPr="000A7CF7" w:rsidRDefault="0080441F" w:rsidP="000A7CF7">
            <w:pPr>
              <w:jc w:val="center"/>
              <w:rPr>
                <w:rFonts w:asciiTheme="minorHAnsi" w:hAnsiTheme="minorHAnsi"/>
                <w:b/>
                <w:bCs/>
                <w:szCs w:val="22"/>
              </w:rPr>
            </w:pPr>
            <w:r w:rsidRPr="000A7CF7">
              <w:rPr>
                <w:rFonts w:asciiTheme="minorHAnsi" w:hAnsiTheme="minorHAnsi"/>
                <w:b/>
                <w:bCs/>
                <w:szCs w:val="22"/>
              </w:rPr>
              <w:t>0</w:t>
            </w:r>
            <w:r>
              <w:rPr>
                <w:rFonts w:asciiTheme="minorHAnsi" w:hAnsiTheme="minorHAnsi"/>
                <w:b/>
                <w:bCs/>
                <w:szCs w:val="22"/>
              </w:rPr>
              <w:t>2</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AD8BD8" w14:textId="77777777" w:rsidR="0080441F" w:rsidRPr="008E0D46" w:rsidRDefault="0080441F" w:rsidP="0080441F">
            <w:pPr>
              <w:jc w:val="both"/>
              <w:rPr>
                <w:rFonts w:asciiTheme="minorHAnsi" w:hAnsiTheme="minorHAnsi"/>
                <w:bCs/>
                <w:szCs w:val="22"/>
              </w:rPr>
            </w:pPr>
            <w:r w:rsidRPr="0080441F">
              <w:rPr>
                <w:rFonts w:asciiTheme="minorHAnsi" w:hAnsiTheme="minorHAnsi"/>
                <w:bCs/>
                <w:szCs w:val="22"/>
              </w:rPr>
              <w:t xml:space="preserve">The proposed conversion would result in the creation of a new residential dwelling, without sufficient or adequate justification, that does not benefit from adequate walkable access to </w:t>
            </w:r>
            <w:r w:rsidR="00EA2489">
              <w:rPr>
                <w:rFonts w:asciiTheme="minorHAnsi" w:hAnsiTheme="minorHAnsi"/>
                <w:bCs/>
                <w:szCs w:val="22"/>
              </w:rPr>
              <w:t xml:space="preserve">a wide range of </w:t>
            </w:r>
            <w:r w:rsidRPr="0080441F">
              <w:rPr>
                <w:rFonts w:asciiTheme="minorHAnsi" w:hAnsiTheme="minorHAnsi"/>
                <w:bCs/>
                <w:szCs w:val="22"/>
              </w:rPr>
              <w:t>local services or facilities - placing further reliance on the private motor-vehicle contrary to the aims and objectives of Key Statements DS1, DS2, DMI2 and Policies DMG2, DMG3 and DMH3 of the Ribble Valley Core Strategy and the National Planning Policy Framework presumption in favour of sustainable development.</w:t>
            </w:r>
          </w:p>
        </w:tc>
      </w:tr>
    </w:tbl>
    <w:p w14:paraId="17924796" w14:textId="77777777" w:rsidR="0031197A" w:rsidRPr="00D2449B" w:rsidRDefault="00FA47C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E5DB7" w14:textId="77777777" w:rsidR="006D0B5F" w:rsidRDefault="006D0B5F" w:rsidP="006D0B5F">
      <w:r>
        <w:separator/>
      </w:r>
    </w:p>
  </w:endnote>
  <w:endnote w:type="continuationSeparator" w:id="0">
    <w:p w14:paraId="17171D86"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92FE0" w14:textId="77777777" w:rsidR="006D0B5F" w:rsidRDefault="006D0B5F" w:rsidP="006D0B5F">
      <w:r>
        <w:separator/>
      </w:r>
    </w:p>
  </w:footnote>
  <w:footnote w:type="continuationSeparator" w:id="0">
    <w:p w14:paraId="4C77F3B6"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716"/>
    <w:multiLevelType w:val="hybridMultilevel"/>
    <w:tmpl w:val="B008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B7009"/>
    <w:multiLevelType w:val="hybridMultilevel"/>
    <w:tmpl w:val="B240D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270A0D"/>
    <w:multiLevelType w:val="hybridMultilevel"/>
    <w:tmpl w:val="9C9C8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A7CF7"/>
    <w:rsid w:val="000B5CB5"/>
    <w:rsid w:val="00130035"/>
    <w:rsid w:val="001C1372"/>
    <w:rsid w:val="001D4F7A"/>
    <w:rsid w:val="00250879"/>
    <w:rsid w:val="0029334A"/>
    <w:rsid w:val="002A01CF"/>
    <w:rsid w:val="002C6277"/>
    <w:rsid w:val="002F2580"/>
    <w:rsid w:val="00321B6E"/>
    <w:rsid w:val="003310D9"/>
    <w:rsid w:val="003D3361"/>
    <w:rsid w:val="00440CB6"/>
    <w:rsid w:val="004936A6"/>
    <w:rsid w:val="004947BB"/>
    <w:rsid w:val="004A5EA9"/>
    <w:rsid w:val="004C2434"/>
    <w:rsid w:val="004F0649"/>
    <w:rsid w:val="005051EA"/>
    <w:rsid w:val="005053A2"/>
    <w:rsid w:val="00510FA2"/>
    <w:rsid w:val="005176E5"/>
    <w:rsid w:val="00556ECD"/>
    <w:rsid w:val="00562608"/>
    <w:rsid w:val="00591200"/>
    <w:rsid w:val="005E1C6C"/>
    <w:rsid w:val="005E65DF"/>
    <w:rsid w:val="00692B60"/>
    <w:rsid w:val="006A71AD"/>
    <w:rsid w:val="006C2BFA"/>
    <w:rsid w:val="006D0B5F"/>
    <w:rsid w:val="0070054B"/>
    <w:rsid w:val="00776AE2"/>
    <w:rsid w:val="007C5799"/>
    <w:rsid w:val="007C791C"/>
    <w:rsid w:val="007D7DF4"/>
    <w:rsid w:val="007E0D23"/>
    <w:rsid w:val="0080441F"/>
    <w:rsid w:val="00811771"/>
    <w:rsid w:val="008542DE"/>
    <w:rsid w:val="008A28C8"/>
    <w:rsid w:val="009130C4"/>
    <w:rsid w:val="00933EA9"/>
    <w:rsid w:val="00A42E82"/>
    <w:rsid w:val="00A579BB"/>
    <w:rsid w:val="00A63D55"/>
    <w:rsid w:val="00A65747"/>
    <w:rsid w:val="00A95D89"/>
    <w:rsid w:val="00B93EB5"/>
    <w:rsid w:val="00BD3F03"/>
    <w:rsid w:val="00C0704D"/>
    <w:rsid w:val="00C25722"/>
    <w:rsid w:val="00C618DB"/>
    <w:rsid w:val="00D11007"/>
    <w:rsid w:val="00D2449B"/>
    <w:rsid w:val="00D54E67"/>
    <w:rsid w:val="00DD62F6"/>
    <w:rsid w:val="00E46243"/>
    <w:rsid w:val="00E66534"/>
    <w:rsid w:val="00E72F6C"/>
    <w:rsid w:val="00EA09F9"/>
    <w:rsid w:val="00EA2489"/>
    <w:rsid w:val="00EC23C7"/>
    <w:rsid w:val="00ED00B7"/>
    <w:rsid w:val="00EF44E6"/>
    <w:rsid w:val="00F1068A"/>
    <w:rsid w:val="00FA47C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7889"/>
  <w15:docId w15:val="{DCB280A2-821D-47D7-9A5E-BCC3CE41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E047-949C-494F-85A6-9AC93736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Stephen Kilmartin</cp:lastModifiedBy>
  <cp:revision>2</cp:revision>
  <cp:lastPrinted>2016-01-04T13:03:00Z</cp:lastPrinted>
  <dcterms:created xsi:type="dcterms:W3CDTF">2021-07-06T12:11:00Z</dcterms:created>
  <dcterms:modified xsi:type="dcterms:W3CDTF">2021-07-06T12:11:00Z</dcterms:modified>
</cp:coreProperties>
</file>