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A173B3">
            <w:pPr>
              <w:pStyle w:val="addresses"/>
              <w:rPr>
                <w:rFonts w:ascii="Calibri" w:hAnsi="Calibri"/>
                <w:sz w:val="24"/>
                <w:szCs w:val="24"/>
              </w:rPr>
            </w:pPr>
            <w:r>
              <w:rPr>
                <w:rFonts w:ascii="Calibri" w:hAnsi="Calibri"/>
                <w:sz w:val="24"/>
                <w:szCs w:val="24"/>
              </w:rPr>
              <w:t>3/2020/1083</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A173B3">
            <w:pPr>
              <w:rPr>
                <w:rFonts w:ascii="Calibri" w:hAnsi="Calibri"/>
                <w:sz w:val="24"/>
                <w:szCs w:val="24"/>
              </w:rPr>
            </w:pPr>
            <w:r>
              <w:rPr>
                <w:rFonts w:ascii="Calibri" w:hAnsi="Calibri"/>
                <w:sz w:val="24"/>
                <w:szCs w:val="24"/>
              </w:rPr>
              <w:t>13 January 2021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A173B3">
            <w:pPr>
              <w:rPr>
                <w:rFonts w:ascii="Calibri" w:hAnsi="Calibri"/>
                <w:sz w:val="24"/>
                <w:szCs w:val="24"/>
              </w:rPr>
            </w:pPr>
            <w:r>
              <w:rPr>
                <w:rFonts w:ascii="Calibri" w:hAnsi="Calibri"/>
                <w:sz w:val="24"/>
                <w:szCs w:val="24"/>
              </w:rPr>
              <w:t>17/12/2020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A173B3">
            <w:pPr>
              <w:rPr>
                <w:rFonts w:ascii="Calibri" w:hAnsi="Calibri"/>
                <w:sz w:val="24"/>
                <w:szCs w:val="24"/>
              </w:rPr>
            </w:pPr>
            <w:r>
              <w:rPr>
                <w:rFonts w:ascii="Calibri" w:hAnsi="Calibri"/>
                <w:sz w:val="24"/>
                <w:szCs w:val="24"/>
              </w:rPr>
              <w:t xml:space="preserve">Mr Daniel Burton </w:t>
            </w:r>
          </w:p>
          <w:p w:rsidR="00A173B3" w:rsidRDefault="00A173B3">
            <w:pPr>
              <w:rPr>
                <w:rFonts w:ascii="Calibri" w:hAnsi="Calibri"/>
                <w:sz w:val="24"/>
                <w:szCs w:val="24"/>
              </w:rPr>
            </w:pPr>
            <w:proofErr w:type="spellStart"/>
            <w:r>
              <w:rPr>
                <w:rFonts w:ascii="Calibri" w:hAnsi="Calibri"/>
                <w:sz w:val="24"/>
                <w:szCs w:val="24"/>
              </w:rPr>
              <w:t>Whiteholme</w:t>
            </w:r>
            <w:proofErr w:type="spellEnd"/>
            <w:r>
              <w:rPr>
                <w:rFonts w:ascii="Calibri" w:hAnsi="Calibri"/>
                <w:sz w:val="24"/>
                <w:szCs w:val="24"/>
              </w:rPr>
              <w:t xml:space="preserve"> Coach House</w:t>
            </w:r>
          </w:p>
          <w:p w:rsidR="00A173B3" w:rsidRDefault="00A173B3">
            <w:pPr>
              <w:rPr>
                <w:rFonts w:ascii="Calibri" w:hAnsi="Calibri"/>
                <w:sz w:val="24"/>
                <w:szCs w:val="24"/>
              </w:rPr>
            </w:pPr>
            <w:r>
              <w:rPr>
                <w:rFonts w:ascii="Calibri" w:hAnsi="Calibri"/>
                <w:sz w:val="24"/>
                <w:szCs w:val="24"/>
              </w:rPr>
              <w:t>Ribchester Road</w:t>
            </w:r>
          </w:p>
          <w:p w:rsidR="00A173B3" w:rsidRDefault="00A173B3">
            <w:pPr>
              <w:rPr>
                <w:rFonts w:ascii="Calibri" w:hAnsi="Calibri"/>
                <w:sz w:val="24"/>
                <w:szCs w:val="24"/>
              </w:rPr>
            </w:pPr>
            <w:r>
              <w:rPr>
                <w:rFonts w:ascii="Calibri" w:hAnsi="Calibri"/>
                <w:sz w:val="24"/>
                <w:szCs w:val="24"/>
              </w:rPr>
              <w:t>Clayton Le Dale</w:t>
            </w:r>
          </w:p>
          <w:p w:rsidR="00A173B3" w:rsidRDefault="00A173B3">
            <w:pPr>
              <w:rPr>
                <w:rFonts w:ascii="Calibri" w:hAnsi="Calibri"/>
                <w:sz w:val="24"/>
                <w:szCs w:val="24"/>
              </w:rPr>
            </w:pPr>
            <w:r>
              <w:rPr>
                <w:rFonts w:ascii="Calibri" w:hAnsi="Calibri"/>
                <w:sz w:val="24"/>
                <w:szCs w:val="24"/>
              </w:rPr>
              <w:t>Blackburn</w:t>
            </w:r>
          </w:p>
          <w:p w:rsidR="002F3ADA" w:rsidRPr="00DD62CA" w:rsidRDefault="00A173B3">
            <w:pPr>
              <w:rPr>
                <w:rFonts w:ascii="Calibri" w:hAnsi="Calibri"/>
                <w:sz w:val="24"/>
                <w:szCs w:val="24"/>
              </w:rPr>
            </w:pPr>
            <w:r>
              <w:rPr>
                <w:rFonts w:ascii="Calibri" w:hAnsi="Calibri"/>
                <w:sz w:val="24"/>
                <w:szCs w:val="24"/>
              </w:rPr>
              <w:t>BB1 9EY</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A173B3">
            <w:pPr>
              <w:pStyle w:val="addresses"/>
              <w:rPr>
                <w:rFonts w:ascii="Calibri" w:hAnsi="Calibri"/>
                <w:sz w:val="24"/>
                <w:szCs w:val="24"/>
              </w:rPr>
            </w:pPr>
            <w:r>
              <w:rPr>
                <w:rFonts w:ascii="Calibri" w:hAnsi="Calibri"/>
                <w:sz w:val="24"/>
                <w:szCs w:val="24"/>
              </w:rPr>
              <w:t>Mr Duncan Hammond</w:t>
            </w:r>
          </w:p>
          <w:p w:rsidR="00A173B3" w:rsidRDefault="00A173B3">
            <w:pPr>
              <w:pStyle w:val="addresses"/>
              <w:rPr>
                <w:rFonts w:ascii="Calibri" w:hAnsi="Calibri"/>
                <w:sz w:val="24"/>
                <w:szCs w:val="24"/>
              </w:rPr>
            </w:pPr>
            <w:r>
              <w:rPr>
                <w:rFonts w:ascii="Calibri" w:hAnsi="Calibri"/>
                <w:sz w:val="24"/>
                <w:szCs w:val="24"/>
              </w:rPr>
              <w:t>Assorted Skills and Talents Ltd</w:t>
            </w:r>
          </w:p>
          <w:p w:rsidR="00A173B3" w:rsidRDefault="00A173B3">
            <w:pPr>
              <w:pStyle w:val="addresses"/>
              <w:rPr>
                <w:rFonts w:ascii="Calibri" w:hAnsi="Calibri"/>
                <w:sz w:val="24"/>
                <w:szCs w:val="24"/>
              </w:rPr>
            </w:pPr>
            <w:r>
              <w:rPr>
                <w:rFonts w:ascii="Calibri" w:hAnsi="Calibri"/>
                <w:sz w:val="24"/>
                <w:szCs w:val="24"/>
              </w:rPr>
              <w:t>5 Primula Crescent</w:t>
            </w:r>
          </w:p>
          <w:p w:rsidR="00A173B3" w:rsidRDefault="00A173B3">
            <w:pPr>
              <w:pStyle w:val="addresses"/>
              <w:rPr>
                <w:rFonts w:ascii="Calibri" w:hAnsi="Calibri"/>
                <w:sz w:val="24"/>
                <w:szCs w:val="24"/>
              </w:rPr>
            </w:pPr>
            <w:r>
              <w:rPr>
                <w:rFonts w:ascii="Calibri" w:hAnsi="Calibri"/>
                <w:sz w:val="24"/>
                <w:szCs w:val="24"/>
              </w:rPr>
              <w:t>Clitheroe</w:t>
            </w:r>
          </w:p>
          <w:p w:rsidR="002F3ADA" w:rsidRPr="00DD62CA" w:rsidRDefault="00A173B3">
            <w:pPr>
              <w:pStyle w:val="addresses"/>
              <w:rPr>
                <w:rFonts w:ascii="Calibri" w:hAnsi="Calibri"/>
                <w:sz w:val="24"/>
                <w:szCs w:val="24"/>
              </w:rPr>
            </w:pPr>
            <w:r>
              <w:rPr>
                <w:rFonts w:ascii="Calibri" w:hAnsi="Calibri"/>
                <w:sz w:val="24"/>
                <w:szCs w:val="24"/>
              </w:rPr>
              <w:t>BB7 1FG</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A173B3">
            <w:pPr>
              <w:pStyle w:val="TableText"/>
              <w:rPr>
                <w:rFonts w:ascii="Calibri" w:hAnsi="Calibri"/>
                <w:sz w:val="24"/>
                <w:szCs w:val="24"/>
              </w:rPr>
            </w:pPr>
            <w:r>
              <w:rPr>
                <w:rFonts w:ascii="Calibri" w:hAnsi="Calibri"/>
                <w:sz w:val="24"/>
                <w:szCs w:val="24"/>
              </w:rPr>
              <w:t>Resubmission of application 3/2018/1124, relating to house type amendment for Plot 7. Amendment to approved house type to add rear snug/dining extension and change double garage to swimming pool and increased first floor accommodation.</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Default="00A173B3">
            <w:pPr>
              <w:pStyle w:val="TableText"/>
              <w:rPr>
                <w:rFonts w:ascii="Calibri" w:hAnsi="Calibri"/>
                <w:sz w:val="24"/>
                <w:szCs w:val="24"/>
              </w:rPr>
            </w:pPr>
            <w:r>
              <w:rPr>
                <w:rFonts w:ascii="Calibri" w:hAnsi="Calibri"/>
                <w:sz w:val="24"/>
                <w:szCs w:val="24"/>
              </w:rPr>
              <w:t xml:space="preserve">Oakhill College </w:t>
            </w:r>
            <w:proofErr w:type="spellStart"/>
            <w:r>
              <w:rPr>
                <w:rFonts w:ascii="Calibri" w:hAnsi="Calibri"/>
                <w:sz w:val="24"/>
                <w:szCs w:val="24"/>
              </w:rPr>
              <w:t>Wiswell</w:t>
            </w:r>
            <w:proofErr w:type="spellEnd"/>
            <w:r>
              <w:rPr>
                <w:rFonts w:ascii="Calibri" w:hAnsi="Calibri"/>
                <w:sz w:val="24"/>
                <w:szCs w:val="24"/>
              </w:rPr>
              <w:t xml:space="preserve"> Lane Whalley BB7 9AF</w:t>
            </w:r>
          </w:p>
          <w:p w:rsidR="00A173B3" w:rsidRPr="00DD62CA" w:rsidRDefault="00A173B3">
            <w:pPr>
              <w:pStyle w:val="TableText"/>
              <w:rPr>
                <w:rFonts w:ascii="Calibri" w:hAnsi="Calibri"/>
                <w:sz w:val="24"/>
                <w:szCs w:val="24"/>
              </w:rPr>
            </w:pP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A173B3" w:rsidRDefault="00A173B3">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A173B3" w:rsidRDefault="00A173B3">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A173B3" w:rsidRPr="00DD62CA">
        <w:trPr>
          <w:cantSplit/>
          <w:trHeight w:val="527"/>
        </w:trPr>
        <w:tc>
          <w:tcPr>
            <w:tcW w:w="988" w:type="dxa"/>
          </w:tcPr>
          <w:p w:rsidR="00A173B3" w:rsidRPr="00DD62CA" w:rsidRDefault="00A173B3">
            <w:pPr>
              <w:pStyle w:val="TableText"/>
              <w:numPr>
                <w:ilvl w:val="0"/>
                <w:numId w:val="3"/>
              </w:numPr>
              <w:rPr>
                <w:rFonts w:ascii="Calibri" w:hAnsi="Calibri"/>
                <w:sz w:val="24"/>
                <w:szCs w:val="24"/>
              </w:rPr>
            </w:pPr>
          </w:p>
        </w:tc>
        <w:tc>
          <w:tcPr>
            <w:tcW w:w="9365" w:type="dxa"/>
            <w:gridSpan w:val="2"/>
          </w:tcPr>
          <w:p w:rsidR="00A173B3" w:rsidRDefault="00A173B3">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Location Plan</w:t>
            </w:r>
          </w:p>
          <w:p w:rsidR="00A173B3" w:rsidRDefault="00A173B3">
            <w:pPr>
              <w:pStyle w:val="TableText"/>
              <w:rPr>
                <w:rFonts w:ascii="Calibri" w:hAnsi="Calibri"/>
                <w:sz w:val="24"/>
                <w:szCs w:val="24"/>
              </w:rPr>
            </w:pPr>
            <w:r>
              <w:rPr>
                <w:rFonts w:ascii="Calibri" w:hAnsi="Calibri"/>
                <w:sz w:val="24"/>
                <w:szCs w:val="24"/>
              </w:rPr>
              <w:t>11_2020-002</w:t>
            </w:r>
          </w:p>
          <w:p w:rsidR="00A173B3" w:rsidRDefault="00A173B3">
            <w:pPr>
              <w:pStyle w:val="TableText"/>
              <w:rPr>
                <w:rFonts w:ascii="Calibri" w:hAnsi="Calibri"/>
                <w:sz w:val="24"/>
                <w:szCs w:val="24"/>
              </w:rPr>
            </w:pPr>
            <w:r>
              <w:rPr>
                <w:rFonts w:ascii="Calibri" w:hAnsi="Calibri"/>
                <w:sz w:val="24"/>
                <w:szCs w:val="24"/>
              </w:rPr>
              <w:t>11_2020-003</w:t>
            </w:r>
          </w:p>
          <w:p w:rsidR="00A173B3" w:rsidRDefault="00A173B3">
            <w:pPr>
              <w:pStyle w:val="TableText"/>
              <w:rPr>
                <w:rFonts w:ascii="Calibri" w:hAnsi="Calibri"/>
                <w:sz w:val="24"/>
                <w:szCs w:val="24"/>
              </w:rPr>
            </w:pPr>
            <w:r>
              <w:rPr>
                <w:rFonts w:ascii="Calibri" w:hAnsi="Calibri"/>
                <w:sz w:val="24"/>
                <w:szCs w:val="24"/>
              </w:rPr>
              <w:t>11_2020-004 Rev: A</w:t>
            </w:r>
          </w:p>
          <w:p w:rsidR="00A173B3" w:rsidRDefault="00A173B3">
            <w:pPr>
              <w:pStyle w:val="TableText"/>
              <w:rPr>
                <w:rFonts w:ascii="Calibri" w:hAnsi="Calibri"/>
                <w:sz w:val="24"/>
                <w:szCs w:val="24"/>
              </w:rPr>
            </w:pPr>
            <w:r>
              <w:rPr>
                <w:rFonts w:ascii="Calibri" w:hAnsi="Calibri"/>
                <w:sz w:val="24"/>
                <w:szCs w:val="24"/>
              </w:rPr>
              <w:t>11_2020-005 Rev: A</w:t>
            </w:r>
          </w:p>
          <w:p w:rsidR="00A173B3" w:rsidRDefault="00A173B3">
            <w:pPr>
              <w:pStyle w:val="TableText"/>
              <w:rPr>
                <w:rFonts w:ascii="Calibri" w:hAnsi="Calibri"/>
                <w:sz w:val="24"/>
                <w:szCs w:val="24"/>
              </w:rPr>
            </w:pPr>
            <w:r>
              <w:rPr>
                <w:rFonts w:ascii="Calibri" w:hAnsi="Calibri"/>
                <w:sz w:val="24"/>
                <w:szCs w:val="24"/>
              </w:rPr>
              <w:t>11_2020-006 Rev: A</w:t>
            </w:r>
          </w:p>
          <w:p w:rsidR="00A173B3" w:rsidRDefault="00A173B3">
            <w:pPr>
              <w:pStyle w:val="TableText"/>
              <w:rPr>
                <w:rFonts w:ascii="Calibri" w:hAnsi="Calibri"/>
                <w:sz w:val="24"/>
                <w:szCs w:val="24"/>
              </w:rPr>
            </w:pPr>
            <w:r>
              <w:rPr>
                <w:rFonts w:ascii="Calibri" w:hAnsi="Calibri"/>
                <w:sz w:val="24"/>
                <w:szCs w:val="24"/>
              </w:rPr>
              <w:t>11_2020-009</w:t>
            </w:r>
          </w:p>
          <w:p w:rsidR="00A173B3" w:rsidRDefault="00A173B3">
            <w:pPr>
              <w:pStyle w:val="TableText"/>
              <w:rPr>
                <w:rFonts w:ascii="Calibri" w:hAnsi="Calibri"/>
                <w:sz w:val="24"/>
                <w:szCs w:val="24"/>
              </w:rPr>
            </w:pPr>
            <w:r>
              <w:rPr>
                <w:rFonts w:ascii="Calibri" w:hAnsi="Calibri"/>
                <w:sz w:val="24"/>
                <w:szCs w:val="24"/>
              </w:rPr>
              <w:t>11_2020-010</w:t>
            </w:r>
          </w:p>
          <w:p w:rsidR="00A173B3" w:rsidRDefault="00A173B3">
            <w:pPr>
              <w:pStyle w:val="TableText"/>
              <w:rPr>
                <w:rFonts w:ascii="Calibri" w:hAnsi="Calibri"/>
                <w:sz w:val="24"/>
                <w:szCs w:val="24"/>
              </w:rPr>
            </w:pPr>
            <w:r>
              <w:rPr>
                <w:rFonts w:ascii="Calibri" w:hAnsi="Calibri"/>
                <w:sz w:val="24"/>
                <w:szCs w:val="24"/>
              </w:rPr>
              <w:t>11_2020-011</w:t>
            </w:r>
          </w:p>
          <w:p w:rsidR="00A173B3" w:rsidRDefault="00A173B3">
            <w:pPr>
              <w:pStyle w:val="TableText"/>
              <w:rPr>
                <w:rFonts w:ascii="Calibri" w:hAnsi="Calibri"/>
                <w:sz w:val="24"/>
                <w:szCs w:val="24"/>
              </w:rPr>
            </w:pPr>
            <w:r>
              <w:rPr>
                <w:rFonts w:ascii="Calibri" w:hAnsi="Calibri"/>
                <w:sz w:val="24"/>
                <w:szCs w:val="24"/>
              </w:rPr>
              <w:t>11_2020-013</w:t>
            </w:r>
          </w:p>
          <w:p w:rsidR="00A173B3" w:rsidRDefault="00A173B3">
            <w:pPr>
              <w:pStyle w:val="TableText"/>
              <w:rPr>
                <w:rFonts w:ascii="Calibri" w:hAnsi="Calibri"/>
                <w:sz w:val="24"/>
                <w:szCs w:val="24"/>
              </w:rPr>
            </w:pPr>
            <w:proofErr w:type="spellStart"/>
            <w:r>
              <w:rPr>
                <w:rFonts w:ascii="Calibri" w:hAnsi="Calibri"/>
                <w:sz w:val="24"/>
                <w:szCs w:val="24"/>
              </w:rPr>
              <w:t>Arboricultural</w:t>
            </w:r>
            <w:proofErr w:type="spellEnd"/>
            <w:r>
              <w:rPr>
                <w:rFonts w:ascii="Calibri" w:hAnsi="Calibri"/>
                <w:sz w:val="24"/>
                <w:szCs w:val="24"/>
              </w:rPr>
              <w:t xml:space="preserve"> Impact Assessment (Nov 18)</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A173B3" w:rsidRPr="00DD62CA" w:rsidRDefault="00A173B3">
            <w:pPr>
              <w:pStyle w:val="TableText"/>
              <w:rPr>
                <w:rFonts w:ascii="Calibri" w:hAnsi="Calibri"/>
                <w:sz w:val="24"/>
                <w:szCs w:val="24"/>
              </w:rPr>
            </w:pPr>
          </w:p>
        </w:tc>
      </w:tr>
      <w:tr w:rsidR="00A173B3" w:rsidRPr="00DD62CA">
        <w:trPr>
          <w:cantSplit/>
          <w:trHeight w:val="527"/>
        </w:trPr>
        <w:tc>
          <w:tcPr>
            <w:tcW w:w="988" w:type="dxa"/>
          </w:tcPr>
          <w:p w:rsidR="00A173B3" w:rsidRPr="00DD62CA" w:rsidRDefault="00A173B3">
            <w:pPr>
              <w:pStyle w:val="TableText"/>
              <w:numPr>
                <w:ilvl w:val="0"/>
                <w:numId w:val="3"/>
              </w:numPr>
              <w:rPr>
                <w:rFonts w:ascii="Calibri" w:hAnsi="Calibri"/>
                <w:sz w:val="24"/>
                <w:szCs w:val="24"/>
              </w:rPr>
            </w:pPr>
          </w:p>
        </w:tc>
        <w:tc>
          <w:tcPr>
            <w:tcW w:w="9365" w:type="dxa"/>
            <w:gridSpan w:val="2"/>
          </w:tcPr>
          <w:p w:rsidR="00A173B3" w:rsidRDefault="00A173B3">
            <w:pPr>
              <w:pStyle w:val="TableText"/>
              <w:rPr>
                <w:rFonts w:ascii="Calibri" w:hAnsi="Calibri"/>
                <w:sz w:val="24"/>
                <w:szCs w:val="24"/>
              </w:rPr>
            </w:pPr>
            <w:r>
              <w:rPr>
                <w:rFonts w:ascii="Calibri" w:hAnsi="Calibri"/>
                <w:sz w:val="24"/>
                <w:szCs w:val="24"/>
              </w:rPr>
              <w:t xml:space="preserve">All tree works/tree protection shall be carried out in strict accordance with the submitted </w:t>
            </w:r>
            <w:proofErr w:type="spellStart"/>
            <w:r>
              <w:rPr>
                <w:rFonts w:ascii="Calibri" w:hAnsi="Calibri"/>
                <w:sz w:val="24"/>
                <w:szCs w:val="24"/>
              </w:rPr>
              <w:t>Arboricultural</w:t>
            </w:r>
            <w:proofErr w:type="spellEnd"/>
            <w:r>
              <w:rPr>
                <w:rFonts w:ascii="Calibri" w:hAnsi="Calibri"/>
                <w:sz w:val="24"/>
                <w:szCs w:val="24"/>
              </w:rPr>
              <w:t xml:space="preserve"> Impact Assessment dated November 2018 (Ref: P.808.16).  The specified tree protection measures shall be put in place prior to the commencement of development and shall remain in place and be maintained for the duration of the construction phase of the development and the methodology hereby approved shall be adhered to during all site preparation/construction works.  </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No vehicle, plant, temporary building or materials, including raising and or, lowering of ground levels, shall be allowed within the protection areas(s) specified unless agreed in writing by the Local Planning Authority.</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Reason: To protect trees of landscape and visual amenity value on and adjacent to the site or those likely to be affected by the proposed development.</w:t>
            </w:r>
          </w:p>
          <w:p w:rsidR="00A173B3" w:rsidRPr="00DD62CA" w:rsidRDefault="00A173B3">
            <w:pPr>
              <w:pStyle w:val="TableText"/>
              <w:rPr>
                <w:rFonts w:ascii="Calibri" w:hAnsi="Calibri"/>
                <w:sz w:val="24"/>
                <w:szCs w:val="24"/>
              </w:rPr>
            </w:pPr>
          </w:p>
        </w:tc>
      </w:tr>
      <w:tr w:rsidR="00A173B3" w:rsidRPr="00DD62CA">
        <w:trPr>
          <w:cantSplit/>
          <w:trHeight w:val="527"/>
        </w:trPr>
        <w:tc>
          <w:tcPr>
            <w:tcW w:w="988" w:type="dxa"/>
          </w:tcPr>
          <w:p w:rsidR="00A173B3" w:rsidRPr="00DD62CA" w:rsidRDefault="00A173B3">
            <w:pPr>
              <w:pStyle w:val="TableText"/>
              <w:numPr>
                <w:ilvl w:val="0"/>
                <w:numId w:val="3"/>
              </w:numPr>
              <w:rPr>
                <w:rFonts w:ascii="Calibri" w:hAnsi="Calibri"/>
                <w:sz w:val="24"/>
                <w:szCs w:val="24"/>
              </w:rPr>
            </w:pPr>
          </w:p>
        </w:tc>
        <w:tc>
          <w:tcPr>
            <w:tcW w:w="9365" w:type="dxa"/>
            <w:gridSpan w:val="2"/>
          </w:tcPr>
          <w:p w:rsidR="00A173B3" w:rsidRDefault="00A173B3">
            <w:pPr>
              <w:pStyle w:val="TableText"/>
              <w:rPr>
                <w:rFonts w:ascii="Calibri" w:hAnsi="Calibri"/>
                <w:sz w:val="24"/>
                <w:szCs w:val="24"/>
              </w:rPr>
            </w:pPr>
            <w:r>
              <w:rPr>
                <w:rFonts w:ascii="Calibri" w:hAnsi="Calibri"/>
                <w:sz w:val="24"/>
                <w:szCs w:val="24"/>
              </w:rPr>
              <w:t>Notwithstanding the submitted details, details of the alignment, height, and appearance of all boundary treatments, fencing, walling, retaining wall structures, posts and gates to be erected within the development shall have been submitted to and approved in writing by the Local Planning Authority prior to their installation.</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 xml:space="preserve">For the avoidance of doubt the submitted details shall include the precise nature and location for the provision of measures to maintain and enhance wildlife movement within and around the site by virtue of the inclusion of suitable sized gaps/corridors at ground level.  </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The development shall be carried out in strict accordance with the approved details.  The agreed wildlife corridors/gaps shall be retained in perpetuity and thereafter remain free from obstructions which would preclude their use by wildlife.</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To ensure a satisfactory standard of appearance in the interests of the visual amenities of the area and to minimise the potential impacts of the development upon protected and non-protected species through the inclusion of measures to retain and enhance habitat connectivity for species of importance or conservation concern.</w:t>
            </w:r>
          </w:p>
          <w:p w:rsidR="00A173B3" w:rsidRPr="00DD62CA" w:rsidRDefault="00A173B3">
            <w:pPr>
              <w:pStyle w:val="TableText"/>
              <w:rPr>
                <w:rFonts w:ascii="Calibri" w:hAnsi="Calibri"/>
                <w:sz w:val="24"/>
                <w:szCs w:val="24"/>
              </w:rPr>
            </w:pPr>
          </w:p>
        </w:tc>
      </w:tr>
      <w:tr w:rsidR="00A173B3" w:rsidRPr="00DD62CA">
        <w:trPr>
          <w:cantSplit/>
          <w:trHeight w:val="527"/>
        </w:trPr>
        <w:tc>
          <w:tcPr>
            <w:tcW w:w="988" w:type="dxa"/>
          </w:tcPr>
          <w:p w:rsidR="00A173B3" w:rsidRPr="00DD62CA" w:rsidRDefault="00A173B3">
            <w:pPr>
              <w:pStyle w:val="TableText"/>
              <w:numPr>
                <w:ilvl w:val="0"/>
                <w:numId w:val="3"/>
              </w:numPr>
              <w:rPr>
                <w:rFonts w:ascii="Calibri" w:hAnsi="Calibri"/>
                <w:sz w:val="24"/>
                <w:szCs w:val="24"/>
              </w:rPr>
            </w:pPr>
          </w:p>
        </w:tc>
        <w:tc>
          <w:tcPr>
            <w:tcW w:w="9365" w:type="dxa"/>
            <w:gridSpan w:val="2"/>
          </w:tcPr>
          <w:p w:rsidR="00A173B3" w:rsidRDefault="00A173B3">
            <w:pPr>
              <w:pStyle w:val="TableText"/>
              <w:rPr>
                <w:rFonts w:ascii="Calibri" w:hAnsi="Calibri"/>
                <w:sz w:val="24"/>
                <w:szCs w:val="24"/>
              </w:rPr>
            </w:pPr>
            <w:r>
              <w:rPr>
                <w:rFonts w:ascii="Calibri" w:hAnsi="Calibri"/>
                <w:sz w:val="24"/>
                <w:szCs w:val="24"/>
              </w:rPr>
              <w:t>No demolition or construction works relating to the development hereby approved shall take place outside the hours of 08:00 hours to 18:00 hours Mondays to Fridays and 08:00 hours to 14:00 hours on Saturdays nor at any time on Sundays or Bank Holidays.</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Reason: To protect the amenities of the nearby residents.</w:t>
            </w:r>
          </w:p>
          <w:p w:rsidR="00A173B3" w:rsidRPr="00DD62CA" w:rsidRDefault="00A173B3">
            <w:pPr>
              <w:pStyle w:val="TableText"/>
              <w:rPr>
                <w:rFonts w:ascii="Calibri" w:hAnsi="Calibri"/>
                <w:sz w:val="24"/>
                <w:szCs w:val="24"/>
              </w:rPr>
            </w:pPr>
          </w:p>
        </w:tc>
      </w:tr>
      <w:tr w:rsidR="00A173B3" w:rsidRPr="00DD62CA">
        <w:trPr>
          <w:cantSplit/>
          <w:trHeight w:val="527"/>
        </w:trPr>
        <w:tc>
          <w:tcPr>
            <w:tcW w:w="988" w:type="dxa"/>
          </w:tcPr>
          <w:p w:rsidR="00A173B3" w:rsidRPr="00DD62CA" w:rsidRDefault="00A173B3">
            <w:pPr>
              <w:pStyle w:val="TableText"/>
              <w:numPr>
                <w:ilvl w:val="0"/>
                <w:numId w:val="3"/>
              </w:numPr>
              <w:rPr>
                <w:rFonts w:ascii="Calibri" w:hAnsi="Calibri"/>
                <w:sz w:val="24"/>
                <w:szCs w:val="24"/>
              </w:rPr>
            </w:pPr>
          </w:p>
        </w:tc>
        <w:tc>
          <w:tcPr>
            <w:tcW w:w="9365" w:type="dxa"/>
            <w:gridSpan w:val="2"/>
          </w:tcPr>
          <w:p w:rsidR="00A173B3" w:rsidRDefault="00A173B3">
            <w:pPr>
              <w:pStyle w:val="TableText"/>
              <w:rPr>
                <w:rFonts w:ascii="Calibri" w:hAnsi="Calibri"/>
                <w:sz w:val="24"/>
                <w:szCs w:val="24"/>
              </w:rPr>
            </w:pPr>
            <w:r>
              <w:rPr>
                <w:rFonts w:ascii="Calibri" w:hAnsi="Calibri"/>
                <w:sz w:val="24"/>
                <w:szCs w:val="24"/>
              </w:rPr>
              <w:t>No removal of vegetation including trees or hedges shall be undertaken within the nesting bird season of 1st March - 31st August unless pre-ceded by a pre-clearance check by a licensed ecologist on the day of removal to ensure that removal does not result in unacceptable impacts upon nesting birds or other species of conservation concern.</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Reason:  To ensure that there are no adverse effects on the favourable conservation status of birds, to protect the bird population and species of importance or conservation concern from the potential impacts of the development.</w:t>
            </w:r>
          </w:p>
          <w:p w:rsidR="00A173B3" w:rsidRPr="00DD62CA" w:rsidRDefault="00A173B3">
            <w:pPr>
              <w:pStyle w:val="TableText"/>
              <w:rPr>
                <w:rFonts w:ascii="Calibri" w:hAnsi="Calibri"/>
                <w:sz w:val="24"/>
                <w:szCs w:val="24"/>
              </w:rPr>
            </w:pPr>
          </w:p>
        </w:tc>
      </w:tr>
      <w:tr w:rsidR="00A173B3" w:rsidRPr="00DD62CA">
        <w:trPr>
          <w:cantSplit/>
          <w:trHeight w:val="527"/>
        </w:trPr>
        <w:tc>
          <w:tcPr>
            <w:tcW w:w="988" w:type="dxa"/>
          </w:tcPr>
          <w:p w:rsidR="00A173B3" w:rsidRPr="00DD62CA" w:rsidRDefault="00A173B3">
            <w:pPr>
              <w:pStyle w:val="TableText"/>
              <w:numPr>
                <w:ilvl w:val="0"/>
                <w:numId w:val="3"/>
              </w:numPr>
              <w:rPr>
                <w:rFonts w:ascii="Calibri" w:hAnsi="Calibri"/>
                <w:sz w:val="24"/>
                <w:szCs w:val="24"/>
              </w:rPr>
            </w:pPr>
          </w:p>
        </w:tc>
        <w:tc>
          <w:tcPr>
            <w:tcW w:w="9365" w:type="dxa"/>
            <w:gridSpan w:val="2"/>
          </w:tcPr>
          <w:p w:rsidR="00A173B3" w:rsidRDefault="00A173B3">
            <w:pPr>
              <w:pStyle w:val="TableText"/>
              <w:rPr>
                <w:rFonts w:ascii="Calibri" w:hAnsi="Calibri"/>
                <w:sz w:val="24"/>
                <w:szCs w:val="24"/>
              </w:rPr>
            </w:pPr>
            <w:r>
              <w:rPr>
                <w:rFonts w:ascii="Calibri" w:hAnsi="Calibri"/>
                <w:sz w:val="24"/>
                <w:szCs w:val="24"/>
              </w:rPr>
              <w:t>Foul and surface water shall be drained on separate systems.</w:t>
            </w:r>
          </w:p>
          <w:p w:rsidR="00A173B3" w:rsidRDefault="00A173B3">
            <w:pPr>
              <w:pStyle w:val="TableText"/>
              <w:rPr>
                <w:rFonts w:ascii="Calibri" w:hAnsi="Calibri"/>
                <w:sz w:val="24"/>
                <w:szCs w:val="24"/>
              </w:rPr>
            </w:pPr>
          </w:p>
          <w:p w:rsidR="00A173B3" w:rsidRDefault="00A173B3">
            <w:pPr>
              <w:pStyle w:val="TableText"/>
              <w:rPr>
                <w:rFonts w:ascii="Calibri" w:hAnsi="Calibri"/>
                <w:sz w:val="24"/>
                <w:szCs w:val="24"/>
              </w:rPr>
            </w:pPr>
            <w:r>
              <w:rPr>
                <w:rFonts w:ascii="Calibri" w:hAnsi="Calibri"/>
                <w:sz w:val="24"/>
                <w:szCs w:val="24"/>
              </w:rPr>
              <w:t>Reason: To secure proper drainage and to manage the risk of flooding and pollution.</w:t>
            </w:r>
          </w:p>
          <w:p w:rsidR="00A173B3" w:rsidRPr="00DD62CA" w:rsidRDefault="00A173B3">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 xml:space="preserve">The Local Planning Authority operates a pre-planning application advice service which applicants are encouraged to use. Whether or not this was used, the Local Planning Authority </w:t>
            </w:r>
            <w:r w:rsidRPr="00DD62CA">
              <w:rPr>
                <w:rFonts w:ascii="Calibri" w:hAnsi="Calibri"/>
                <w:sz w:val="24"/>
                <w:szCs w:val="24"/>
              </w:rPr>
              <w:lastRenderedPageBreak/>
              <w:t>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E50FF">
      <w:pPr>
        <w:pStyle w:val="TableText"/>
        <w:rPr>
          <w:rFonts w:ascii="Calibri" w:hAnsi="Calibri"/>
          <w:sz w:val="24"/>
          <w:szCs w:val="24"/>
        </w:rPr>
      </w:pPr>
      <w:r w:rsidRPr="002E50FF">
        <w:rPr>
          <w:rFonts w:ascii="Calibri" w:hAnsi="Calibri"/>
          <w:noProof/>
          <w:sz w:val="24"/>
          <w:szCs w:val="24"/>
        </w:rPr>
        <w:drawing>
          <wp:inline distT="0" distB="0" distL="0" distR="0">
            <wp:extent cx="1781175" cy="523875"/>
            <wp:effectExtent l="0" t="0" r="9525" b="9525"/>
            <wp:docPr id="1" name="Picture 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tw9_temp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81175" cy="523875"/>
                    </a:xfrm>
                    <a:prstGeom prst="rect">
                      <a:avLst/>
                    </a:prstGeom>
                    <a:noFill/>
                    <a:ln>
                      <a:noFill/>
                    </a:ln>
                  </pic:spPr>
                </pic:pic>
              </a:graphicData>
            </a:graphic>
          </wp:inline>
        </w:drawing>
      </w: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A173B3" w:rsidP="002C337D">
            <w:pPr>
              <w:rPr>
                <w:rFonts w:ascii="Calibri" w:hAnsi="Calibri"/>
                <w:b/>
                <w:sz w:val="24"/>
                <w:szCs w:val="24"/>
              </w:rPr>
            </w:pPr>
            <w:r>
              <w:rPr>
                <w:rFonts w:ascii="Calibri" w:hAnsi="Calibri"/>
                <w:b/>
                <w:sz w:val="24"/>
                <w:szCs w:val="24"/>
              </w:rPr>
              <w:t xml:space="preserve">PP </w:t>
            </w:r>
            <w:r w:rsidR="00E83FE1">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3B3" w:rsidRDefault="00A173B3">
      <w:r>
        <w:separator/>
      </w:r>
    </w:p>
  </w:endnote>
  <w:endnote w:type="continuationSeparator" w:id="0">
    <w:p w:rsidR="00A173B3" w:rsidRDefault="00A17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3B3" w:rsidRDefault="00A173B3">
      <w:r>
        <w:separator/>
      </w:r>
    </w:p>
  </w:footnote>
  <w:footnote w:type="continuationSeparator" w:id="0">
    <w:p w:rsidR="00A173B3" w:rsidRDefault="00A17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A173B3">
      <w:rPr>
        <w:b/>
        <w:bCs/>
      </w:rPr>
      <w:t>3/2020/1083</w:t>
    </w:r>
    <w:r>
      <w:rPr>
        <w:b/>
        <w:bCs/>
      </w:rPr>
      <w:t xml:space="preserve">                                  DECISION DATE: </w:t>
    </w:r>
    <w:r w:rsidR="002E50FF">
      <w:rPr>
        <w:b/>
        <w:bCs/>
      </w:rPr>
      <w:t>13/01/2021</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B3"/>
    <w:rsid w:val="00071C16"/>
    <w:rsid w:val="00111C12"/>
    <w:rsid w:val="001613C3"/>
    <w:rsid w:val="00172E52"/>
    <w:rsid w:val="002C337D"/>
    <w:rsid w:val="002D5D44"/>
    <w:rsid w:val="002E50FF"/>
    <w:rsid w:val="002F3ADA"/>
    <w:rsid w:val="004B764D"/>
    <w:rsid w:val="0070149C"/>
    <w:rsid w:val="007C793E"/>
    <w:rsid w:val="0081123F"/>
    <w:rsid w:val="00A173B3"/>
    <w:rsid w:val="00AA358D"/>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7A269F-EAAD-4B0F-A711-853F8B53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6C88F.2135F0B0"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4</Pages>
  <Words>851</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Carly Miskell</dc:creator>
  <cp:keywords/>
  <cp:lastModifiedBy>Carly Miskell</cp:lastModifiedBy>
  <cp:revision>2</cp:revision>
  <cp:lastPrinted>2004-01-27T17:21:00Z</cp:lastPrinted>
  <dcterms:created xsi:type="dcterms:W3CDTF">2021-01-13T10:01:00Z</dcterms:created>
  <dcterms:modified xsi:type="dcterms:W3CDTF">2021-01-13T10:01:00Z</dcterms:modified>
</cp:coreProperties>
</file>