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013DE7" w:rsidP="008F6B58">
            <w:pPr>
              <w:rPr>
                <w:rFonts w:ascii="Calibri" w:hAnsi="Calibri"/>
                <w:szCs w:val="22"/>
              </w:rPr>
            </w:pPr>
            <w:r>
              <w:rPr>
                <w:rFonts w:ascii="Calibri" w:hAnsi="Calibri"/>
                <w:szCs w:val="22"/>
              </w:rPr>
              <w:t>3/2021/0024</w:t>
            </w:r>
            <w:r w:rsidR="00091F14">
              <w:rPr>
                <w:rFonts w:ascii="Calibri" w:hAnsi="Calibri"/>
                <w:szCs w:val="22"/>
              </w:rPr>
              <w:t xml:space="preserve"> (PA)</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013DE7" w:rsidP="002C6277">
            <w:pPr>
              <w:rPr>
                <w:rFonts w:ascii="Calibri" w:hAnsi="Calibri"/>
                <w:szCs w:val="22"/>
              </w:rPr>
            </w:pPr>
            <w:r>
              <w:rPr>
                <w:rFonts w:ascii="Calibri" w:hAnsi="Calibri"/>
                <w:szCs w:val="22"/>
              </w:rPr>
              <w:t>29/1/21</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013DE7" w:rsidRDefault="00013DE7" w:rsidP="00811771">
            <w:pPr>
              <w:rPr>
                <w:rFonts w:ascii="Calibri" w:hAnsi="Calibri"/>
                <w:szCs w:val="22"/>
              </w:rPr>
            </w:pPr>
            <w:r w:rsidRPr="00013DE7">
              <w:rPr>
                <w:rFonts w:ascii="Calibri" w:hAnsi="Calibri"/>
                <w:szCs w:val="22"/>
              </w:rPr>
              <w:t>AD</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013DE7" w:rsidRDefault="00013DE7" w:rsidP="00FD334A">
            <w:pPr>
              <w:rPr>
                <w:rFonts w:ascii="Calibri" w:hAnsi="Calibri"/>
                <w:szCs w:val="22"/>
              </w:rPr>
            </w:pPr>
            <w:r w:rsidRPr="00013DE7">
              <w:rPr>
                <w:rFonts w:ascii="Calibri" w:hAnsi="Calibri"/>
                <w:szCs w:val="22"/>
              </w:rPr>
              <w:t>Approval</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8C024A" w:rsidRDefault="008C024A">
            <w:pPr>
              <w:rPr>
                <w:rFonts w:asciiTheme="minorHAnsi" w:hAnsiTheme="minorHAnsi" w:cstheme="minorHAnsi"/>
                <w:szCs w:val="22"/>
              </w:rPr>
            </w:pPr>
            <w:r w:rsidRPr="008C024A">
              <w:rPr>
                <w:rFonts w:asciiTheme="minorHAnsi" w:hAnsiTheme="minorHAnsi" w:cstheme="minorHAnsi"/>
                <w:szCs w:val="22"/>
                <w:shd w:val="clear" w:color="auto" w:fill="FFFFFF"/>
              </w:rPr>
              <w:t>Proposed laying of cobbles, flags and gravel to the rear yard.</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8C024A" w:rsidRDefault="008C024A" w:rsidP="00A42E82">
            <w:pPr>
              <w:rPr>
                <w:rFonts w:asciiTheme="minorHAnsi" w:hAnsiTheme="minorHAnsi" w:cstheme="minorHAnsi"/>
                <w:b/>
                <w:szCs w:val="22"/>
              </w:rPr>
            </w:pPr>
            <w:r w:rsidRPr="008C024A">
              <w:rPr>
                <w:rStyle w:val="Strong"/>
                <w:rFonts w:asciiTheme="minorHAnsi" w:hAnsiTheme="minorHAnsi" w:cstheme="minorHAnsi"/>
                <w:b w:val="0"/>
                <w:szCs w:val="22"/>
                <w:bdr w:val="none" w:sz="0" w:space="0" w:color="auto" w:frame="1"/>
                <w:shd w:val="clear" w:color="auto" w:fill="FFFFFF"/>
              </w:rPr>
              <w:t>The Old School Slaidburn Road Newton BB7 3DY</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8C024A" w:rsidP="009825FF">
            <w:pPr>
              <w:jc w:val="both"/>
              <w:rPr>
                <w:rFonts w:ascii="Calibri" w:hAnsi="Calibri"/>
                <w:szCs w:val="22"/>
              </w:rPr>
            </w:pPr>
            <w:r>
              <w:rPr>
                <w:rFonts w:ascii="Calibri" w:hAnsi="Calibri"/>
                <w:szCs w:val="22"/>
              </w:rPr>
              <w:t>No comments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8C75E4" w:rsidRDefault="002A01CF" w:rsidP="006126D1">
            <w:pPr>
              <w:jc w:val="both"/>
              <w:rPr>
                <w:rFonts w:ascii="Calibri" w:hAnsi="Calibri"/>
                <w:b/>
                <w:szCs w:val="22"/>
              </w:rPr>
            </w:pPr>
          </w:p>
        </w:tc>
      </w:tr>
      <w:tr w:rsidR="008C75E4" w:rsidRPr="008C75E4" w:rsidTr="00504440">
        <w:trPr>
          <w:jc w:val="center"/>
        </w:trPr>
        <w:tc>
          <w:tcPr>
            <w:tcW w:w="9555" w:type="dxa"/>
            <w:gridSpan w:val="14"/>
            <w:tcMar>
              <w:top w:w="57" w:type="dxa"/>
              <w:bottom w:w="57" w:type="dxa"/>
            </w:tcMar>
          </w:tcPr>
          <w:p w:rsidR="00C0704D" w:rsidRDefault="008C024A" w:rsidP="00FC046F">
            <w:pPr>
              <w:jc w:val="both"/>
              <w:rPr>
                <w:rFonts w:ascii="Calibri" w:hAnsi="Calibri"/>
                <w:szCs w:val="22"/>
              </w:rPr>
            </w:pPr>
            <w:r>
              <w:rPr>
                <w:rFonts w:ascii="Calibri" w:hAnsi="Calibri"/>
                <w:szCs w:val="22"/>
              </w:rPr>
              <w:t>No highway concerns.</w:t>
            </w:r>
          </w:p>
          <w:p w:rsidR="008C024A" w:rsidRDefault="008C024A" w:rsidP="00FC046F">
            <w:pPr>
              <w:jc w:val="both"/>
              <w:rPr>
                <w:rFonts w:ascii="Calibri" w:hAnsi="Calibri"/>
                <w:szCs w:val="22"/>
              </w:rPr>
            </w:pPr>
          </w:p>
          <w:p w:rsidR="008C024A" w:rsidRDefault="008C024A" w:rsidP="00FC046F">
            <w:pPr>
              <w:jc w:val="both"/>
              <w:rPr>
                <w:rFonts w:ascii="Calibri" w:hAnsi="Calibri"/>
                <w:b/>
                <w:szCs w:val="22"/>
              </w:rPr>
            </w:pPr>
            <w:r w:rsidRPr="008C024A">
              <w:rPr>
                <w:rFonts w:ascii="Calibri" w:hAnsi="Calibri"/>
                <w:b/>
                <w:szCs w:val="22"/>
              </w:rPr>
              <w:t>LCC Archaeology:</w:t>
            </w:r>
          </w:p>
          <w:p w:rsidR="008C024A" w:rsidRPr="008C024A" w:rsidRDefault="008C024A" w:rsidP="00FC046F">
            <w:pPr>
              <w:jc w:val="both"/>
              <w:rPr>
                <w:rFonts w:ascii="Calibri" w:hAnsi="Calibri"/>
                <w:szCs w:val="22"/>
              </w:rPr>
            </w:pPr>
            <w:r>
              <w:rPr>
                <w:rFonts w:ascii="Calibri" w:hAnsi="Calibri"/>
                <w:szCs w:val="22"/>
              </w:rPr>
              <w:t>Application lacks detail</w:t>
            </w:r>
            <w:r w:rsidR="008349A7">
              <w:rPr>
                <w:rFonts w:ascii="Calibri" w:hAnsi="Calibri"/>
                <w:szCs w:val="22"/>
              </w:rPr>
              <w:t>. N</w:t>
            </w:r>
            <w:r>
              <w:rPr>
                <w:rFonts w:ascii="Calibri" w:hAnsi="Calibri"/>
                <w:szCs w:val="22"/>
              </w:rPr>
              <w:t>o significant depth of exca</w:t>
            </w:r>
            <w:r w:rsidR="008349A7">
              <w:rPr>
                <w:rFonts w:ascii="Calibri" w:hAnsi="Calibri"/>
                <w:szCs w:val="22"/>
              </w:rPr>
              <w:t>vation and not considered to have any adverse archaeological impact.</w:t>
            </w:r>
          </w:p>
          <w:p w:rsidR="008C024A" w:rsidRPr="008C75E4" w:rsidRDefault="008C024A"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091F14" w:rsidP="00435FC9">
            <w:pPr>
              <w:jc w:val="both"/>
              <w:rPr>
                <w:rFonts w:ascii="Calibri" w:hAnsi="Calibri"/>
                <w:szCs w:val="22"/>
              </w:rPr>
            </w:pPr>
            <w:r>
              <w:rPr>
                <w:rFonts w:ascii="Calibri" w:hAnsi="Calibri"/>
                <w:szCs w:val="22"/>
              </w:rPr>
              <w:t>None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rsidTr="00504440">
        <w:trPr>
          <w:trHeight w:val="864"/>
          <w:jc w:val="center"/>
        </w:trPr>
        <w:tc>
          <w:tcPr>
            <w:tcW w:w="9555" w:type="dxa"/>
            <w:gridSpan w:val="14"/>
            <w:tcMar>
              <w:top w:w="57" w:type="dxa"/>
              <w:bottom w:w="57" w:type="dxa"/>
            </w:tcMar>
          </w:tcPr>
          <w:p w:rsidR="0088314D" w:rsidRDefault="0088314D" w:rsidP="0088314D">
            <w:pPr>
              <w:overflowPunct/>
              <w:rPr>
                <w:rFonts w:ascii="Calibri" w:eastAsia="Calibri" w:hAnsi="Calibri" w:cs="Arial"/>
                <w:color w:val="000000"/>
                <w:szCs w:val="22"/>
              </w:rPr>
            </w:pPr>
            <w:r>
              <w:rPr>
                <w:rFonts w:ascii="Calibri" w:eastAsia="Calibri" w:hAnsi="Calibri" w:cs="Arial"/>
                <w:color w:val="000000"/>
                <w:szCs w:val="22"/>
              </w:rPr>
              <w:t>Ribble Valley Core Strategy:</w:t>
            </w:r>
          </w:p>
          <w:p w:rsidR="0088314D" w:rsidRDefault="0088314D" w:rsidP="0088314D">
            <w:pPr>
              <w:overflowPunct/>
              <w:rPr>
                <w:rFonts w:ascii="Calibri" w:eastAsia="Calibri" w:hAnsi="Calibri" w:cs="Arial"/>
                <w:color w:val="000000"/>
                <w:szCs w:val="22"/>
              </w:rPr>
            </w:pPr>
            <w:r>
              <w:rPr>
                <w:rFonts w:ascii="Calibri" w:eastAsia="Calibri" w:hAnsi="Calibri" w:cs="Arial"/>
                <w:color w:val="000000"/>
                <w:szCs w:val="22"/>
              </w:rPr>
              <w:t xml:space="preserve">Key Statement EN5 – Heritage Assets </w:t>
            </w:r>
          </w:p>
          <w:p w:rsidR="0088314D" w:rsidRDefault="0088314D" w:rsidP="0088314D">
            <w:pPr>
              <w:overflowPunct/>
              <w:rPr>
                <w:rFonts w:ascii="Calibri" w:eastAsia="Calibri" w:hAnsi="Calibri" w:cs="Arial"/>
                <w:color w:val="000000"/>
                <w:szCs w:val="22"/>
              </w:rPr>
            </w:pPr>
            <w:r>
              <w:rPr>
                <w:rFonts w:ascii="Calibri" w:eastAsia="Calibri" w:hAnsi="Calibri" w:cs="Arial"/>
                <w:color w:val="000000"/>
                <w:szCs w:val="22"/>
              </w:rPr>
              <w:t>Policy DMG1 – General Considerations</w:t>
            </w:r>
          </w:p>
          <w:p w:rsidR="0088314D" w:rsidRDefault="0088314D" w:rsidP="0088314D">
            <w:pPr>
              <w:rPr>
                <w:rFonts w:ascii="Calibri" w:hAnsi="Calibri"/>
                <w:b/>
                <w:szCs w:val="22"/>
              </w:rPr>
            </w:pPr>
            <w:r>
              <w:rPr>
                <w:rFonts w:ascii="Calibri" w:eastAsia="Calibri" w:hAnsi="Calibri" w:cs="Arial"/>
                <w:color w:val="000000"/>
                <w:szCs w:val="22"/>
              </w:rPr>
              <w:t>Policy DME4 – Protecting Heritage Assets</w:t>
            </w:r>
          </w:p>
          <w:p w:rsidR="0088314D" w:rsidRDefault="0088314D" w:rsidP="0088314D">
            <w:pPr>
              <w:pStyle w:val="Default"/>
              <w:rPr>
                <w:rFonts w:ascii="Calibri" w:hAnsi="Calibri"/>
                <w:sz w:val="22"/>
                <w:szCs w:val="22"/>
              </w:rPr>
            </w:pPr>
          </w:p>
          <w:p w:rsidR="0088314D" w:rsidRDefault="0088314D" w:rsidP="0088314D">
            <w:pPr>
              <w:pStyle w:val="Default"/>
              <w:rPr>
                <w:rFonts w:ascii="Calibri" w:hAnsi="Calibri"/>
                <w:sz w:val="22"/>
                <w:szCs w:val="22"/>
              </w:rPr>
            </w:pPr>
            <w:r w:rsidRPr="0088314D">
              <w:rPr>
                <w:rFonts w:ascii="Calibri" w:hAnsi="Calibri"/>
                <w:sz w:val="22"/>
                <w:szCs w:val="22"/>
              </w:rPr>
              <w:t>Planning (Listed Buildings and Conservation Areas) Act 1990.</w:t>
            </w:r>
            <w:r>
              <w:rPr>
                <w:rFonts w:ascii="Calibri" w:hAnsi="Calibri"/>
                <w:szCs w:val="22"/>
              </w:rPr>
              <w:t xml:space="preserve"> </w:t>
            </w:r>
            <w:r>
              <w:rPr>
                <w:rFonts w:ascii="Calibri" w:hAnsi="Calibri"/>
                <w:sz w:val="22"/>
                <w:szCs w:val="22"/>
              </w:rPr>
              <w:t>‘Preservation’ in the duties at sections 16, 66 and 72 of the Act means “doing no harm to” (</w:t>
            </w:r>
            <w:r>
              <w:rPr>
                <w:rFonts w:ascii="Calibri" w:hAnsi="Calibri"/>
                <w:i/>
                <w:iCs/>
                <w:sz w:val="22"/>
                <w:szCs w:val="22"/>
              </w:rPr>
              <w:t xml:space="preserve">South Lakeland DC v. Secretary of State for the Environment </w:t>
            </w:r>
            <w:r>
              <w:rPr>
                <w:rFonts w:ascii="Calibri" w:hAnsi="Calibri"/>
                <w:sz w:val="22"/>
                <w:szCs w:val="22"/>
              </w:rPr>
              <w:t xml:space="preserve">[1992]). </w:t>
            </w:r>
          </w:p>
          <w:p w:rsidR="0088314D" w:rsidRDefault="0088314D" w:rsidP="0088314D">
            <w:pPr>
              <w:overflowPunct/>
              <w:rPr>
                <w:rFonts w:ascii="Calibri" w:eastAsia="Calibri" w:hAnsi="Calibri" w:cs="Arial"/>
                <w:color w:val="000000"/>
                <w:szCs w:val="22"/>
              </w:rPr>
            </w:pPr>
          </w:p>
          <w:p w:rsidR="0088314D" w:rsidRDefault="0088314D" w:rsidP="0088314D">
            <w:pPr>
              <w:overflowPunct/>
              <w:rPr>
                <w:rFonts w:ascii="Calibri" w:eastAsia="Calibri" w:hAnsi="Calibri" w:cs="Arial"/>
                <w:color w:val="000000"/>
                <w:szCs w:val="22"/>
              </w:rPr>
            </w:pPr>
            <w:r>
              <w:rPr>
                <w:rFonts w:ascii="Calibri" w:eastAsia="Calibri" w:hAnsi="Calibri" w:cs="Arial"/>
                <w:color w:val="000000"/>
                <w:szCs w:val="22"/>
              </w:rPr>
              <w:t xml:space="preserve">National Planning Policy Framework (NPPF) </w:t>
            </w:r>
          </w:p>
          <w:p w:rsidR="0088314D" w:rsidRDefault="0088314D" w:rsidP="0088314D">
            <w:pPr>
              <w:overflowPunct/>
              <w:rPr>
                <w:rFonts w:ascii="Calibri" w:eastAsia="Calibri" w:hAnsi="Calibri" w:cs="Arial"/>
                <w:color w:val="000000"/>
                <w:szCs w:val="22"/>
              </w:rPr>
            </w:pPr>
            <w:r>
              <w:rPr>
                <w:rFonts w:ascii="Calibri" w:eastAsia="Calibri" w:hAnsi="Calibri" w:cs="Arial"/>
                <w:color w:val="000000"/>
                <w:szCs w:val="22"/>
              </w:rPr>
              <w:t>National Planning Policy Guidance (NPPG)</w:t>
            </w:r>
          </w:p>
          <w:p w:rsidR="001946E0" w:rsidRPr="008C75E4" w:rsidRDefault="001946E0" w:rsidP="0088314D">
            <w:pPr>
              <w:rPr>
                <w:rFonts w:ascii="Calibri" w:hAnsi="Calibri"/>
                <w:b/>
                <w:szCs w:val="22"/>
              </w:rPr>
            </w:pP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101855" w:rsidRDefault="0088314D" w:rsidP="00454754">
            <w:pPr>
              <w:pStyle w:val="PLANNING"/>
              <w:rPr>
                <w:rFonts w:ascii="Calibri" w:hAnsi="Calibri"/>
                <w:bCs/>
                <w:szCs w:val="22"/>
              </w:rPr>
            </w:pPr>
            <w:r>
              <w:rPr>
                <w:rFonts w:ascii="Calibri" w:hAnsi="Calibri"/>
                <w:bCs/>
                <w:szCs w:val="22"/>
              </w:rPr>
              <w:t>No pre-application advice has been sought.</w:t>
            </w:r>
          </w:p>
          <w:p w:rsidR="0088314D" w:rsidRDefault="0088314D" w:rsidP="00454754">
            <w:pPr>
              <w:pStyle w:val="PLANNING"/>
              <w:rPr>
                <w:rFonts w:ascii="Calibri" w:hAnsi="Calibri"/>
                <w:bCs/>
                <w:szCs w:val="22"/>
              </w:rPr>
            </w:pPr>
          </w:p>
          <w:p w:rsidR="0088314D" w:rsidRDefault="0088314D" w:rsidP="00454754">
            <w:pPr>
              <w:pStyle w:val="PLANNING"/>
              <w:rPr>
                <w:rFonts w:ascii="Calibri" w:hAnsi="Calibri"/>
                <w:szCs w:val="22"/>
              </w:rPr>
            </w:pPr>
            <w:r>
              <w:rPr>
                <w:rFonts w:ascii="Calibri" w:hAnsi="Calibri"/>
                <w:szCs w:val="22"/>
              </w:rPr>
              <w:t xml:space="preserve">3/2019/0438 </w:t>
            </w:r>
            <w:r w:rsidR="00C97D9F">
              <w:rPr>
                <w:rFonts w:ascii="Calibri" w:hAnsi="Calibri"/>
                <w:szCs w:val="22"/>
              </w:rPr>
              <w:t xml:space="preserve">&amp; 0437 </w:t>
            </w:r>
            <w:r>
              <w:rPr>
                <w:rFonts w:ascii="Calibri" w:hAnsi="Calibri"/>
                <w:szCs w:val="22"/>
              </w:rPr>
              <w:t xml:space="preserve">- Repair and replace diamond pattern cast iron windows to front and restoration of balustrade; replace timber window frames to rear; works to curtilage to replace broken tarmac with </w:t>
            </w:r>
            <w:r>
              <w:rPr>
                <w:rFonts w:ascii="Calibri" w:hAnsi="Calibri"/>
                <w:szCs w:val="22"/>
              </w:rPr>
              <w:lastRenderedPageBreak/>
              <w:t xml:space="preserve">cobble sets; replace broken, over-door external light fitting with fully shielded dark sky approved fitting to front; paint front door and fit new door furniture. </w:t>
            </w:r>
            <w:r w:rsidR="00C97D9F">
              <w:rPr>
                <w:rFonts w:ascii="Calibri" w:hAnsi="Calibri"/>
                <w:szCs w:val="22"/>
              </w:rPr>
              <w:t>LBC and PP granted 9/7/19.</w:t>
            </w:r>
          </w:p>
          <w:p w:rsidR="0088314D" w:rsidRDefault="0088314D" w:rsidP="00454754">
            <w:pPr>
              <w:pStyle w:val="PLANNING"/>
              <w:rPr>
                <w:rFonts w:ascii="Calibri" w:hAnsi="Calibri"/>
                <w:bCs/>
                <w:szCs w:val="22"/>
              </w:rPr>
            </w:pPr>
          </w:p>
          <w:p w:rsidR="0088314D" w:rsidRDefault="0088314D" w:rsidP="0088314D">
            <w:pPr>
              <w:pStyle w:val="PLANNING"/>
              <w:rPr>
                <w:rFonts w:ascii="Calibri" w:hAnsi="Calibri"/>
                <w:bCs/>
                <w:szCs w:val="22"/>
              </w:rPr>
            </w:pPr>
            <w:r>
              <w:rPr>
                <w:rFonts w:ascii="Calibri" w:hAnsi="Calibri"/>
                <w:bCs/>
                <w:szCs w:val="22"/>
              </w:rPr>
              <w:t>BO 1345 – Conversion of Newton National School to a dwelling. PP granted 30 May 1968.</w:t>
            </w:r>
          </w:p>
          <w:p w:rsidR="0088314D" w:rsidRDefault="0088314D" w:rsidP="0088314D">
            <w:pPr>
              <w:pStyle w:val="PLANNING"/>
              <w:rPr>
                <w:rFonts w:ascii="Calibri" w:hAnsi="Calibri"/>
                <w:bCs/>
                <w:szCs w:val="22"/>
              </w:rPr>
            </w:pPr>
          </w:p>
          <w:p w:rsidR="0088314D" w:rsidRPr="001946E0" w:rsidRDefault="0088314D" w:rsidP="0088314D">
            <w:pPr>
              <w:pStyle w:val="PLANNING"/>
              <w:rPr>
                <w:rFonts w:ascii="Calibri" w:hAnsi="Calibri"/>
                <w:bCs/>
                <w:szCs w:val="22"/>
              </w:rPr>
            </w:pPr>
            <w:r>
              <w:rPr>
                <w:rFonts w:ascii="Calibri" w:hAnsi="Calibri"/>
                <w:bCs/>
                <w:szCs w:val="22"/>
              </w:rPr>
              <w:t>BO 1388 –</w:t>
            </w:r>
            <w:r>
              <w:rPr>
                <w:rFonts w:ascii="Calibri" w:hAnsi="Calibri"/>
                <w:b/>
                <w:bCs/>
                <w:szCs w:val="22"/>
              </w:rPr>
              <w:t xml:space="preserve"> </w:t>
            </w:r>
            <w:r>
              <w:rPr>
                <w:rFonts w:ascii="Calibri" w:hAnsi="Calibri"/>
                <w:bCs/>
                <w:szCs w:val="22"/>
              </w:rPr>
              <w:t xml:space="preserve">Details of conversion. PP granted 29 October 1968.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F30A4E" w:rsidRDefault="00F30A4E" w:rsidP="00C656C2">
            <w:pPr>
              <w:pStyle w:val="Header"/>
              <w:tabs>
                <w:tab w:val="left" w:pos="720"/>
              </w:tabs>
              <w:jc w:val="both"/>
              <w:rPr>
                <w:rFonts w:ascii="Calibri" w:hAnsi="Calibri"/>
                <w:bCs/>
                <w:szCs w:val="22"/>
              </w:rPr>
            </w:pPr>
            <w:r>
              <w:rPr>
                <w:rFonts w:ascii="Calibri" w:hAnsi="Calibri"/>
                <w:bCs/>
                <w:szCs w:val="22"/>
              </w:rPr>
              <w:t xml:space="preserve">The Old School (converted to a dwelling in 1968) is a Grade II listed (16 November 1983) building of 1842 prominently sited within Newton Conservation Area. </w:t>
            </w:r>
          </w:p>
          <w:p w:rsidR="002578CD" w:rsidRDefault="002578CD" w:rsidP="00C656C2">
            <w:pPr>
              <w:pStyle w:val="Header"/>
              <w:tabs>
                <w:tab w:val="left" w:pos="720"/>
              </w:tabs>
              <w:jc w:val="both"/>
              <w:rPr>
                <w:rFonts w:ascii="Calibri" w:hAnsi="Calibri" w:cs="Arial"/>
                <w:lang w:val="en"/>
              </w:rPr>
            </w:pPr>
          </w:p>
          <w:p w:rsidR="002578CD" w:rsidRDefault="002578CD" w:rsidP="00C656C2">
            <w:pPr>
              <w:pStyle w:val="Header"/>
              <w:tabs>
                <w:tab w:val="left" w:pos="720"/>
              </w:tabs>
              <w:jc w:val="both"/>
              <w:rPr>
                <w:rFonts w:ascii="Calibri" w:hAnsi="Calibri" w:cs="Arial"/>
                <w:lang w:val="en"/>
              </w:rPr>
            </w:pPr>
            <w:r>
              <w:rPr>
                <w:rFonts w:ascii="Calibri" w:hAnsi="Calibri" w:cs="Arial"/>
                <w:lang w:val="en"/>
              </w:rPr>
              <w:t>The list description typically refers to the front elevation only.</w:t>
            </w:r>
          </w:p>
          <w:p w:rsidR="00F30A4E" w:rsidRDefault="00F30A4E" w:rsidP="00F30A4E">
            <w:pPr>
              <w:pStyle w:val="Header"/>
              <w:tabs>
                <w:tab w:val="left" w:pos="720"/>
              </w:tabs>
              <w:jc w:val="both"/>
              <w:rPr>
                <w:rFonts w:ascii="Calibri" w:hAnsi="Calibri" w:cs="Arial"/>
                <w:lang w:val="en"/>
              </w:rPr>
            </w:pPr>
          </w:p>
          <w:p w:rsidR="00F30A4E" w:rsidRDefault="00F30A4E" w:rsidP="00F30A4E">
            <w:pPr>
              <w:pStyle w:val="Header"/>
              <w:tabs>
                <w:tab w:val="left" w:pos="720"/>
              </w:tabs>
              <w:jc w:val="both"/>
              <w:rPr>
                <w:rFonts w:ascii="Calibri" w:hAnsi="Calibri" w:cs="Arial"/>
                <w:lang w:val="en"/>
              </w:rPr>
            </w:pPr>
            <w:r>
              <w:rPr>
                <w:rFonts w:ascii="Calibri" w:hAnsi="Calibri" w:cs="Arial"/>
                <w:lang w:val="en"/>
              </w:rPr>
              <w:t xml:space="preserve">The Old School is adjoined/faced by and within the setting of Schoolhouse Cottage (Grade II; </w:t>
            </w:r>
            <w:r>
              <w:rPr>
                <w:rFonts w:ascii="Calibri" w:hAnsi="Calibri"/>
                <w:bCs/>
                <w:szCs w:val="22"/>
              </w:rPr>
              <w:t>16 November 1983</w:t>
            </w:r>
            <w:r>
              <w:rPr>
                <w:rFonts w:ascii="Calibri" w:hAnsi="Calibri" w:cs="Arial"/>
                <w:lang w:val="en"/>
              </w:rPr>
              <w:t>), Sunnyside, Barn SW of Hydes and Hydes Farmhouse. The list description of the former identifies:</w:t>
            </w:r>
          </w:p>
          <w:p w:rsidR="00F30A4E" w:rsidRDefault="00F30A4E" w:rsidP="00F30A4E">
            <w:pPr>
              <w:pStyle w:val="Header"/>
              <w:tabs>
                <w:tab w:val="left" w:pos="720"/>
              </w:tabs>
              <w:jc w:val="both"/>
              <w:rPr>
                <w:rFonts w:ascii="Calibri" w:hAnsi="Calibri" w:cs="Arial"/>
                <w:lang w:val="en"/>
              </w:rPr>
            </w:pPr>
          </w:p>
          <w:p w:rsidR="00F30A4E" w:rsidRDefault="00F30A4E" w:rsidP="00F30A4E">
            <w:pPr>
              <w:pStyle w:val="Header"/>
              <w:tabs>
                <w:tab w:val="left" w:pos="720"/>
              </w:tabs>
              <w:jc w:val="both"/>
              <w:rPr>
                <w:rFonts w:ascii="Calibri" w:hAnsi="Calibri" w:cs="Arial"/>
                <w:lang w:val="en"/>
              </w:rPr>
            </w:pPr>
            <w:r>
              <w:rPr>
                <w:rFonts w:ascii="Calibri" w:hAnsi="Calibri" w:cs="Arial"/>
                <w:lang w:val="en"/>
              </w:rPr>
              <w:t>“</w:t>
            </w:r>
            <w:r>
              <w:rPr>
                <w:rFonts w:ascii="Calibri" w:hAnsi="Calibri" w:cs="Arial"/>
                <w:i/>
                <w:lang w:val="en"/>
              </w:rPr>
              <w:t>House, with dressings similar to those of the school adjoining (q.v.) which is dated 1842, possibly a conversion of an earlier building</w:t>
            </w:r>
            <w:r>
              <w:rPr>
                <w:rFonts w:ascii="Calibri" w:hAnsi="Calibri" w:cs="Arial"/>
                <w:lang w:val="en"/>
              </w:rPr>
              <w:t>”.</w:t>
            </w:r>
          </w:p>
          <w:p w:rsidR="00F30A4E" w:rsidRDefault="00F30A4E" w:rsidP="00454754">
            <w:pPr>
              <w:pStyle w:val="Header"/>
              <w:tabs>
                <w:tab w:val="clear" w:pos="4153"/>
                <w:tab w:val="clear" w:pos="8306"/>
              </w:tabs>
              <w:contextualSpacing/>
              <w:jc w:val="both"/>
              <w:rPr>
                <w:rFonts w:ascii="Calibri" w:hAnsi="Calibri"/>
                <w:b/>
                <w:szCs w:val="22"/>
              </w:rPr>
            </w:pPr>
          </w:p>
          <w:p w:rsidR="00F30A4E" w:rsidRDefault="00F30A4E" w:rsidP="00F30A4E">
            <w:pPr>
              <w:pStyle w:val="Header"/>
              <w:tabs>
                <w:tab w:val="left" w:pos="720"/>
              </w:tabs>
              <w:jc w:val="both"/>
              <w:rPr>
                <w:rFonts w:ascii="Calibri" w:hAnsi="Calibri" w:cs="Arial"/>
                <w:lang w:val="en"/>
              </w:rPr>
            </w:pPr>
            <w:r>
              <w:rPr>
                <w:rFonts w:ascii="Calibri" w:hAnsi="Calibri" w:cs="Arial"/>
                <w:lang w:val="en"/>
              </w:rPr>
              <w:t xml:space="preserve">The </w:t>
            </w:r>
            <w:r>
              <w:rPr>
                <w:rFonts w:ascii="Calibri" w:hAnsi="Calibri" w:cs="Arial"/>
                <w:u w:val="single"/>
                <w:lang w:val="en"/>
              </w:rPr>
              <w:t>Newton Conservation Area Appraisal</w:t>
            </w:r>
            <w:r>
              <w:rPr>
                <w:rFonts w:ascii="Calibri" w:hAnsi="Calibri" w:cs="Arial"/>
                <w:lang w:val="en"/>
              </w:rPr>
              <w:t xml:space="preserve"> identifies:</w:t>
            </w:r>
          </w:p>
          <w:p w:rsidR="00F30A4E" w:rsidRDefault="00F30A4E" w:rsidP="00F30A4E">
            <w:pPr>
              <w:pStyle w:val="Header"/>
              <w:tabs>
                <w:tab w:val="left" w:pos="720"/>
              </w:tabs>
              <w:jc w:val="both"/>
              <w:rPr>
                <w:rFonts w:ascii="Calibri" w:hAnsi="Calibri" w:cs="Arial"/>
                <w:lang w:val="en"/>
              </w:rPr>
            </w:pPr>
          </w:p>
          <w:p w:rsidR="00F30A4E" w:rsidRDefault="00F30A4E" w:rsidP="00F30A4E">
            <w:pPr>
              <w:pStyle w:val="Header"/>
              <w:tabs>
                <w:tab w:val="left" w:pos="720"/>
              </w:tabs>
              <w:jc w:val="both"/>
              <w:rPr>
                <w:rFonts w:ascii="Calibri" w:hAnsi="Calibri" w:cs="Arial"/>
                <w:lang w:val="en"/>
              </w:rPr>
            </w:pPr>
            <w:r>
              <w:rPr>
                <w:rFonts w:ascii="Calibri" w:hAnsi="Calibri" w:cs="Arial"/>
                <w:lang w:val="en"/>
              </w:rPr>
              <w:t>The buildings adjoining the school and cottage to be Buildings of Townscape Merit making a positive contribution to the conservation area and land to the front and rear to be Significant Open Space (Townscape Appraisal Map).</w:t>
            </w:r>
          </w:p>
          <w:p w:rsidR="00F30A4E" w:rsidRDefault="00F30A4E" w:rsidP="00F30A4E">
            <w:pPr>
              <w:pStyle w:val="Header"/>
              <w:tabs>
                <w:tab w:val="left" w:pos="720"/>
              </w:tabs>
              <w:jc w:val="both"/>
              <w:rPr>
                <w:rFonts w:ascii="Calibri" w:hAnsi="Calibri" w:cs="Arial"/>
                <w:lang w:val="en"/>
              </w:rPr>
            </w:pPr>
          </w:p>
          <w:p w:rsidR="00F30A4E" w:rsidRDefault="00F30A4E" w:rsidP="00F30A4E">
            <w:pPr>
              <w:pStyle w:val="Header"/>
              <w:tabs>
                <w:tab w:val="left" w:pos="720"/>
              </w:tabs>
              <w:jc w:val="both"/>
              <w:rPr>
                <w:rFonts w:ascii="Calibri" w:hAnsi="Calibri"/>
                <w:szCs w:val="22"/>
              </w:rPr>
            </w:pPr>
            <w:r>
              <w:rPr>
                <w:rFonts w:ascii="Calibri" w:hAnsi="Calibri"/>
                <w:szCs w:val="22"/>
              </w:rPr>
              <w:t>“</w:t>
            </w:r>
            <w:r>
              <w:rPr>
                <w:rFonts w:ascii="Calibri" w:hAnsi="Calibri"/>
                <w:i/>
                <w:szCs w:val="22"/>
              </w:rPr>
              <w:t>Newton responded to the closure of the Friends School in 1844 by building the National School, which took its first pupils in 1847. By this time, Newton had reached the form that survives virtually unchanged to this day</w:t>
            </w:r>
            <w:r>
              <w:rPr>
                <w:rFonts w:ascii="Calibri" w:hAnsi="Calibri"/>
                <w:szCs w:val="22"/>
              </w:rPr>
              <w:t>” (Origins and historic development).</w:t>
            </w:r>
          </w:p>
          <w:p w:rsidR="00F30A4E" w:rsidRDefault="00F30A4E" w:rsidP="00F30A4E">
            <w:pPr>
              <w:pStyle w:val="Header"/>
              <w:tabs>
                <w:tab w:val="left" w:pos="720"/>
              </w:tabs>
              <w:jc w:val="both"/>
              <w:rPr>
                <w:rFonts w:ascii="Calibri" w:hAnsi="Calibri"/>
                <w:szCs w:val="22"/>
              </w:rPr>
            </w:pPr>
          </w:p>
          <w:p w:rsidR="00F30A4E" w:rsidRDefault="00F30A4E" w:rsidP="00F30A4E">
            <w:pPr>
              <w:pStyle w:val="Header"/>
              <w:tabs>
                <w:tab w:val="left" w:pos="720"/>
              </w:tabs>
              <w:jc w:val="both"/>
              <w:rPr>
                <w:rFonts w:ascii="Calibri" w:hAnsi="Calibri" w:cs="Arial"/>
                <w:szCs w:val="22"/>
                <w:lang w:val="en"/>
              </w:rPr>
            </w:pPr>
            <w:r>
              <w:rPr>
                <w:rFonts w:ascii="Calibri" w:hAnsi="Calibri"/>
                <w:szCs w:val="22"/>
              </w:rPr>
              <w:t>“</w:t>
            </w:r>
            <w:r>
              <w:rPr>
                <w:rFonts w:ascii="Calibri" w:hAnsi="Calibri"/>
                <w:i/>
                <w:szCs w:val="22"/>
              </w:rPr>
              <w:t>Rows and pairs of simple cottages are also common, some of them with names that elucidate their former function (Schoolhouse Cottage, The Old Post Office, The Old Reading Room). There is a former school, with belfry and attractive art-deco barrier railings</w:t>
            </w:r>
            <w:r>
              <w:rPr>
                <w:rFonts w:ascii="Calibri" w:hAnsi="Calibri"/>
                <w:szCs w:val="22"/>
              </w:rPr>
              <w:t>”; photograph (Planform and building types).</w:t>
            </w:r>
          </w:p>
          <w:p w:rsidR="00F30A4E" w:rsidRDefault="00F30A4E" w:rsidP="00F30A4E">
            <w:pPr>
              <w:overflowPunct/>
              <w:rPr>
                <w:rFonts w:ascii="Times New Roman" w:eastAsia="Calibri" w:hAnsi="Times New Roman"/>
                <w:color w:val="000000"/>
                <w:sz w:val="24"/>
                <w:szCs w:val="24"/>
              </w:rPr>
            </w:pPr>
          </w:p>
          <w:p w:rsidR="00F30A4E" w:rsidRDefault="00F30A4E" w:rsidP="00F30A4E">
            <w:pPr>
              <w:overflowPunct/>
              <w:rPr>
                <w:rFonts w:ascii="Calibri" w:eastAsia="Calibri" w:hAnsi="Calibri"/>
                <w:i/>
                <w:szCs w:val="22"/>
              </w:rPr>
            </w:pPr>
            <w:r>
              <w:rPr>
                <w:rFonts w:ascii="Calibri" w:eastAsia="Calibri" w:hAnsi="Calibri"/>
                <w:bCs/>
                <w:szCs w:val="22"/>
              </w:rPr>
              <w:t>“</w:t>
            </w:r>
            <w:r>
              <w:rPr>
                <w:rFonts w:ascii="Calibri" w:eastAsia="Calibri" w:hAnsi="Calibri"/>
                <w:bCs/>
                <w:i/>
                <w:szCs w:val="22"/>
              </w:rPr>
              <w:t xml:space="preserve">The Old School: </w:t>
            </w:r>
            <w:r>
              <w:rPr>
                <w:rFonts w:ascii="Calibri" w:eastAsia="Calibri" w:hAnsi="Calibri"/>
                <w:i/>
                <w:szCs w:val="22"/>
              </w:rPr>
              <w:t xml:space="preserve">Grade II, inscribed ‘Newton National School Erected AD 1842’, of watershot gritstone with projecting plinth, quoins, door and window surrounds, tall two-light mullioned and transomed windows, with hood mould and cast-iron glazing bars forming a diaper pattern. A centrally placed stone bellcote lacks its bell, but the railings forming a barrier between the front door and the road have survived and form an attractive art deco rectilinear pattern. </w:t>
            </w:r>
          </w:p>
          <w:p w:rsidR="00F30A4E" w:rsidRDefault="00F30A4E" w:rsidP="00F30A4E">
            <w:pPr>
              <w:overflowPunct/>
              <w:rPr>
                <w:rFonts w:ascii="Calibri" w:eastAsia="Calibri" w:hAnsi="Calibri"/>
                <w:i/>
                <w:szCs w:val="22"/>
              </w:rPr>
            </w:pPr>
          </w:p>
          <w:p w:rsidR="00F30A4E" w:rsidRDefault="00F30A4E" w:rsidP="00F30A4E">
            <w:pPr>
              <w:overflowPunct/>
              <w:rPr>
                <w:rFonts w:ascii="Calibri" w:eastAsia="Calibri" w:hAnsi="Calibri"/>
                <w:szCs w:val="22"/>
              </w:rPr>
            </w:pPr>
            <w:r>
              <w:rPr>
                <w:rFonts w:ascii="Calibri" w:eastAsia="Calibri" w:hAnsi="Calibri"/>
                <w:bCs/>
                <w:i/>
                <w:szCs w:val="22"/>
              </w:rPr>
              <w:t xml:space="preserve">Schoolhouse Cottage: </w:t>
            </w:r>
            <w:r>
              <w:rPr>
                <w:rFonts w:ascii="Calibri" w:eastAsia="Calibri" w:hAnsi="Calibri"/>
                <w:i/>
                <w:szCs w:val="22"/>
              </w:rPr>
              <w:t>Grade II, similar in style to the school, with diaper-pattern windows, but possibly converted from an earlier (late 18th) building</w:t>
            </w:r>
            <w:r>
              <w:rPr>
                <w:rFonts w:ascii="Calibri" w:eastAsia="Calibri" w:hAnsi="Calibri"/>
                <w:szCs w:val="22"/>
              </w:rPr>
              <w:t xml:space="preserve">” (Listed buildings). </w:t>
            </w:r>
          </w:p>
          <w:p w:rsidR="00F30A4E" w:rsidRDefault="00F30A4E" w:rsidP="00F30A4E">
            <w:pPr>
              <w:overflowPunct/>
              <w:rPr>
                <w:rFonts w:ascii="Times New Roman" w:eastAsia="Calibri" w:hAnsi="Times New Roman"/>
                <w:color w:val="000000"/>
                <w:sz w:val="24"/>
                <w:szCs w:val="24"/>
              </w:rPr>
            </w:pPr>
          </w:p>
          <w:p w:rsidR="00F30A4E" w:rsidRDefault="00F30A4E" w:rsidP="00F30A4E">
            <w:pPr>
              <w:overflowPunct/>
              <w:rPr>
                <w:rFonts w:ascii="Calibri" w:eastAsia="Calibri" w:hAnsi="Calibri"/>
                <w:i/>
                <w:color w:val="000000"/>
                <w:szCs w:val="22"/>
              </w:rPr>
            </w:pPr>
            <w:r>
              <w:rPr>
                <w:rFonts w:ascii="Calibri" w:eastAsia="Calibri" w:hAnsi="Calibri"/>
                <w:i/>
                <w:color w:val="000000"/>
                <w:szCs w:val="22"/>
              </w:rPr>
              <w:t>“Historic paving</w:t>
            </w:r>
            <w:r>
              <w:rPr>
                <w:rFonts w:ascii="Calibri" w:eastAsia="Calibri" w:hAnsi="Calibri"/>
                <w:b/>
                <w:bCs/>
                <w:i/>
                <w:color w:val="000000"/>
                <w:szCs w:val="22"/>
              </w:rPr>
              <w:t xml:space="preserve">: </w:t>
            </w:r>
            <w:r>
              <w:rPr>
                <w:rFonts w:ascii="Calibri" w:eastAsia="Calibri" w:hAnsi="Calibri"/>
                <w:i/>
                <w:color w:val="000000"/>
                <w:szCs w:val="22"/>
              </w:rPr>
              <w:t xml:space="preserve">there are small areas of cobbled paving in front of the Parkers Arms, in front of the side entrance to Newton Hall, and in front of Ivy Cottage. There is also an extensive area of cobbles in front of Sunnyside” </w:t>
            </w:r>
            <w:r>
              <w:rPr>
                <w:rFonts w:ascii="Calibri" w:eastAsia="Calibri" w:hAnsi="Calibri"/>
                <w:color w:val="000000"/>
                <w:szCs w:val="22"/>
              </w:rPr>
              <w:t>(Local details).</w:t>
            </w:r>
            <w:r>
              <w:rPr>
                <w:rFonts w:ascii="Calibri" w:eastAsia="Calibri" w:hAnsi="Calibri"/>
                <w:i/>
                <w:color w:val="000000"/>
                <w:szCs w:val="22"/>
              </w:rPr>
              <w:t xml:space="preserve"> </w:t>
            </w:r>
          </w:p>
          <w:p w:rsidR="00F30A4E" w:rsidRDefault="00F30A4E" w:rsidP="00F30A4E">
            <w:pPr>
              <w:overflowPunct/>
              <w:rPr>
                <w:rFonts w:ascii="Times New Roman" w:eastAsia="Calibri" w:hAnsi="Times New Roman"/>
                <w:color w:val="000000"/>
                <w:sz w:val="24"/>
                <w:szCs w:val="24"/>
              </w:rPr>
            </w:pPr>
          </w:p>
          <w:p w:rsidR="00F30A4E" w:rsidRDefault="00F30A4E" w:rsidP="00F30A4E">
            <w:pPr>
              <w:pStyle w:val="Header"/>
              <w:tabs>
                <w:tab w:val="clear" w:pos="4153"/>
                <w:tab w:val="clear" w:pos="8306"/>
              </w:tabs>
              <w:contextualSpacing/>
              <w:jc w:val="both"/>
              <w:rPr>
                <w:rFonts w:ascii="Calibri" w:eastAsia="Calibri" w:hAnsi="Calibri"/>
                <w:color w:val="000000"/>
                <w:szCs w:val="22"/>
              </w:rPr>
            </w:pPr>
            <w:r>
              <w:rPr>
                <w:rFonts w:ascii="Calibri" w:eastAsia="Calibri" w:hAnsi="Calibri"/>
                <w:color w:val="000000"/>
                <w:szCs w:val="22"/>
              </w:rPr>
              <w:t>“</w:t>
            </w:r>
            <w:r>
              <w:rPr>
                <w:rFonts w:ascii="Calibri" w:eastAsia="Calibri" w:hAnsi="Calibri"/>
                <w:i/>
                <w:color w:val="000000"/>
                <w:szCs w:val="22"/>
              </w:rPr>
              <w:t>some examples of sympathetic modernisation or conservation of historic properties (the Old School, Schoolhouse Cottage, The Old Post Office, for example)</w:t>
            </w:r>
            <w:r>
              <w:rPr>
                <w:rFonts w:ascii="Calibri" w:eastAsia="Calibri" w:hAnsi="Calibri"/>
                <w:color w:val="000000"/>
                <w:szCs w:val="22"/>
              </w:rPr>
              <w:t>” (Strengths).</w:t>
            </w:r>
          </w:p>
          <w:p w:rsidR="00F30A4E" w:rsidRDefault="00F30A4E" w:rsidP="00F30A4E">
            <w:pPr>
              <w:pStyle w:val="Header"/>
              <w:tabs>
                <w:tab w:val="clear" w:pos="4153"/>
                <w:tab w:val="clear" w:pos="8306"/>
              </w:tabs>
              <w:contextualSpacing/>
              <w:jc w:val="both"/>
              <w:rPr>
                <w:rFonts w:ascii="Calibri" w:hAnsi="Calibri"/>
                <w:b/>
                <w:szCs w:val="22"/>
              </w:rPr>
            </w:pPr>
          </w:p>
          <w:p w:rsidR="00F30A4E" w:rsidRPr="00D102D9" w:rsidRDefault="00F30A4E" w:rsidP="00F30A4E">
            <w:pPr>
              <w:pStyle w:val="Header"/>
              <w:tabs>
                <w:tab w:val="clear" w:pos="4153"/>
                <w:tab w:val="clear" w:pos="8306"/>
              </w:tabs>
              <w:contextualSpacing/>
              <w:jc w:val="both"/>
              <w:rPr>
                <w:rFonts w:ascii="Calibri" w:hAnsi="Calibri"/>
                <w:b/>
                <w:szCs w:val="22"/>
              </w:rPr>
            </w:pP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454754" w:rsidRDefault="005001BB" w:rsidP="00454754">
            <w:pPr>
              <w:pStyle w:val="Header"/>
              <w:tabs>
                <w:tab w:val="clear" w:pos="4153"/>
                <w:tab w:val="clear" w:pos="8306"/>
              </w:tabs>
              <w:jc w:val="both"/>
              <w:rPr>
                <w:rFonts w:asciiTheme="minorHAnsi" w:hAnsiTheme="minorHAnsi" w:cstheme="minorHAnsi"/>
                <w:szCs w:val="22"/>
                <w:shd w:val="clear" w:color="auto" w:fill="FFFFFF"/>
              </w:rPr>
            </w:pPr>
            <w:r w:rsidRPr="008C024A">
              <w:rPr>
                <w:rFonts w:asciiTheme="minorHAnsi" w:hAnsiTheme="minorHAnsi" w:cstheme="minorHAnsi"/>
                <w:szCs w:val="22"/>
                <w:shd w:val="clear" w:color="auto" w:fill="FFFFFF"/>
              </w:rPr>
              <w:t>P</w:t>
            </w:r>
            <w:r>
              <w:rPr>
                <w:rFonts w:asciiTheme="minorHAnsi" w:hAnsiTheme="minorHAnsi" w:cstheme="minorHAnsi"/>
                <w:szCs w:val="22"/>
                <w:shd w:val="clear" w:color="auto" w:fill="FFFFFF"/>
              </w:rPr>
              <w:t>lanning permission is sought for the p</w:t>
            </w:r>
            <w:r w:rsidRPr="008C024A">
              <w:rPr>
                <w:rFonts w:asciiTheme="minorHAnsi" w:hAnsiTheme="minorHAnsi" w:cstheme="minorHAnsi"/>
                <w:szCs w:val="22"/>
                <w:shd w:val="clear" w:color="auto" w:fill="FFFFFF"/>
              </w:rPr>
              <w:t>roposed laying of cobbles, flags and gravel to the rear yard</w:t>
            </w:r>
            <w:r>
              <w:rPr>
                <w:rFonts w:asciiTheme="minorHAnsi" w:hAnsiTheme="minorHAnsi" w:cstheme="minorHAnsi"/>
                <w:szCs w:val="22"/>
                <w:shd w:val="clear" w:color="auto" w:fill="FFFFFF"/>
              </w:rPr>
              <w:t xml:space="preserve"> (which extends beyond the applicant’s ownership)</w:t>
            </w:r>
            <w:r w:rsidRPr="008C024A">
              <w:rPr>
                <w:rFonts w:asciiTheme="minorHAnsi" w:hAnsiTheme="minorHAnsi" w:cstheme="minorHAnsi"/>
                <w:szCs w:val="22"/>
                <w:shd w:val="clear" w:color="auto" w:fill="FFFFFF"/>
              </w:rPr>
              <w:t>.</w:t>
            </w:r>
            <w:r w:rsidR="00AF311C">
              <w:rPr>
                <w:rFonts w:asciiTheme="minorHAnsi" w:hAnsiTheme="minorHAnsi" w:cstheme="minorHAnsi"/>
                <w:szCs w:val="22"/>
                <w:shd w:val="clear" w:color="auto" w:fill="FFFFFF"/>
              </w:rPr>
              <w:t xml:space="preserve"> </w:t>
            </w:r>
            <w:r w:rsidR="00AC43D6">
              <w:rPr>
                <w:rFonts w:asciiTheme="minorHAnsi" w:hAnsiTheme="minorHAnsi" w:cstheme="minorHAnsi"/>
                <w:szCs w:val="22"/>
                <w:shd w:val="clear" w:color="auto" w:fill="FFFFFF"/>
              </w:rPr>
              <w:t>S</w:t>
            </w:r>
            <w:r w:rsidR="00AF311C">
              <w:rPr>
                <w:rFonts w:asciiTheme="minorHAnsi" w:hAnsiTheme="minorHAnsi" w:cstheme="minorHAnsi"/>
                <w:szCs w:val="22"/>
                <w:shd w:val="clear" w:color="auto" w:fill="FFFFFF"/>
              </w:rPr>
              <w:t>tone flag</w:t>
            </w:r>
            <w:r w:rsidR="00AC43D6">
              <w:rPr>
                <w:rFonts w:asciiTheme="minorHAnsi" w:hAnsiTheme="minorHAnsi" w:cstheme="minorHAnsi"/>
                <w:szCs w:val="22"/>
                <w:shd w:val="clear" w:color="auto" w:fill="FFFFFF"/>
              </w:rPr>
              <w:t>s</w:t>
            </w:r>
            <w:r w:rsidR="00AF311C">
              <w:rPr>
                <w:rFonts w:asciiTheme="minorHAnsi" w:hAnsiTheme="minorHAnsi" w:cstheme="minorHAnsi"/>
                <w:szCs w:val="22"/>
                <w:shd w:val="clear" w:color="auto" w:fill="FFFFFF"/>
              </w:rPr>
              <w:t xml:space="preserve"> (lined with setts) </w:t>
            </w:r>
            <w:r w:rsidR="00AC43D6">
              <w:rPr>
                <w:rFonts w:asciiTheme="minorHAnsi" w:hAnsiTheme="minorHAnsi" w:cstheme="minorHAnsi"/>
                <w:szCs w:val="22"/>
                <w:shd w:val="clear" w:color="auto" w:fill="FFFFFF"/>
              </w:rPr>
              <w:t>are proposed</w:t>
            </w:r>
            <w:r w:rsidR="00AF311C">
              <w:rPr>
                <w:rFonts w:asciiTheme="minorHAnsi" w:hAnsiTheme="minorHAnsi" w:cstheme="minorHAnsi"/>
                <w:szCs w:val="22"/>
                <w:shd w:val="clear" w:color="auto" w:fill="FFFFFF"/>
              </w:rPr>
              <w:t xml:space="preserve"> to the</w:t>
            </w:r>
            <w:r w:rsidR="00AC43D6">
              <w:rPr>
                <w:rFonts w:asciiTheme="minorHAnsi" w:hAnsiTheme="minorHAnsi" w:cstheme="minorHAnsi"/>
                <w:szCs w:val="22"/>
                <w:shd w:val="clear" w:color="auto" w:fill="FFFFFF"/>
              </w:rPr>
              <w:t xml:space="preserve"> area</w:t>
            </w:r>
            <w:r w:rsidR="00AF311C">
              <w:rPr>
                <w:rFonts w:asciiTheme="minorHAnsi" w:hAnsiTheme="minorHAnsi" w:cstheme="minorHAnsi"/>
                <w:szCs w:val="22"/>
                <w:shd w:val="clear" w:color="auto" w:fill="FFFFFF"/>
              </w:rPr>
              <w:t xml:space="preserve"> immediate</w:t>
            </w:r>
            <w:r w:rsidR="00AC43D6">
              <w:rPr>
                <w:rFonts w:asciiTheme="minorHAnsi" w:hAnsiTheme="minorHAnsi" w:cstheme="minorHAnsi"/>
                <w:szCs w:val="22"/>
                <w:shd w:val="clear" w:color="auto" w:fill="FFFFFF"/>
              </w:rPr>
              <w:t>ly</w:t>
            </w:r>
            <w:r w:rsidR="00AF311C">
              <w:rPr>
                <w:rFonts w:asciiTheme="minorHAnsi" w:hAnsiTheme="minorHAnsi" w:cstheme="minorHAnsi"/>
                <w:szCs w:val="22"/>
                <w:shd w:val="clear" w:color="auto" w:fill="FFFFFF"/>
              </w:rPr>
              <w:t xml:space="preserve"> surrounding the existing</w:t>
            </w:r>
            <w:r w:rsidR="00AC43D6">
              <w:rPr>
                <w:rFonts w:asciiTheme="minorHAnsi" w:hAnsiTheme="minorHAnsi" w:cstheme="minorHAnsi"/>
                <w:szCs w:val="22"/>
                <w:shd w:val="clear" w:color="auto" w:fill="FFFFFF"/>
              </w:rPr>
              <w:t xml:space="preserve"> rear extension; the flags will be contiguous with existing flags to the side. The remaining area will be gravel.</w:t>
            </w:r>
            <w:r w:rsidR="001A575F">
              <w:rPr>
                <w:rFonts w:asciiTheme="minorHAnsi" w:hAnsiTheme="minorHAnsi" w:cstheme="minorHAnsi"/>
                <w:szCs w:val="22"/>
                <w:shd w:val="clear" w:color="auto" w:fill="FFFFFF"/>
              </w:rPr>
              <w:t xml:space="preserve"> The existing material is </w:t>
            </w:r>
            <w:r w:rsidR="00330256">
              <w:rPr>
                <w:rFonts w:asciiTheme="minorHAnsi" w:hAnsiTheme="minorHAnsi" w:cstheme="minorHAnsi"/>
                <w:szCs w:val="22"/>
                <w:shd w:val="clear" w:color="auto" w:fill="FFFFFF"/>
              </w:rPr>
              <w:t>t</w:t>
            </w:r>
            <w:r w:rsidR="001A575F">
              <w:rPr>
                <w:rFonts w:asciiTheme="minorHAnsi" w:hAnsiTheme="minorHAnsi" w:cstheme="minorHAnsi"/>
                <w:szCs w:val="22"/>
                <w:shd w:val="clear" w:color="auto" w:fill="FFFFFF"/>
              </w:rPr>
              <w:t>armac.</w:t>
            </w:r>
          </w:p>
          <w:p w:rsidR="002533AA" w:rsidRPr="00F012FA" w:rsidRDefault="002533AA" w:rsidP="00454754">
            <w:pPr>
              <w:pStyle w:val="Header"/>
              <w:tabs>
                <w:tab w:val="clear" w:pos="4153"/>
                <w:tab w:val="clear" w:pos="8306"/>
              </w:tabs>
              <w:jc w:val="both"/>
              <w:rPr>
                <w:rFonts w:ascii="Calibri" w:hAnsi="Calibri"/>
                <w:szCs w:val="22"/>
              </w:rPr>
            </w:pPr>
          </w:p>
        </w:tc>
      </w:tr>
      <w:tr w:rsidR="00C214A6" w:rsidRPr="008C75E4" w:rsidTr="00504440">
        <w:trPr>
          <w:trHeight w:val="864"/>
          <w:jc w:val="center"/>
        </w:trPr>
        <w:tc>
          <w:tcPr>
            <w:tcW w:w="9555" w:type="dxa"/>
            <w:gridSpan w:val="14"/>
            <w:tcMar>
              <w:top w:w="57" w:type="dxa"/>
              <w:bottom w:w="57" w:type="dxa"/>
            </w:tcMar>
          </w:tcPr>
          <w:p w:rsidR="006D7624" w:rsidRDefault="00091F14" w:rsidP="006D7624">
            <w:pPr>
              <w:pStyle w:val="Header"/>
              <w:jc w:val="both"/>
              <w:rPr>
                <w:rFonts w:ascii="Calibri" w:hAnsi="Calibri"/>
                <w:b/>
                <w:szCs w:val="22"/>
              </w:rPr>
            </w:pPr>
            <w:r>
              <w:rPr>
                <w:rFonts w:ascii="Calibri" w:hAnsi="Calibri"/>
                <w:b/>
                <w:szCs w:val="22"/>
              </w:rPr>
              <w:t>Impact upon the special arch</w:t>
            </w:r>
            <w:r w:rsidR="00AC43D6">
              <w:rPr>
                <w:rFonts w:ascii="Calibri" w:hAnsi="Calibri"/>
                <w:b/>
                <w:szCs w:val="22"/>
              </w:rPr>
              <w:t>itectur</w:t>
            </w:r>
            <w:r>
              <w:rPr>
                <w:rFonts w:ascii="Calibri" w:hAnsi="Calibri"/>
                <w:b/>
                <w:szCs w:val="22"/>
              </w:rPr>
              <w:t>al and historic interest of the listed building, the setting of listed buildings, the character and appearance of Newton Conservation Area and the cultural heritage of the Forest of Bowland AONB</w:t>
            </w:r>
            <w:r w:rsidR="006D7624" w:rsidRPr="006D7624">
              <w:rPr>
                <w:rFonts w:ascii="Calibri" w:hAnsi="Calibri"/>
                <w:b/>
                <w:szCs w:val="22"/>
              </w:rPr>
              <w:t>:</w:t>
            </w:r>
          </w:p>
          <w:p w:rsidR="00AC43D6" w:rsidRDefault="00AC43D6" w:rsidP="006D7624">
            <w:pPr>
              <w:pStyle w:val="Header"/>
              <w:jc w:val="both"/>
              <w:rPr>
                <w:rFonts w:ascii="Calibri" w:hAnsi="Calibri"/>
                <w:b/>
                <w:szCs w:val="22"/>
              </w:rPr>
            </w:pPr>
          </w:p>
          <w:p w:rsidR="00FC1372" w:rsidRDefault="00AC43D6" w:rsidP="006D7624">
            <w:pPr>
              <w:pStyle w:val="Header"/>
              <w:jc w:val="both"/>
              <w:rPr>
                <w:rFonts w:ascii="Calibri" w:hAnsi="Calibri"/>
                <w:szCs w:val="22"/>
              </w:rPr>
            </w:pPr>
            <w:r w:rsidRPr="00AC43D6">
              <w:rPr>
                <w:rFonts w:ascii="Calibri" w:hAnsi="Calibri"/>
                <w:szCs w:val="22"/>
              </w:rPr>
              <w:t xml:space="preserve">The proposed works </w:t>
            </w:r>
            <w:r w:rsidR="00A522D0">
              <w:rPr>
                <w:rFonts w:ascii="Calibri" w:hAnsi="Calibri"/>
                <w:szCs w:val="22"/>
              </w:rPr>
              <w:t xml:space="preserve">are sympathetic and </w:t>
            </w:r>
            <w:r w:rsidRPr="00AC43D6">
              <w:rPr>
                <w:rFonts w:ascii="Calibri" w:hAnsi="Calibri"/>
                <w:szCs w:val="22"/>
              </w:rPr>
              <w:t>have an acceptable impact upon the special architectural and historic interest of the listed building, the setting of listed buildings, the character and appearance of Newton Conservation Area and the cultural heritage of the Forest of Bowland AONB</w:t>
            </w:r>
            <w:r>
              <w:rPr>
                <w:rFonts w:ascii="Calibri" w:hAnsi="Calibri"/>
                <w:szCs w:val="22"/>
              </w:rPr>
              <w:t>.</w:t>
            </w:r>
            <w:r w:rsidR="00A522D0">
              <w:rPr>
                <w:rFonts w:ascii="Calibri" w:hAnsi="Calibri"/>
                <w:szCs w:val="22"/>
              </w:rPr>
              <w:t xml:space="preserve"> A sample of gravel was considered on site and is acceptable.</w:t>
            </w:r>
          </w:p>
          <w:p w:rsidR="005D76FB" w:rsidRDefault="005D76FB" w:rsidP="006D7624">
            <w:pPr>
              <w:pStyle w:val="Header"/>
              <w:jc w:val="both"/>
              <w:rPr>
                <w:rFonts w:ascii="Calibri" w:hAnsi="Calibri"/>
                <w:szCs w:val="22"/>
              </w:rPr>
            </w:pPr>
          </w:p>
          <w:p w:rsidR="005D76FB" w:rsidRDefault="005D76FB" w:rsidP="006D7624">
            <w:pPr>
              <w:pStyle w:val="Header"/>
              <w:jc w:val="both"/>
              <w:rPr>
                <w:rFonts w:ascii="Calibri" w:hAnsi="Calibri"/>
                <w:szCs w:val="22"/>
              </w:rPr>
            </w:pPr>
            <w:r>
              <w:rPr>
                <w:rFonts w:ascii="Calibri" w:hAnsi="Calibri"/>
                <w:szCs w:val="22"/>
              </w:rPr>
              <w:t>The comments of LCC Archaeology has been considered.</w:t>
            </w:r>
          </w:p>
          <w:p w:rsidR="00A522D0" w:rsidRDefault="00A522D0" w:rsidP="006D7624">
            <w:pPr>
              <w:pStyle w:val="Header"/>
              <w:jc w:val="both"/>
              <w:rPr>
                <w:rFonts w:ascii="Calibri" w:hAnsi="Calibri"/>
                <w:szCs w:val="22"/>
              </w:rPr>
            </w:pPr>
          </w:p>
          <w:p w:rsidR="00A522D0" w:rsidRPr="00AC43D6" w:rsidRDefault="00A522D0" w:rsidP="006D7624">
            <w:pPr>
              <w:pStyle w:val="Header"/>
              <w:jc w:val="both"/>
              <w:rPr>
                <w:rFonts w:ascii="Calibri" w:hAnsi="Calibri"/>
                <w:szCs w:val="22"/>
              </w:rPr>
            </w:pPr>
            <w:r>
              <w:rPr>
                <w:rFonts w:ascii="Calibri" w:hAnsi="Calibri"/>
                <w:szCs w:val="22"/>
              </w:rPr>
              <w:t>It is not clear that planning permission is required for the proposed works and it is therefore not considered appropriate to impose conditions (</w:t>
            </w:r>
            <w:r w:rsidR="00330256">
              <w:rPr>
                <w:rFonts w:ascii="Calibri" w:hAnsi="Calibri"/>
                <w:szCs w:val="22"/>
              </w:rPr>
              <w:t xml:space="preserve">remaining </w:t>
            </w:r>
            <w:r>
              <w:rPr>
                <w:rFonts w:ascii="Calibri" w:hAnsi="Calibri"/>
                <w:szCs w:val="22"/>
              </w:rPr>
              <w:t>material samples) on this decision.</w:t>
            </w:r>
          </w:p>
          <w:p w:rsidR="00D102D9" w:rsidRPr="006D7624" w:rsidRDefault="00D102D9" w:rsidP="00454754">
            <w:pPr>
              <w:pStyle w:val="Header"/>
              <w:tabs>
                <w:tab w:val="clear" w:pos="4153"/>
                <w:tab w:val="clear" w:pos="8306"/>
              </w:tabs>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rsidR="00C6456D" w:rsidRPr="00D23470" w:rsidRDefault="005D76FB" w:rsidP="00454754">
            <w:pPr>
              <w:contextualSpacing/>
              <w:jc w:val="both"/>
              <w:rPr>
                <w:rFonts w:ascii="Calibri" w:hAnsi="Calibri"/>
                <w:szCs w:val="22"/>
              </w:rPr>
            </w:pPr>
            <w:r>
              <w:rPr>
                <w:rFonts w:ascii="Calibri" w:hAnsi="Calibri"/>
                <w:szCs w:val="22"/>
              </w:rPr>
              <w:t>The proposals have an acceptable impact on the amenities of nearby residents.</w:t>
            </w:r>
          </w:p>
        </w:tc>
      </w:tr>
      <w:tr w:rsidR="008C75E4" w:rsidRPr="008C75E4" w:rsidTr="00504440">
        <w:trPr>
          <w:trHeight w:val="864"/>
          <w:jc w:val="center"/>
        </w:trPr>
        <w:tc>
          <w:tcPr>
            <w:tcW w:w="9555" w:type="dxa"/>
            <w:gridSpan w:val="14"/>
            <w:tcMar>
              <w:top w:w="57" w:type="dxa"/>
              <w:bottom w:w="57" w:type="dxa"/>
            </w:tcMar>
          </w:tcPr>
          <w:p w:rsidR="002E0139" w:rsidRDefault="002E0139" w:rsidP="002E0139">
            <w:pPr>
              <w:pStyle w:val="Header"/>
              <w:tabs>
                <w:tab w:val="clear" w:pos="4153"/>
                <w:tab w:val="clear" w:pos="8306"/>
              </w:tabs>
              <w:contextualSpacing/>
              <w:jc w:val="both"/>
              <w:rPr>
                <w:rFonts w:ascii="Calibri" w:hAnsi="Calibri"/>
                <w:b/>
                <w:szCs w:val="22"/>
              </w:rPr>
            </w:pPr>
            <w:r>
              <w:rPr>
                <w:rFonts w:ascii="Calibri" w:hAnsi="Calibri"/>
                <w:b/>
                <w:szCs w:val="22"/>
              </w:rPr>
              <w:t>Highways:</w:t>
            </w:r>
          </w:p>
          <w:p w:rsidR="00C0704D" w:rsidRPr="005D76FB" w:rsidRDefault="005D76FB" w:rsidP="006126D1">
            <w:pPr>
              <w:contextualSpacing/>
              <w:jc w:val="both"/>
              <w:rPr>
                <w:rFonts w:ascii="Calibri" w:hAnsi="Calibri"/>
                <w:szCs w:val="22"/>
              </w:rPr>
            </w:pPr>
            <w:r w:rsidRPr="005D76FB">
              <w:rPr>
                <w:rFonts w:ascii="Calibri" w:hAnsi="Calibri"/>
                <w:szCs w:val="22"/>
              </w:rPr>
              <w:t>The comments of LCC Highways has been considered.</w:t>
            </w:r>
          </w:p>
          <w:p w:rsidR="00C50517" w:rsidRPr="00545D8C" w:rsidRDefault="00C50517" w:rsidP="00454754">
            <w:pPr>
              <w:contextualSpacing/>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C50517" w:rsidRDefault="00DF1926" w:rsidP="002E0139">
            <w:pPr>
              <w:pStyle w:val="Header"/>
              <w:tabs>
                <w:tab w:val="clear" w:pos="4153"/>
                <w:tab w:val="clear" w:pos="8306"/>
              </w:tabs>
              <w:contextualSpacing/>
              <w:jc w:val="both"/>
              <w:rPr>
                <w:rFonts w:ascii="Calibri" w:hAnsi="Calibri"/>
                <w:b/>
                <w:szCs w:val="22"/>
              </w:rPr>
            </w:pPr>
            <w:r w:rsidRPr="00EB773B">
              <w:rPr>
                <w:rFonts w:ascii="Calibri" w:hAnsi="Calibri"/>
                <w:b/>
                <w:szCs w:val="22"/>
              </w:rPr>
              <w:t>SUDS:</w:t>
            </w:r>
          </w:p>
          <w:p w:rsidR="00330256" w:rsidRPr="00330256" w:rsidRDefault="00330256" w:rsidP="002E0139">
            <w:pPr>
              <w:pStyle w:val="Header"/>
              <w:tabs>
                <w:tab w:val="clear" w:pos="4153"/>
                <w:tab w:val="clear" w:pos="8306"/>
              </w:tabs>
              <w:contextualSpacing/>
              <w:jc w:val="both"/>
              <w:rPr>
                <w:rFonts w:ascii="Calibri" w:hAnsi="Calibri"/>
                <w:szCs w:val="22"/>
              </w:rPr>
            </w:pPr>
            <w:r w:rsidRPr="00330256">
              <w:rPr>
                <w:rFonts w:ascii="Calibri" w:hAnsi="Calibri"/>
                <w:szCs w:val="22"/>
              </w:rPr>
              <w:t xml:space="preserve">The proposed replacement of tarmac with gravel would appear to be acceptable. </w:t>
            </w: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F30A4E" w:rsidRDefault="00F30A4E" w:rsidP="00F30A4E">
            <w:pPr>
              <w:jc w:val="both"/>
              <w:rPr>
                <w:rFonts w:ascii="Calibri" w:hAnsi="Calibri"/>
                <w:szCs w:val="22"/>
              </w:rPr>
            </w:pPr>
            <w:r>
              <w:rPr>
                <w:rFonts w:ascii="Calibri" w:hAnsi="Calibri"/>
                <w:szCs w:val="22"/>
              </w:rPr>
              <w:t>Therefore, in giving considerable importance and weight to the duties at section</w:t>
            </w:r>
            <w:r w:rsidR="0019123C">
              <w:rPr>
                <w:rFonts w:ascii="Calibri" w:hAnsi="Calibri"/>
                <w:szCs w:val="22"/>
              </w:rPr>
              <w:t xml:space="preserve"> 16,</w:t>
            </w:r>
            <w:r>
              <w:rPr>
                <w:rFonts w:ascii="Calibri" w:hAnsi="Calibri"/>
                <w:szCs w:val="22"/>
              </w:rPr>
              <w:t xml:space="preserve"> 66 and 72 of the Planning (Listed Buildings and Conservation Areas) Act 1990 (where relevant) and in consideration to NPPF and Key Statement EN5 and EN2 and Policies DME4, DMG1 and DMG2 of the Ribble Valley Core Strategy it is recommended that</w:t>
            </w:r>
            <w:r>
              <w:rPr>
                <w:rFonts w:ascii="Calibri" w:hAnsi="Calibri"/>
                <w:bCs/>
                <w:szCs w:val="22"/>
              </w:rPr>
              <w:t xml:space="preserve"> planning permission be granted</w:t>
            </w:r>
            <w:r>
              <w:rPr>
                <w:rFonts w:ascii="Calibri" w:hAnsi="Calibri"/>
                <w:szCs w:val="22"/>
              </w:rPr>
              <w:t>.</w:t>
            </w:r>
          </w:p>
          <w:p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19123C" w:rsidP="006126D1">
            <w:pPr>
              <w:jc w:val="both"/>
              <w:rPr>
                <w:rFonts w:ascii="Calibri" w:hAnsi="Calibri"/>
                <w:bCs/>
                <w:szCs w:val="22"/>
              </w:rPr>
            </w:pPr>
            <w:r>
              <w:rPr>
                <w:rFonts w:ascii="Calibri" w:hAnsi="Calibri"/>
                <w:bCs/>
                <w:szCs w:val="22"/>
              </w:rPr>
              <w:t>That planning permission be granted.</w:t>
            </w:r>
          </w:p>
        </w:tc>
      </w:tr>
    </w:tbl>
    <w:p w:rsidR="0031197A" w:rsidRPr="008C75E4" w:rsidRDefault="00F94667"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4D7" w:rsidRDefault="007324D7" w:rsidP="006D0B5F">
      <w:r>
        <w:separator/>
      </w:r>
    </w:p>
  </w:endnote>
  <w:endnote w:type="continuationSeparator" w:id="0">
    <w:p w:rsidR="007324D7" w:rsidRDefault="007324D7"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4D7" w:rsidRDefault="007324D7" w:rsidP="006D0B5F">
      <w:r>
        <w:separator/>
      </w:r>
    </w:p>
  </w:footnote>
  <w:footnote w:type="continuationSeparator" w:id="0">
    <w:p w:rsidR="007324D7" w:rsidRDefault="007324D7"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3DE7"/>
    <w:rsid w:val="00016A73"/>
    <w:rsid w:val="00041FBF"/>
    <w:rsid w:val="00055B13"/>
    <w:rsid w:val="0008638E"/>
    <w:rsid w:val="00091F14"/>
    <w:rsid w:val="00095DD4"/>
    <w:rsid w:val="000B5CB5"/>
    <w:rsid w:val="000C7A57"/>
    <w:rsid w:val="00101855"/>
    <w:rsid w:val="0010371E"/>
    <w:rsid w:val="00106932"/>
    <w:rsid w:val="00130035"/>
    <w:rsid w:val="00141512"/>
    <w:rsid w:val="0016428F"/>
    <w:rsid w:val="0017168A"/>
    <w:rsid w:val="00174004"/>
    <w:rsid w:val="0019123C"/>
    <w:rsid w:val="001946E0"/>
    <w:rsid w:val="00196722"/>
    <w:rsid w:val="001A575F"/>
    <w:rsid w:val="001B769B"/>
    <w:rsid w:val="001C1453"/>
    <w:rsid w:val="001D4F7A"/>
    <w:rsid w:val="001D5ADD"/>
    <w:rsid w:val="00203F50"/>
    <w:rsid w:val="00206E24"/>
    <w:rsid w:val="00237DA1"/>
    <w:rsid w:val="00250879"/>
    <w:rsid w:val="002533AA"/>
    <w:rsid w:val="002578CD"/>
    <w:rsid w:val="00284480"/>
    <w:rsid w:val="0028751A"/>
    <w:rsid w:val="0029334A"/>
    <w:rsid w:val="002A01CF"/>
    <w:rsid w:val="002A7DF7"/>
    <w:rsid w:val="002B7854"/>
    <w:rsid w:val="002C6277"/>
    <w:rsid w:val="002D4346"/>
    <w:rsid w:val="002E0139"/>
    <w:rsid w:val="002E2952"/>
    <w:rsid w:val="002E7CC1"/>
    <w:rsid w:val="002F041D"/>
    <w:rsid w:val="002F2580"/>
    <w:rsid w:val="002F7502"/>
    <w:rsid w:val="003137E0"/>
    <w:rsid w:val="00320A6F"/>
    <w:rsid w:val="00321B6E"/>
    <w:rsid w:val="00330256"/>
    <w:rsid w:val="003359D0"/>
    <w:rsid w:val="00341E8D"/>
    <w:rsid w:val="00347F5E"/>
    <w:rsid w:val="003634D9"/>
    <w:rsid w:val="0036759A"/>
    <w:rsid w:val="003825D5"/>
    <w:rsid w:val="003A4376"/>
    <w:rsid w:val="003C28E1"/>
    <w:rsid w:val="003E2151"/>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01BB"/>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D76FB"/>
    <w:rsid w:val="005E1C6C"/>
    <w:rsid w:val="005E65DF"/>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324D7"/>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349A7"/>
    <w:rsid w:val="008422F9"/>
    <w:rsid w:val="008542DE"/>
    <w:rsid w:val="008638DE"/>
    <w:rsid w:val="0088314D"/>
    <w:rsid w:val="00891182"/>
    <w:rsid w:val="008A28C8"/>
    <w:rsid w:val="008C024A"/>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22D0"/>
    <w:rsid w:val="00A55E83"/>
    <w:rsid w:val="00A579BB"/>
    <w:rsid w:val="00A63D55"/>
    <w:rsid w:val="00A8441B"/>
    <w:rsid w:val="00A9088C"/>
    <w:rsid w:val="00A9168C"/>
    <w:rsid w:val="00A95D89"/>
    <w:rsid w:val="00AB3243"/>
    <w:rsid w:val="00AB5232"/>
    <w:rsid w:val="00AC43D6"/>
    <w:rsid w:val="00AF311C"/>
    <w:rsid w:val="00B14DDC"/>
    <w:rsid w:val="00B30A5E"/>
    <w:rsid w:val="00B31505"/>
    <w:rsid w:val="00B45282"/>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456D"/>
    <w:rsid w:val="00C656C2"/>
    <w:rsid w:val="00C93384"/>
    <w:rsid w:val="00C97D9F"/>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1926"/>
    <w:rsid w:val="00DF42DA"/>
    <w:rsid w:val="00E03AFD"/>
    <w:rsid w:val="00E0485E"/>
    <w:rsid w:val="00E06DFC"/>
    <w:rsid w:val="00E23FB0"/>
    <w:rsid w:val="00E46243"/>
    <w:rsid w:val="00E66534"/>
    <w:rsid w:val="00E719D1"/>
    <w:rsid w:val="00E71A35"/>
    <w:rsid w:val="00E72F6C"/>
    <w:rsid w:val="00E80113"/>
    <w:rsid w:val="00EA09F9"/>
    <w:rsid w:val="00EA1673"/>
    <w:rsid w:val="00EB773B"/>
    <w:rsid w:val="00EB7D74"/>
    <w:rsid w:val="00EC23C7"/>
    <w:rsid w:val="00ED00B7"/>
    <w:rsid w:val="00EF1341"/>
    <w:rsid w:val="00EF44E6"/>
    <w:rsid w:val="00F012FA"/>
    <w:rsid w:val="00F055D3"/>
    <w:rsid w:val="00F129DD"/>
    <w:rsid w:val="00F16D0F"/>
    <w:rsid w:val="00F30A4E"/>
    <w:rsid w:val="00F32789"/>
    <w:rsid w:val="00F71D53"/>
    <w:rsid w:val="00F731F5"/>
    <w:rsid w:val="00F75F59"/>
    <w:rsid w:val="00F8201E"/>
    <w:rsid w:val="00F94667"/>
    <w:rsid w:val="00FC046F"/>
    <w:rsid w:val="00FC1372"/>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8C024A"/>
    <w:rPr>
      <w:b/>
      <w:bCs/>
    </w:rPr>
  </w:style>
  <w:style w:type="paragraph" w:customStyle="1" w:styleId="Default">
    <w:name w:val="Default"/>
    <w:rsid w:val="0088314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809203">
      <w:bodyDiv w:val="1"/>
      <w:marLeft w:val="0"/>
      <w:marRight w:val="0"/>
      <w:marTop w:val="0"/>
      <w:marBottom w:val="0"/>
      <w:divBdr>
        <w:top w:val="none" w:sz="0" w:space="0" w:color="auto"/>
        <w:left w:val="none" w:sz="0" w:space="0" w:color="auto"/>
        <w:bottom w:val="none" w:sz="0" w:space="0" w:color="auto"/>
        <w:right w:val="none" w:sz="0" w:space="0" w:color="auto"/>
      </w:divBdr>
    </w:div>
    <w:div w:id="388961322">
      <w:bodyDiv w:val="1"/>
      <w:marLeft w:val="0"/>
      <w:marRight w:val="0"/>
      <w:marTop w:val="0"/>
      <w:marBottom w:val="0"/>
      <w:divBdr>
        <w:top w:val="none" w:sz="0" w:space="0" w:color="auto"/>
        <w:left w:val="none" w:sz="0" w:space="0" w:color="auto"/>
        <w:bottom w:val="none" w:sz="0" w:space="0" w:color="auto"/>
        <w:right w:val="none" w:sz="0" w:space="0" w:color="auto"/>
      </w:divBdr>
    </w:div>
    <w:div w:id="519854353">
      <w:bodyDiv w:val="1"/>
      <w:marLeft w:val="0"/>
      <w:marRight w:val="0"/>
      <w:marTop w:val="0"/>
      <w:marBottom w:val="0"/>
      <w:divBdr>
        <w:top w:val="none" w:sz="0" w:space="0" w:color="auto"/>
        <w:left w:val="none" w:sz="0" w:space="0" w:color="auto"/>
        <w:bottom w:val="none" w:sz="0" w:space="0" w:color="auto"/>
        <w:right w:val="none" w:sz="0" w:space="0" w:color="auto"/>
      </w:divBdr>
    </w:div>
    <w:div w:id="799030002">
      <w:bodyDiv w:val="1"/>
      <w:marLeft w:val="0"/>
      <w:marRight w:val="0"/>
      <w:marTop w:val="0"/>
      <w:marBottom w:val="0"/>
      <w:divBdr>
        <w:top w:val="none" w:sz="0" w:space="0" w:color="auto"/>
        <w:left w:val="none" w:sz="0" w:space="0" w:color="auto"/>
        <w:bottom w:val="none" w:sz="0" w:space="0" w:color="auto"/>
        <w:right w:val="none" w:sz="0" w:space="0" w:color="auto"/>
      </w:divBdr>
    </w:div>
    <w:div w:id="1550218129">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2D6BA-13DF-4ECB-BBFA-09A22B1A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Adrian Dowd</cp:lastModifiedBy>
  <cp:revision>2</cp:revision>
  <cp:lastPrinted>2020-03-11T10:54:00Z</cp:lastPrinted>
  <dcterms:created xsi:type="dcterms:W3CDTF">2021-03-22T11:24:00Z</dcterms:created>
  <dcterms:modified xsi:type="dcterms:W3CDTF">2021-03-22T11:24:00Z</dcterms:modified>
</cp:coreProperties>
</file>