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jc w:val="cente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296"/>
        <w:gridCol w:w="900"/>
        <w:gridCol w:w="198"/>
        <w:gridCol w:w="443"/>
        <w:gridCol w:w="238"/>
        <w:gridCol w:w="201"/>
        <w:gridCol w:w="1030"/>
        <w:gridCol w:w="1030"/>
        <w:gridCol w:w="519"/>
        <w:gridCol w:w="579"/>
        <w:gridCol w:w="428"/>
        <w:gridCol w:w="602"/>
        <w:gridCol w:w="1030"/>
        <w:gridCol w:w="1061"/>
      </w:tblGrid>
      <w:tr w:rsidR="008C75E4" w:rsidRPr="008C75E4" w14:paraId="78D98CE2" w14:textId="77777777" w:rsidTr="00504440">
        <w:trPr>
          <w:jc w:val="center"/>
        </w:trPr>
        <w:tc>
          <w:tcPr>
            <w:tcW w:w="9555" w:type="dxa"/>
            <w:gridSpan w:val="14"/>
            <w:tcMar>
              <w:top w:w="57" w:type="dxa"/>
              <w:bottom w:w="57" w:type="dxa"/>
            </w:tcMar>
          </w:tcPr>
          <w:p w14:paraId="187FC5F2" w14:textId="77777777" w:rsidR="004A5EA9" w:rsidRPr="008C75E4" w:rsidRDefault="00D2449B" w:rsidP="00D2449B">
            <w:pPr>
              <w:jc w:val="center"/>
              <w:rPr>
                <w:rFonts w:ascii="Calibri" w:hAnsi="Calibri"/>
                <w:b/>
                <w:szCs w:val="22"/>
              </w:rPr>
            </w:pPr>
            <w:r w:rsidRPr="008C75E4">
              <w:rPr>
                <w:rFonts w:ascii="Calibri" w:hAnsi="Calibri"/>
                <w:b/>
                <w:szCs w:val="22"/>
              </w:rPr>
              <w:t>R</w:t>
            </w:r>
            <w:r w:rsidR="004A5EA9" w:rsidRPr="008C75E4">
              <w:rPr>
                <w:rFonts w:ascii="Calibri" w:hAnsi="Calibri"/>
                <w:b/>
                <w:szCs w:val="22"/>
              </w:rPr>
              <w:t>eport to be read in conjunction with the Decision Notice.</w:t>
            </w:r>
          </w:p>
        </w:tc>
      </w:tr>
      <w:tr w:rsidR="008C75E4" w:rsidRPr="008C75E4" w14:paraId="3CB25DCB" w14:textId="77777777" w:rsidTr="00504440">
        <w:trPr>
          <w:trHeight w:val="535"/>
          <w:jc w:val="center"/>
        </w:trPr>
        <w:tc>
          <w:tcPr>
            <w:tcW w:w="1296" w:type="dxa"/>
            <w:tcMar>
              <w:top w:w="57" w:type="dxa"/>
              <w:bottom w:w="57" w:type="dxa"/>
            </w:tcMar>
          </w:tcPr>
          <w:p w14:paraId="4CFEAE3D" w14:textId="77777777" w:rsidR="004936A6" w:rsidRDefault="004936A6" w:rsidP="00D2449B">
            <w:pPr>
              <w:jc w:val="center"/>
              <w:rPr>
                <w:rFonts w:ascii="Calibri" w:hAnsi="Calibri"/>
                <w:b/>
                <w:szCs w:val="22"/>
              </w:rPr>
            </w:pPr>
            <w:r w:rsidRPr="008C75E4">
              <w:rPr>
                <w:rFonts w:ascii="Calibri" w:hAnsi="Calibri"/>
                <w:b/>
                <w:szCs w:val="22"/>
              </w:rPr>
              <w:t>Signed:</w:t>
            </w:r>
          </w:p>
          <w:p w14:paraId="616F48FA" w14:textId="77777777" w:rsidR="00454754" w:rsidRPr="008C75E4" w:rsidRDefault="00454754" w:rsidP="00D2449B">
            <w:pPr>
              <w:jc w:val="center"/>
              <w:rPr>
                <w:rFonts w:ascii="Calibri" w:hAnsi="Calibri"/>
                <w:b/>
                <w:szCs w:val="22"/>
              </w:rPr>
            </w:pPr>
          </w:p>
        </w:tc>
        <w:tc>
          <w:tcPr>
            <w:tcW w:w="900" w:type="dxa"/>
          </w:tcPr>
          <w:p w14:paraId="054F9177" w14:textId="77777777" w:rsidR="004936A6" w:rsidRPr="008C75E4" w:rsidRDefault="004936A6" w:rsidP="00D2449B">
            <w:pPr>
              <w:jc w:val="center"/>
              <w:rPr>
                <w:rFonts w:ascii="Calibri" w:hAnsi="Calibri"/>
                <w:b/>
                <w:szCs w:val="22"/>
              </w:rPr>
            </w:pPr>
            <w:r w:rsidRPr="008C75E4">
              <w:rPr>
                <w:rFonts w:ascii="Calibri" w:hAnsi="Calibri"/>
                <w:b/>
                <w:szCs w:val="22"/>
              </w:rPr>
              <w:t>Officer:</w:t>
            </w:r>
          </w:p>
        </w:tc>
        <w:tc>
          <w:tcPr>
            <w:tcW w:w="1080" w:type="dxa"/>
            <w:gridSpan w:val="4"/>
          </w:tcPr>
          <w:p w14:paraId="588C3242" w14:textId="77777777" w:rsidR="004936A6" w:rsidRPr="008C75E4" w:rsidRDefault="004936A6" w:rsidP="00D2449B">
            <w:pPr>
              <w:jc w:val="center"/>
              <w:rPr>
                <w:rFonts w:ascii="Calibri" w:hAnsi="Calibri"/>
                <w:b/>
                <w:szCs w:val="22"/>
              </w:rPr>
            </w:pPr>
          </w:p>
        </w:tc>
        <w:tc>
          <w:tcPr>
            <w:tcW w:w="1030" w:type="dxa"/>
          </w:tcPr>
          <w:p w14:paraId="1570F861"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30" w:type="dxa"/>
          </w:tcPr>
          <w:p w14:paraId="29F55205" w14:textId="77777777" w:rsidR="004936A6" w:rsidRPr="008C75E4" w:rsidRDefault="004936A6" w:rsidP="00D2449B">
            <w:pPr>
              <w:jc w:val="center"/>
              <w:rPr>
                <w:rFonts w:ascii="Calibri" w:hAnsi="Calibri"/>
                <w:b/>
                <w:szCs w:val="22"/>
              </w:rPr>
            </w:pPr>
          </w:p>
        </w:tc>
        <w:tc>
          <w:tcPr>
            <w:tcW w:w="1098" w:type="dxa"/>
            <w:gridSpan w:val="2"/>
          </w:tcPr>
          <w:p w14:paraId="435846CF" w14:textId="77777777" w:rsidR="004936A6" w:rsidRPr="008C75E4" w:rsidRDefault="004936A6" w:rsidP="00D2449B">
            <w:pPr>
              <w:jc w:val="center"/>
              <w:rPr>
                <w:rFonts w:ascii="Calibri" w:hAnsi="Calibri"/>
                <w:b/>
                <w:szCs w:val="22"/>
              </w:rPr>
            </w:pPr>
            <w:r w:rsidRPr="008C75E4">
              <w:rPr>
                <w:rFonts w:ascii="Calibri" w:hAnsi="Calibri"/>
                <w:b/>
                <w:szCs w:val="22"/>
              </w:rPr>
              <w:t>Manager:</w:t>
            </w:r>
          </w:p>
        </w:tc>
        <w:tc>
          <w:tcPr>
            <w:tcW w:w="1030" w:type="dxa"/>
            <w:gridSpan w:val="2"/>
          </w:tcPr>
          <w:p w14:paraId="2CA1477F" w14:textId="77777777" w:rsidR="004936A6" w:rsidRPr="008C75E4" w:rsidRDefault="004936A6" w:rsidP="00D2449B">
            <w:pPr>
              <w:jc w:val="center"/>
              <w:rPr>
                <w:rFonts w:ascii="Calibri" w:hAnsi="Calibri"/>
                <w:b/>
                <w:szCs w:val="22"/>
              </w:rPr>
            </w:pPr>
          </w:p>
        </w:tc>
        <w:tc>
          <w:tcPr>
            <w:tcW w:w="1030" w:type="dxa"/>
          </w:tcPr>
          <w:p w14:paraId="424093E0" w14:textId="77777777" w:rsidR="004936A6" w:rsidRPr="008C75E4" w:rsidRDefault="004936A6" w:rsidP="00D2449B">
            <w:pPr>
              <w:jc w:val="center"/>
              <w:rPr>
                <w:rFonts w:ascii="Calibri" w:hAnsi="Calibri"/>
                <w:b/>
                <w:szCs w:val="22"/>
              </w:rPr>
            </w:pPr>
            <w:r w:rsidRPr="008C75E4">
              <w:rPr>
                <w:rFonts w:ascii="Calibri" w:hAnsi="Calibri"/>
                <w:b/>
                <w:szCs w:val="22"/>
              </w:rPr>
              <w:t>Date:</w:t>
            </w:r>
          </w:p>
        </w:tc>
        <w:tc>
          <w:tcPr>
            <w:tcW w:w="1061" w:type="dxa"/>
          </w:tcPr>
          <w:p w14:paraId="4275CFD1" w14:textId="77777777" w:rsidR="004936A6" w:rsidRPr="008C75E4" w:rsidRDefault="004936A6" w:rsidP="00D2449B">
            <w:pPr>
              <w:jc w:val="center"/>
              <w:rPr>
                <w:rFonts w:ascii="Calibri" w:hAnsi="Calibri"/>
                <w:b/>
                <w:szCs w:val="22"/>
              </w:rPr>
            </w:pPr>
          </w:p>
        </w:tc>
      </w:tr>
      <w:tr w:rsidR="00E06DFC" w:rsidRPr="008C75E4" w14:paraId="3203D5C4" w14:textId="77777777" w:rsidTr="00504440">
        <w:trPr>
          <w:trHeight w:val="586"/>
          <w:jc w:val="center"/>
        </w:trPr>
        <w:tc>
          <w:tcPr>
            <w:tcW w:w="1296" w:type="dxa"/>
            <w:tcBorders>
              <w:bottom w:val="single" w:sz="4" w:space="0" w:color="BFBFBF" w:themeColor="background1" w:themeShade="BF"/>
            </w:tcBorders>
            <w:tcMar>
              <w:top w:w="57" w:type="dxa"/>
              <w:bottom w:w="57" w:type="dxa"/>
            </w:tcMar>
          </w:tcPr>
          <w:p w14:paraId="21C4F88F" w14:textId="77777777" w:rsidR="00E06DFC" w:rsidRPr="008C75E4" w:rsidRDefault="00E06DFC" w:rsidP="00D2449B">
            <w:pPr>
              <w:jc w:val="center"/>
              <w:rPr>
                <w:rFonts w:ascii="Calibri" w:hAnsi="Calibri"/>
                <w:b/>
                <w:szCs w:val="22"/>
              </w:rPr>
            </w:pPr>
            <w:r>
              <w:rPr>
                <w:rFonts w:ascii="Calibri" w:hAnsi="Calibri"/>
                <w:b/>
                <w:szCs w:val="22"/>
              </w:rPr>
              <w:t>Site Notice displayed</w:t>
            </w:r>
          </w:p>
        </w:tc>
        <w:tc>
          <w:tcPr>
            <w:tcW w:w="900" w:type="dxa"/>
            <w:tcBorders>
              <w:bottom w:val="single" w:sz="4" w:space="0" w:color="BFBFBF" w:themeColor="background1" w:themeShade="BF"/>
            </w:tcBorders>
          </w:tcPr>
          <w:p w14:paraId="1C804830" w14:textId="77777777" w:rsidR="00E06DFC" w:rsidRPr="008C75E4" w:rsidRDefault="00E06DFC" w:rsidP="00D2449B">
            <w:pPr>
              <w:jc w:val="center"/>
              <w:rPr>
                <w:rFonts w:ascii="Calibri" w:hAnsi="Calibri"/>
                <w:b/>
                <w:szCs w:val="22"/>
              </w:rPr>
            </w:pPr>
          </w:p>
        </w:tc>
        <w:tc>
          <w:tcPr>
            <w:tcW w:w="1080" w:type="dxa"/>
            <w:gridSpan w:val="4"/>
            <w:tcBorders>
              <w:bottom w:val="single" w:sz="4" w:space="0" w:color="BFBFBF" w:themeColor="background1" w:themeShade="BF"/>
            </w:tcBorders>
          </w:tcPr>
          <w:p w14:paraId="005E22CC" w14:textId="77777777" w:rsidR="00E06DFC" w:rsidRPr="008C75E4" w:rsidRDefault="00E06DFC" w:rsidP="00D2449B">
            <w:pPr>
              <w:jc w:val="center"/>
              <w:rPr>
                <w:rFonts w:ascii="Calibri" w:hAnsi="Calibri"/>
                <w:b/>
                <w:szCs w:val="22"/>
              </w:rPr>
            </w:pPr>
            <w:r>
              <w:rPr>
                <w:rFonts w:ascii="Calibri" w:hAnsi="Calibri"/>
                <w:b/>
                <w:szCs w:val="22"/>
              </w:rPr>
              <w:t>Photos uploaded</w:t>
            </w:r>
          </w:p>
        </w:tc>
        <w:tc>
          <w:tcPr>
            <w:tcW w:w="1030" w:type="dxa"/>
            <w:tcBorders>
              <w:bottom w:val="single" w:sz="4" w:space="0" w:color="BFBFBF" w:themeColor="background1" w:themeShade="BF"/>
            </w:tcBorders>
          </w:tcPr>
          <w:p w14:paraId="366998EB" w14:textId="77777777" w:rsidR="00E06DFC" w:rsidRPr="008C75E4" w:rsidRDefault="00E06DFC" w:rsidP="00D2449B">
            <w:pPr>
              <w:jc w:val="center"/>
              <w:rPr>
                <w:rFonts w:ascii="Calibri" w:hAnsi="Calibri"/>
                <w:b/>
                <w:szCs w:val="22"/>
              </w:rPr>
            </w:pPr>
          </w:p>
        </w:tc>
        <w:tc>
          <w:tcPr>
            <w:tcW w:w="5249" w:type="dxa"/>
            <w:gridSpan w:val="7"/>
            <w:tcBorders>
              <w:bottom w:val="single" w:sz="4" w:space="0" w:color="BFBFBF" w:themeColor="background1" w:themeShade="BF"/>
            </w:tcBorders>
          </w:tcPr>
          <w:p w14:paraId="0C1C3AAE" w14:textId="77777777" w:rsidR="00E06DFC" w:rsidRPr="008C75E4" w:rsidRDefault="00E06DFC" w:rsidP="00D2449B">
            <w:pPr>
              <w:jc w:val="center"/>
              <w:rPr>
                <w:rFonts w:ascii="Calibri" w:hAnsi="Calibri"/>
                <w:b/>
                <w:szCs w:val="22"/>
              </w:rPr>
            </w:pPr>
          </w:p>
        </w:tc>
      </w:tr>
      <w:tr w:rsidR="008C75E4" w:rsidRPr="008C75E4" w14:paraId="40697D53" w14:textId="77777777" w:rsidTr="00504440">
        <w:trPr>
          <w:jc w:val="center"/>
        </w:trPr>
        <w:tc>
          <w:tcPr>
            <w:tcW w:w="9555" w:type="dxa"/>
            <w:gridSpan w:val="14"/>
            <w:tcBorders>
              <w:left w:val="nil"/>
              <w:right w:val="nil"/>
            </w:tcBorders>
            <w:tcMar>
              <w:top w:w="57" w:type="dxa"/>
              <w:bottom w:w="57" w:type="dxa"/>
            </w:tcMar>
          </w:tcPr>
          <w:p w14:paraId="582C8EA7" w14:textId="77777777" w:rsidR="004A5EA9" w:rsidRPr="008C75E4" w:rsidRDefault="004A5EA9" w:rsidP="004A5EA9">
            <w:pPr>
              <w:jc w:val="center"/>
              <w:rPr>
                <w:rFonts w:ascii="Calibri" w:hAnsi="Calibri"/>
                <w:b/>
                <w:szCs w:val="22"/>
              </w:rPr>
            </w:pPr>
          </w:p>
        </w:tc>
      </w:tr>
      <w:tr w:rsidR="008C75E4" w:rsidRPr="008C75E4" w14:paraId="4188EB7C" w14:textId="77777777" w:rsidTr="00504440">
        <w:trPr>
          <w:jc w:val="center"/>
        </w:trPr>
        <w:tc>
          <w:tcPr>
            <w:tcW w:w="2394" w:type="dxa"/>
            <w:gridSpan w:val="3"/>
            <w:tcMar>
              <w:top w:w="57" w:type="dxa"/>
              <w:bottom w:w="57" w:type="dxa"/>
            </w:tcMar>
          </w:tcPr>
          <w:p w14:paraId="29F9BF22" w14:textId="77777777" w:rsidR="004A5EA9" w:rsidRPr="008C75E4" w:rsidRDefault="004A5EA9">
            <w:pPr>
              <w:rPr>
                <w:rFonts w:ascii="Calibri" w:hAnsi="Calibri"/>
                <w:b/>
                <w:szCs w:val="22"/>
              </w:rPr>
            </w:pPr>
            <w:r w:rsidRPr="008C75E4">
              <w:rPr>
                <w:rFonts w:ascii="Calibri" w:hAnsi="Calibri"/>
                <w:b/>
                <w:szCs w:val="22"/>
              </w:rPr>
              <w:t>Application Ref:</w:t>
            </w:r>
          </w:p>
        </w:tc>
        <w:tc>
          <w:tcPr>
            <w:tcW w:w="3461" w:type="dxa"/>
            <w:gridSpan w:val="6"/>
          </w:tcPr>
          <w:p w14:paraId="6D2636FE" w14:textId="77777777" w:rsidR="004A5EA9" w:rsidRPr="008C75E4" w:rsidRDefault="00F9179A" w:rsidP="008F6B58">
            <w:pPr>
              <w:rPr>
                <w:rFonts w:ascii="Calibri" w:hAnsi="Calibri"/>
                <w:szCs w:val="22"/>
              </w:rPr>
            </w:pPr>
            <w:r>
              <w:rPr>
                <w:rFonts w:ascii="Calibri" w:hAnsi="Calibri"/>
                <w:szCs w:val="22"/>
              </w:rPr>
              <w:t>3/2021/0038</w:t>
            </w:r>
          </w:p>
        </w:tc>
        <w:tc>
          <w:tcPr>
            <w:tcW w:w="3700" w:type="dxa"/>
            <w:gridSpan w:val="5"/>
            <w:vMerge w:val="restart"/>
            <w:tcMar>
              <w:top w:w="57" w:type="dxa"/>
              <w:bottom w:w="57" w:type="dxa"/>
            </w:tcMar>
          </w:tcPr>
          <w:p w14:paraId="6E189E97" w14:textId="77777777" w:rsidR="004A5EA9" w:rsidRPr="008C75E4" w:rsidRDefault="004A5EA9">
            <w:pPr>
              <w:rPr>
                <w:rFonts w:ascii="Calibri" w:hAnsi="Calibri"/>
                <w:szCs w:val="22"/>
              </w:rPr>
            </w:pPr>
            <w:r w:rsidRPr="008C75E4">
              <w:rPr>
                <w:rFonts w:ascii="Calibri" w:hAnsi="Calibri"/>
                <w:noProof/>
                <w:szCs w:val="22"/>
                <w:lang w:eastAsia="en-GB"/>
              </w:rPr>
              <w:drawing>
                <wp:anchor distT="0" distB="0" distL="114300" distR="114300" simplePos="0" relativeHeight="251661824" behindDoc="0" locked="0" layoutInCell="1" allowOverlap="1" wp14:anchorId="7AE10A57" wp14:editId="2656B60A">
                  <wp:simplePos x="0" y="0"/>
                  <wp:positionH relativeFrom="column">
                    <wp:posOffset>17720</wp:posOffset>
                  </wp:positionH>
                  <wp:positionV relativeFrom="paragraph">
                    <wp:posOffset>10171</wp:posOffset>
                  </wp:positionV>
                  <wp:extent cx="2156604" cy="649963"/>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_RVBC_logo.jpg"/>
                          <pic:cNvPicPr/>
                        </pic:nvPicPr>
                        <pic:blipFill rotWithShape="1">
                          <a:blip r:embed="rId8" cstate="print">
                            <a:extLst>
                              <a:ext uri="{28A0092B-C50C-407E-A947-70E740481C1C}">
                                <a14:useLocalDpi xmlns:a14="http://schemas.microsoft.com/office/drawing/2010/main" val="0"/>
                              </a:ext>
                            </a:extLst>
                          </a:blip>
                          <a:srcRect l="4936" t="23260" r="5152" b="25828"/>
                          <a:stretch/>
                        </pic:blipFill>
                        <pic:spPr bwMode="auto">
                          <a:xfrm>
                            <a:off x="0" y="0"/>
                            <a:ext cx="2156460" cy="649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r>
      <w:tr w:rsidR="008C75E4" w:rsidRPr="008C75E4" w14:paraId="1080D36F" w14:textId="77777777" w:rsidTr="00504440">
        <w:trPr>
          <w:jc w:val="center"/>
        </w:trPr>
        <w:tc>
          <w:tcPr>
            <w:tcW w:w="2394" w:type="dxa"/>
            <w:gridSpan w:val="3"/>
            <w:tcMar>
              <w:top w:w="57" w:type="dxa"/>
              <w:bottom w:w="57" w:type="dxa"/>
            </w:tcMar>
          </w:tcPr>
          <w:p w14:paraId="3CBECBCA" w14:textId="77777777" w:rsidR="004A5EA9" w:rsidRPr="008C75E4" w:rsidRDefault="004A5EA9">
            <w:pPr>
              <w:rPr>
                <w:rFonts w:ascii="Calibri" w:hAnsi="Calibri"/>
                <w:b/>
                <w:szCs w:val="22"/>
              </w:rPr>
            </w:pPr>
            <w:r w:rsidRPr="008C75E4">
              <w:rPr>
                <w:rFonts w:ascii="Calibri" w:hAnsi="Calibri"/>
                <w:b/>
                <w:szCs w:val="22"/>
              </w:rPr>
              <w:t>Date Inspected:</w:t>
            </w:r>
          </w:p>
        </w:tc>
        <w:tc>
          <w:tcPr>
            <w:tcW w:w="3461" w:type="dxa"/>
            <w:gridSpan w:val="6"/>
          </w:tcPr>
          <w:p w14:paraId="7E9CD2C1" w14:textId="77777777" w:rsidR="004A5EA9" w:rsidRPr="008C75E4" w:rsidRDefault="00F9179A" w:rsidP="002C6277">
            <w:pPr>
              <w:rPr>
                <w:rFonts w:ascii="Calibri" w:hAnsi="Calibri"/>
                <w:szCs w:val="22"/>
              </w:rPr>
            </w:pPr>
            <w:r>
              <w:rPr>
                <w:rFonts w:ascii="Calibri" w:hAnsi="Calibri"/>
                <w:szCs w:val="22"/>
              </w:rPr>
              <w:t>1/4/2021</w:t>
            </w:r>
          </w:p>
        </w:tc>
        <w:tc>
          <w:tcPr>
            <w:tcW w:w="3700" w:type="dxa"/>
            <w:gridSpan w:val="5"/>
            <w:vMerge/>
            <w:tcMar>
              <w:top w:w="57" w:type="dxa"/>
              <w:bottom w:w="57" w:type="dxa"/>
            </w:tcMar>
          </w:tcPr>
          <w:p w14:paraId="614E362A" w14:textId="77777777" w:rsidR="004A5EA9" w:rsidRPr="008C75E4" w:rsidRDefault="004A5EA9">
            <w:pPr>
              <w:rPr>
                <w:rFonts w:ascii="Calibri" w:hAnsi="Calibri"/>
                <w:szCs w:val="22"/>
              </w:rPr>
            </w:pPr>
          </w:p>
        </w:tc>
      </w:tr>
      <w:tr w:rsidR="008C75E4" w:rsidRPr="008C75E4" w14:paraId="548A0B8C" w14:textId="77777777" w:rsidTr="00504440">
        <w:trPr>
          <w:jc w:val="center"/>
        </w:trPr>
        <w:tc>
          <w:tcPr>
            <w:tcW w:w="2394" w:type="dxa"/>
            <w:gridSpan w:val="3"/>
            <w:tcMar>
              <w:top w:w="57" w:type="dxa"/>
              <w:bottom w:w="57" w:type="dxa"/>
            </w:tcMar>
          </w:tcPr>
          <w:p w14:paraId="393C0B90" w14:textId="77777777" w:rsidR="004A5EA9" w:rsidRPr="008C75E4" w:rsidRDefault="00D2449B">
            <w:pPr>
              <w:rPr>
                <w:rFonts w:ascii="Calibri" w:hAnsi="Calibri"/>
                <w:b/>
                <w:szCs w:val="22"/>
              </w:rPr>
            </w:pPr>
            <w:r w:rsidRPr="008C75E4">
              <w:rPr>
                <w:rFonts w:ascii="Calibri" w:hAnsi="Calibri"/>
                <w:b/>
                <w:szCs w:val="22"/>
              </w:rPr>
              <w:t>Officer</w:t>
            </w:r>
            <w:r w:rsidR="004A5EA9" w:rsidRPr="008C75E4">
              <w:rPr>
                <w:rFonts w:ascii="Calibri" w:hAnsi="Calibri"/>
                <w:b/>
                <w:szCs w:val="22"/>
              </w:rPr>
              <w:t>:</w:t>
            </w:r>
          </w:p>
        </w:tc>
        <w:tc>
          <w:tcPr>
            <w:tcW w:w="3461" w:type="dxa"/>
            <w:gridSpan w:val="6"/>
          </w:tcPr>
          <w:p w14:paraId="4F945CAB" w14:textId="77777777" w:rsidR="004A5EA9" w:rsidRPr="00272696" w:rsidRDefault="00272696" w:rsidP="00811771">
            <w:pPr>
              <w:rPr>
                <w:rFonts w:ascii="Calibri" w:hAnsi="Calibri"/>
                <w:szCs w:val="22"/>
              </w:rPr>
            </w:pPr>
            <w:r w:rsidRPr="00272696">
              <w:rPr>
                <w:rFonts w:ascii="Calibri" w:hAnsi="Calibri"/>
                <w:szCs w:val="22"/>
              </w:rPr>
              <w:t>AD</w:t>
            </w:r>
          </w:p>
        </w:tc>
        <w:tc>
          <w:tcPr>
            <w:tcW w:w="3700" w:type="dxa"/>
            <w:gridSpan w:val="5"/>
            <w:vMerge/>
            <w:tcMar>
              <w:top w:w="57" w:type="dxa"/>
              <w:bottom w:w="57" w:type="dxa"/>
            </w:tcMar>
          </w:tcPr>
          <w:p w14:paraId="09B3DF4C" w14:textId="77777777" w:rsidR="004A5EA9" w:rsidRPr="008C75E4" w:rsidRDefault="004A5EA9">
            <w:pPr>
              <w:rPr>
                <w:rFonts w:ascii="Calibri" w:hAnsi="Calibri"/>
                <w:szCs w:val="22"/>
              </w:rPr>
            </w:pPr>
          </w:p>
        </w:tc>
      </w:tr>
      <w:tr w:rsidR="00FD334A" w:rsidRPr="008C75E4" w14:paraId="0D6F3F3A" w14:textId="77777777" w:rsidTr="00504440">
        <w:trPr>
          <w:jc w:val="center"/>
        </w:trPr>
        <w:tc>
          <w:tcPr>
            <w:tcW w:w="5855" w:type="dxa"/>
            <w:gridSpan w:val="9"/>
            <w:tcBorders>
              <w:bottom w:val="single" w:sz="4" w:space="0" w:color="BFBFBF" w:themeColor="background1" w:themeShade="BF"/>
            </w:tcBorders>
            <w:tcMar>
              <w:top w:w="57" w:type="dxa"/>
              <w:bottom w:w="57" w:type="dxa"/>
            </w:tcMar>
          </w:tcPr>
          <w:p w14:paraId="4EE9E8C1" w14:textId="77777777" w:rsidR="00FD334A" w:rsidRPr="008C75E4" w:rsidRDefault="00FD334A" w:rsidP="004A5EA9">
            <w:pPr>
              <w:rPr>
                <w:rFonts w:ascii="Calibri" w:hAnsi="Calibri"/>
                <w:b/>
                <w:szCs w:val="22"/>
              </w:rPr>
            </w:pPr>
            <w:r w:rsidRPr="008C75E4">
              <w:rPr>
                <w:rFonts w:ascii="Calibri" w:hAnsi="Calibri"/>
                <w:b/>
                <w:szCs w:val="22"/>
              </w:rPr>
              <w:t xml:space="preserve">DELEGATED ITEM FILE REPORT: </w:t>
            </w:r>
          </w:p>
        </w:tc>
        <w:tc>
          <w:tcPr>
            <w:tcW w:w="1007" w:type="dxa"/>
            <w:gridSpan w:val="2"/>
            <w:tcBorders>
              <w:bottom w:val="single" w:sz="4" w:space="0" w:color="BFBFBF" w:themeColor="background1" w:themeShade="BF"/>
            </w:tcBorders>
          </w:tcPr>
          <w:p w14:paraId="7E93075B" w14:textId="77777777" w:rsidR="00FD334A" w:rsidRPr="008C75E4" w:rsidRDefault="00FD334A" w:rsidP="00FD334A">
            <w:pPr>
              <w:rPr>
                <w:rFonts w:ascii="Calibri" w:hAnsi="Calibri"/>
                <w:b/>
                <w:szCs w:val="22"/>
              </w:rPr>
            </w:pPr>
            <w:r>
              <w:rPr>
                <w:rFonts w:ascii="Calibri" w:hAnsi="Calibri"/>
                <w:b/>
                <w:szCs w:val="22"/>
              </w:rPr>
              <w:t>Decision</w:t>
            </w:r>
          </w:p>
        </w:tc>
        <w:tc>
          <w:tcPr>
            <w:tcW w:w="2693" w:type="dxa"/>
            <w:gridSpan w:val="3"/>
            <w:tcBorders>
              <w:bottom w:val="single" w:sz="4" w:space="0" w:color="BFBFBF" w:themeColor="background1" w:themeShade="BF"/>
            </w:tcBorders>
          </w:tcPr>
          <w:p w14:paraId="698E26B1" w14:textId="77777777" w:rsidR="00FD334A" w:rsidRPr="008C75E4" w:rsidRDefault="00F9179A" w:rsidP="00FD334A">
            <w:pPr>
              <w:rPr>
                <w:rFonts w:ascii="Calibri" w:hAnsi="Calibri"/>
                <w:b/>
                <w:szCs w:val="22"/>
              </w:rPr>
            </w:pPr>
            <w:r>
              <w:rPr>
                <w:rFonts w:ascii="Calibri" w:hAnsi="Calibri"/>
                <w:b/>
                <w:szCs w:val="22"/>
              </w:rPr>
              <w:t>Approval</w:t>
            </w:r>
          </w:p>
        </w:tc>
      </w:tr>
      <w:tr w:rsidR="008C75E4" w:rsidRPr="008C75E4" w14:paraId="4EC2AA36" w14:textId="77777777" w:rsidTr="00504440">
        <w:trPr>
          <w:trHeight w:hRule="exact" w:val="144"/>
          <w:jc w:val="center"/>
        </w:trPr>
        <w:tc>
          <w:tcPr>
            <w:tcW w:w="9555" w:type="dxa"/>
            <w:gridSpan w:val="14"/>
            <w:tcBorders>
              <w:left w:val="nil"/>
              <w:right w:val="nil"/>
            </w:tcBorders>
            <w:tcMar>
              <w:top w:w="57" w:type="dxa"/>
              <w:bottom w:w="57" w:type="dxa"/>
            </w:tcMar>
          </w:tcPr>
          <w:p w14:paraId="7FD94F43" w14:textId="77777777" w:rsidR="004A5EA9" w:rsidRPr="00504440" w:rsidRDefault="004A5EA9" w:rsidP="007E0D23">
            <w:pPr>
              <w:tabs>
                <w:tab w:val="left" w:pos="4007"/>
              </w:tabs>
              <w:rPr>
                <w:rFonts w:ascii="Calibri" w:hAnsi="Calibri"/>
                <w:b/>
                <w:sz w:val="4"/>
                <w:szCs w:val="4"/>
              </w:rPr>
            </w:pPr>
          </w:p>
        </w:tc>
      </w:tr>
      <w:tr w:rsidR="008C75E4" w:rsidRPr="008C75E4" w14:paraId="1BA73D42" w14:textId="77777777" w:rsidTr="00504440">
        <w:trPr>
          <w:jc w:val="center"/>
        </w:trPr>
        <w:tc>
          <w:tcPr>
            <w:tcW w:w="3075" w:type="dxa"/>
            <w:gridSpan w:val="5"/>
            <w:tcMar>
              <w:top w:w="57" w:type="dxa"/>
              <w:bottom w:w="57" w:type="dxa"/>
            </w:tcMar>
          </w:tcPr>
          <w:p w14:paraId="1D08B09D" w14:textId="77777777" w:rsidR="004A5EA9" w:rsidRPr="008C75E4" w:rsidRDefault="004A5EA9" w:rsidP="00A95D89">
            <w:pPr>
              <w:rPr>
                <w:rFonts w:ascii="Calibri" w:hAnsi="Calibri"/>
                <w:b/>
                <w:szCs w:val="22"/>
              </w:rPr>
            </w:pPr>
            <w:r w:rsidRPr="008C75E4">
              <w:rPr>
                <w:rFonts w:ascii="Calibri" w:hAnsi="Calibri"/>
                <w:b/>
                <w:szCs w:val="22"/>
              </w:rPr>
              <w:t xml:space="preserve">Development </w:t>
            </w:r>
            <w:r w:rsidR="00A95D89" w:rsidRPr="008C75E4">
              <w:rPr>
                <w:rFonts w:ascii="Calibri" w:hAnsi="Calibri"/>
                <w:b/>
                <w:szCs w:val="22"/>
              </w:rPr>
              <w:t>Description</w:t>
            </w:r>
            <w:r w:rsidRPr="008C75E4">
              <w:rPr>
                <w:rFonts w:ascii="Calibri" w:hAnsi="Calibri"/>
                <w:b/>
                <w:szCs w:val="22"/>
              </w:rPr>
              <w:t>:</w:t>
            </w:r>
          </w:p>
        </w:tc>
        <w:tc>
          <w:tcPr>
            <w:tcW w:w="6480" w:type="dxa"/>
            <w:gridSpan w:val="9"/>
          </w:tcPr>
          <w:p w14:paraId="716C2616" w14:textId="77777777" w:rsidR="00F9179A" w:rsidRPr="00F9179A" w:rsidRDefault="00F9179A" w:rsidP="00F9179A">
            <w:pPr>
              <w:overflowPunct/>
              <w:autoSpaceDE/>
              <w:autoSpaceDN/>
              <w:adjustRightInd/>
              <w:textAlignment w:val="auto"/>
              <w:rPr>
                <w:rFonts w:asciiTheme="minorHAnsi" w:hAnsiTheme="minorHAnsi" w:cstheme="minorHAnsi"/>
                <w:szCs w:val="22"/>
                <w:lang w:eastAsia="en-GB"/>
              </w:rPr>
            </w:pPr>
            <w:r w:rsidRPr="00F9179A">
              <w:rPr>
                <w:rFonts w:asciiTheme="minorHAnsi" w:hAnsiTheme="minorHAnsi" w:cstheme="minorHAnsi"/>
                <w:szCs w:val="22"/>
                <w:shd w:val="clear" w:color="auto" w:fill="FFFFFF"/>
                <w:lang w:eastAsia="en-GB"/>
              </w:rPr>
              <w:t>Replacement timber windows.</w:t>
            </w:r>
          </w:p>
          <w:p w14:paraId="5CFE1CE4" w14:textId="77777777" w:rsidR="004A5EA9" w:rsidRPr="00F9179A" w:rsidRDefault="004A5EA9">
            <w:pPr>
              <w:rPr>
                <w:rFonts w:asciiTheme="minorHAnsi" w:hAnsiTheme="minorHAnsi" w:cstheme="minorHAnsi"/>
                <w:szCs w:val="22"/>
              </w:rPr>
            </w:pPr>
          </w:p>
        </w:tc>
      </w:tr>
      <w:tr w:rsidR="008C75E4" w:rsidRPr="008C75E4" w14:paraId="497C6914" w14:textId="77777777" w:rsidTr="00504440">
        <w:trPr>
          <w:jc w:val="center"/>
        </w:trPr>
        <w:tc>
          <w:tcPr>
            <w:tcW w:w="3075" w:type="dxa"/>
            <w:gridSpan w:val="5"/>
            <w:tcBorders>
              <w:bottom w:val="single" w:sz="4" w:space="0" w:color="BFBFBF" w:themeColor="background1" w:themeShade="BF"/>
            </w:tcBorders>
            <w:tcMar>
              <w:top w:w="57" w:type="dxa"/>
              <w:bottom w:w="57" w:type="dxa"/>
            </w:tcMar>
          </w:tcPr>
          <w:p w14:paraId="79E5CC10" w14:textId="77777777" w:rsidR="002A01CF" w:rsidRPr="008C75E4" w:rsidRDefault="002A01CF">
            <w:pPr>
              <w:rPr>
                <w:rFonts w:ascii="Calibri" w:hAnsi="Calibri"/>
                <w:b/>
                <w:szCs w:val="22"/>
              </w:rPr>
            </w:pPr>
            <w:r w:rsidRPr="008C75E4">
              <w:rPr>
                <w:rFonts w:ascii="Calibri" w:hAnsi="Calibri"/>
                <w:b/>
                <w:szCs w:val="22"/>
              </w:rPr>
              <w:t>Site Address</w:t>
            </w:r>
            <w:r w:rsidR="00A95D89" w:rsidRPr="008C75E4">
              <w:rPr>
                <w:rFonts w:ascii="Calibri" w:hAnsi="Calibri"/>
                <w:b/>
                <w:szCs w:val="22"/>
              </w:rPr>
              <w:t>/Location</w:t>
            </w:r>
            <w:r w:rsidRPr="008C75E4">
              <w:rPr>
                <w:rFonts w:ascii="Calibri" w:hAnsi="Calibri"/>
                <w:b/>
                <w:szCs w:val="22"/>
              </w:rPr>
              <w:t>:</w:t>
            </w:r>
          </w:p>
        </w:tc>
        <w:tc>
          <w:tcPr>
            <w:tcW w:w="6480" w:type="dxa"/>
            <w:gridSpan w:val="9"/>
            <w:tcBorders>
              <w:bottom w:val="single" w:sz="4" w:space="0" w:color="BFBFBF" w:themeColor="background1" w:themeShade="BF"/>
            </w:tcBorders>
          </w:tcPr>
          <w:p w14:paraId="7FD27FC3" w14:textId="77777777" w:rsidR="002A01CF" w:rsidRPr="00F9179A" w:rsidRDefault="00F9179A" w:rsidP="00A42E82">
            <w:pPr>
              <w:rPr>
                <w:rFonts w:asciiTheme="minorHAnsi" w:hAnsiTheme="minorHAnsi" w:cstheme="minorHAnsi"/>
                <w:b/>
                <w:szCs w:val="22"/>
              </w:rPr>
            </w:pPr>
            <w:r w:rsidRPr="00F9179A">
              <w:rPr>
                <w:rStyle w:val="Strong"/>
                <w:rFonts w:asciiTheme="minorHAnsi" w:hAnsiTheme="minorHAnsi" w:cstheme="minorHAnsi"/>
                <w:b w:val="0"/>
                <w:szCs w:val="22"/>
                <w:bdr w:val="none" w:sz="0" w:space="0" w:color="auto" w:frame="1"/>
                <w:shd w:val="clear" w:color="auto" w:fill="FFFFFF"/>
              </w:rPr>
              <w:t xml:space="preserve">Back </w:t>
            </w:r>
            <w:proofErr w:type="spellStart"/>
            <w:r w:rsidRPr="00F9179A">
              <w:rPr>
                <w:rStyle w:val="Strong"/>
                <w:rFonts w:asciiTheme="minorHAnsi" w:hAnsiTheme="minorHAnsi" w:cstheme="minorHAnsi"/>
                <w:b w:val="0"/>
                <w:szCs w:val="22"/>
                <w:bdr w:val="none" w:sz="0" w:space="0" w:color="auto" w:frame="1"/>
                <w:shd w:val="clear" w:color="auto" w:fill="FFFFFF"/>
              </w:rPr>
              <w:t>o'Thorn</w:t>
            </w:r>
            <w:proofErr w:type="spellEnd"/>
            <w:r w:rsidRPr="00F9179A">
              <w:rPr>
                <w:rStyle w:val="Strong"/>
                <w:rFonts w:asciiTheme="minorHAnsi" w:hAnsiTheme="minorHAnsi" w:cstheme="minorHAnsi"/>
                <w:b w:val="0"/>
                <w:szCs w:val="22"/>
                <w:bdr w:val="none" w:sz="0" w:space="0" w:color="auto" w:frame="1"/>
                <w:shd w:val="clear" w:color="auto" w:fill="FFFFFF"/>
              </w:rPr>
              <w:t xml:space="preserve"> 25 Brookside Downham BB7 4BP</w:t>
            </w:r>
          </w:p>
        </w:tc>
      </w:tr>
      <w:tr w:rsidR="008C75E4" w:rsidRPr="008C75E4" w14:paraId="2F80C95C" w14:textId="77777777" w:rsidTr="00504440">
        <w:trPr>
          <w:trHeight w:hRule="exact" w:val="144"/>
          <w:jc w:val="center"/>
        </w:trPr>
        <w:tc>
          <w:tcPr>
            <w:tcW w:w="9555" w:type="dxa"/>
            <w:gridSpan w:val="14"/>
            <w:tcBorders>
              <w:left w:val="nil"/>
              <w:right w:val="nil"/>
            </w:tcBorders>
            <w:tcMar>
              <w:top w:w="57" w:type="dxa"/>
              <w:bottom w:w="57" w:type="dxa"/>
            </w:tcMar>
          </w:tcPr>
          <w:p w14:paraId="44D80D3D" w14:textId="77777777" w:rsidR="00A95D89" w:rsidRPr="00504440" w:rsidRDefault="00A95D89" w:rsidP="007E0D23">
            <w:pPr>
              <w:tabs>
                <w:tab w:val="left" w:pos="2667"/>
              </w:tabs>
              <w:rPr>
                <w:rFonts w:ascii="Calibri" w:hAnsi="Calibri"/>
                <w:b/>
                <w:sz w:val="4"/>
                <w:szCs w:val="4"/>
              </w:rPr>
            </w:pPr>
          </w:p>
        </w:tc>
      </w:tr>
      <w:tr w:rsidR="008C75E4" w:rsidRPr="008C75E4" w14:paraId="4FB1906D" w14:textId="77777777" w:rsidTr="00504440">
        <w:trPr>
          <w:jc w:val="center"/>
        </w:trPr>
        <w:tc>
          <w:tcPr>
            <w:tcW w:w="3075" w:type="dxa"/>
            <w:gridSpan w:val="5"/>
            <w:tcMar>
              <w:top w:w="57" w:type="dxa"/>
              <w:bottom w:w="57" w:type="dxa"/>
            </w:tcMar>
          </w:tcPr>
          <w:p w14:paraId="7AB98CFC" w14:textId="77777777" w:rsidR="00C618DB" w:rsidRPr="008C75E4" w:rsidRDefault="00C618DB">
            <w:pPr>
              <w:rPr>
                <w:rFonts w:ascii="Calibri" w:hAnsi="Calibri"/>
                <w:b/>
                <w:szCs w:val="22"/>
              </w:rPr>
            </w:pPr>
            <w:r w:rsidRPr="008C75E4">
              <w:rPr>
                <w:rFonts w:ascii="Calibri" w:hAnsi="Calibri"/>
                <w:b/>
                <w:szCs w:val="22"/>
              </w:rPr>
              <w:t xml:space="preserve">CONSULTATIONS: </w:t>
            </w:r>
          </w:p>
        </w:tc>
        <w:tc>
          <w:tcPr>
            <w:tcW w:w="6480" w:type="dxa"/>
            <w:gridSpan w:val="9"/>
          </w:tcPr>
          <w:p w14:paraId="3B629316" w14:textId="77777777" w:rsidR="00C618DB" w:rsidRPr="008C75E4" w:rsidRDefault="00C618DB">
            <w:pPr>
              <w:rPr>
                <w:rFonts w:ascii="Calibri" w:hAnsi="Calibri"/>
                <w:b/>
                <w:szCs w:val="22"/>
              </w:rPr>
            </w:pPr>
            <w:r w:rsidRPr="008C75E4">
              <w:rPr>
                <w:rFonts w:ascii="Calibri" w:hAnsi="Calibri"/>
                <w:b/>
                <w:szCs w:val="22"/>
              </w:rPr>
              <w:t>Parish/Town Council</w:t>
            </w:r>
          </w:p>
        </w:tc>
      </w:tr>
      <w:tr w:rsidR="008C75E4" w:rsidRPr="008C75E4" w14:paraId="66543BDD"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69FE92D7" w14:textId="77777777" w:rsidR="003A4376" w:rsidRPr="009825FF" w:rsidRDefault="0057086C" w:rsidP="009825FF">
            <w:pPr>
              <w:jc w:val="both"/>
              <w:rPr>
                <w:rFonts w:ascii="Calibri" w:hAnsi="Calibri"/>
                <w:szCs w:val="22"/>
              </w:rPr>
            </w:pPr>
            <w:r>
              <w:rPr>
                <w:rFonts w:ascii="Calibri" w:hAnsi="Calibri"/>
                <w:szCs w:val="22"/>
              </w:rPr>
              <w:t xml:space="preserve">Clerk to </w:t>
            </w:r>
            <w:r w:rsidR="00841D67">
              <w:rPr>
                <w:rFonts w:ascii="Calibri" w:hAnsi="Calibri"/>
                <w:szCs w:val="22"/>
              </w:rPr>
              <w:t>Downham Parish Meeting/near neighbour supports application 3/2021/0039.</w:t>
            </w:r>
          </w:p>
        </w:tc>
      </w:tr>
      <w:tr w:rsidR="008C75E4" w:rsidRPr="008C75E4" w14:paraId="5B3A5D4E" w14:textId="77777777" w:rsidTr="00504440">
        <w:trPr>
          <w:trHeight w:hRule="exact" w:val="144"/>
          <w:jc w:val="center"/>
        </w:trPr>
        <w:tc>
          <w:tcPr>
            <w:tcW w:w="9555" w:type="dxa"/>
            <w:gridSpan w:val="14"/>
            <w:tcBorders>
              <w:left w:val="nil"/>
              <w:right w:val="nil"/>
            </w:tcBorders>
            <w:tcMar>
              <w:top w:w="57" w:type="dxa"/>
              <w:bottom w:w="57" w:type="dxa"/>
            </w:tcMar>
          </w:tcPr>
          <w:p w14:paraId="48896D7E" w14:textId="77777777" w:rsidR="00C618DB" w:rsidRPr="00504440" w:rsidRDefault="00C618DB" w:rsidP="006126D1">
            <w:pPr>
              <w:jc w:val="both"/>
              <w:rPr>
                <w:rFonts w:ascii="Calibri" w:hAnsi="Calibri"/>
                <w:bCs/>
                <w:sz w:val="4"/>
                <w:szCs w:val="4"/>
              </w:rPr>
            </w:pPr>
          </w:p>
        </w:tc>
      </w:tr>
      <w:tr w:rsidR="008C75E4" w:rsidRPr="008C75E4" w14:paraId="4866E230" w14:textId="77777777" w:rsidTr="00504440">
        <w:trPr>
          <w:jc w:val="center"/>
        </w:trPr>
        <w:tc>
          <w:tcPr>
            <w:tcW w:w="3075" w:type="dxa"/>
            <w:gridSpan w:val="5"/>
            <w:tcMar>
              <w:top w:w="57" w:type="dxa"/>
              <w:bottom w:w="57" w:type="dxa"/>
            </w:tcMar>
          </w:tcPr>
          <w:p w14:paraId="691A4DB4" w14:textId="77777777" w:rsidR="00C618DB" w:rsidRPr="008C75E4" w:rsidRDefault="00C618DB"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3123E076" w14:textId="77777777" w:rsidR="00C618DB" w:rsidRPr="008C75E4" w:rsidRDefault="00C618DB" w:rsidP="006126D1">
            <w:pPr>
              <w:jc w:val="both"/>
              <w:rPr>
                <w:rFonts w:ascii="Calibri" w:hAnsi="Calibri"/>
                <w:b/>
                <w:szCs w:val="22"/>
              </w:rPr>
            </w:pPr>
            <w:r w:rsidRPr="008C75E4">
              <w:rPr>
                <w:rFonts w:ascii="Calibri" w:hAnsi="Calibri"/>
                <w:b/>
                <w:szCs w:val="22"/>
              </w:rPr>
              <w:t>Highways/Water Authority/Other Bodies</w:t>
            </w:r>
          </w:p>
        </w:tc>
      </w:tr>
      <w:tr w:rsidR="008C75E4" w:rsidRPr="008C75E4" w14:paraId="503CED7E" w14:textId="77777777" w:rsidTr="00504440">
        <w:trPr>
          <w:jc w:val="center"/>
        </w:trPr>
        <w:tc>
          <w:tcPr>
            <w:tcW w:w="3075" w:type="dxa"/>
            <w:gridSpan w:val="5"/>
            <w:tcMar>
              <w:top w:w="57" w:type="dxa"/>
              <w:bottom w:w="57" w:type="dxa"/>
            </w:tcMar>
          </w:tcPr>
          <w:p w14:paraId="2E0024AE" w14:textId="77777777" w:rsidR="002A01CF" w:rsidRPr="008C75E4" w:rsidRDefault="00841D67" w:rsidP="006126D1">
            <w:pPr>
              <w:jc w:val="both"/>
              <w:rPr>
                <w:rFonts w:ascii="Calibri" w:hAnsi="Calibri"/>
                <w:b/>
                <w:szCs w:val="22"/>
              </w:rPr>
            </w:pPr>
            <w:r>
              <w:rPr>
                <w:rFonts w:ascii="Calibri" w:hAnsi="Calibri"/>
                <w:b/>
                <w:szCs w:val="22"/>
              </w:rPr>
              <w:t>Historic amenity societies</w:t>
            </w:r>
            <w:r w:rsidR="002A01CF" w:rsidRPr="008C75E4">
              <w:rPr>
                <w:rFonts w:ascii="Calibri" w:hAnsi="Calibri"/>
                <w:b/>
                <w:szCs w:val="22"/>
              </w:rPr>
              <w:t>:</w:t>
            </w:r>
          </w:p>
        </w:tc>
        <w:tc>
          <w:tcPr>
            <w:tcW w:w="6480" w:type="dxa"/>
            <w:gridSpan w:val="9"/>
          </w:tcPr>
          <w:p w14:paraId="568BE780" w14:textId="77777777" w:rsidR="002A01CF" w:rsidRPr="008C75E4" w:rsidRDefault="002A01CF" w:rsidP="006126D1">
            <w:pPr>
              <w:jc w:val="both"/>
              <w:rPr>
                <w:rFonts w:ascii="Calibri" w:hAnsi="Calibri"/>
                <w:b/>
                <w:szCs w:val="22"/>
              </w:rPr>
            </w:pPr>
          </w:p>
        </w:tc>
      </w:tr>
      <w:tr w:rsidR="008C75E4" w:rsidRPr="008C75E4" w14:paraId="23EAC37A" w14:textId="77777777" w:rsidTr="00504440">
        <w:trPr>
          <w:jc w:val="center"/>
        </w:trPr>
        <w:tc>
          <w:tcPr>
            <w:tcW w:w="9555" w:type="dxa"/>
            <w:gridSpan w:val="14"/>
            <w:tcMar>
              <w:top w:w="57" w:type="dxa"/>
              <w:bottom w:w="57" w:type="dxa"/>
            </w:tcMar>
          </w:tcPr>
          <w:p w14:paraId="4C6FEC5D" w14:textId="77777777" w:rsidR="00C0704D" w:rsidRDefault="00841D67" w:rsidP="00FC046F">
            <w:pPr>
              <w:jc w:val="both"/>
              <w:rPr>
                <w:rFonts w:ascii="Calibri" w:hAnsi="Calibri"/>
                <w:szCs w:val="22"/>
              </w:rPr>
            </w:pPr>
            <w:r>
              <w:rPr>
                <w:rFonts w:ascii="Calibri" w:hAnsi="Calibri"/>
                <w:szCs w:val="22"/>
              </w:rPr>
              <w:t>Consulted, no representations received.</w:t>
            </w:r>
          </w:p>
          <w:p w14:paraId="7CCB93B5" w14:textId="77777777" w:rsidR="00845EF8" w:rsidRDefault="00845EF8" w:rsidP="00FC046F">
            <w:pPr>
              <w:jc w:val="both"/>
              <w:rPr>
                <w:rFonts w:ascii="Calibri" w:hAnsi="Calibri"/>
                <w:szCs w:val="22"/>
              </w:rPr>
            </w:pPr>
          </w:p>
          <w:p w14:paraId="28EE847C" w14:textId="77777777" w:rsidR="00845EF8" w:rsidRDefault="00845EF8" w:rsidP="00FC046F">
            <w:pPr>
              <w:jc w:val="both"/>
              <w:rPr>
                <w:rFonts w:ascii="Calibri" w:hAnsi="Calibri"/>
                <w:b/>
                <w:szCs w:val="22"/>
              </w:rPr>
            </w:pPr>
            <w:r w:rsidRPr="00575328">
              <w:rPr>
                <w:rFonts w:ascii="Calibri" w:hAnsi="Calibri"/>
                <w:b/>
                <w:szCs w:val="22"/>
              </w:rPr>
              <w:t>LCC Archaeology:</w:t>
            </w:r>
          </w:p>
          <w:p w14:paraId="615D5B17" w14:textId="77777777" w:rsidR="00575328" w:rsidRPr="00575328" w:rsidRDefault="00575328" w:rsidP="00FC046F">
            <w:pPr>
              <w:jc w:val="both"/>
              <w:rPr>
                <w:rFonts w:ascii="Calibri" w:hAnsi="Calibri"/>
                <w:szCs w:val="22"/>
              </w:rPr>
            </w:pPr>
            <w:r>
              <w:rPr>
                <w:rFonts w:ascii="Calibri" w:hAnsi="Calibri"/>
                <w:szCs w:val="22"/>
              </w:rPr>
              <w:t>Comments (including suggested condition) have been received in respect to 3/2021/0039 (which also includes window proposals). However, comments appear to be concerned with works to the interior.</w:t>
            </w:r>
          </w:p>
          <w:p w14:paraId="557C7D96" w14:textId="77777777" w:rsidR="00575328" w:rsidRPr="008C75E4" w:rsidRDefault="00575328" w:rsidP="00FC046F">
            <w:pPr>
              <w:jc w:val="both"/>
              <w:rPr>
                <w:rFonts w:ascii="Calibri" w:hAnsi="Calibri"/>
                <w:szCs w:val="22"/>
              </w:rPr>
            </w:pPr>
          </w:p>
        </w:tc>
      </w:tr>
      <w:tr w:rsidR="008C75E4" w:rsidRPr="008C75E4" w14:paraId="052E06E4" w14:textId="77777777" w:rsidTr="00504440">
        <w:trPr>
          <w:jc w:val="center"/>
        </w:trPr>
        <w:tc>
          <w:tcPr>
            <w:tcW w:w="3075" w:type="dxa"/>
            <w:gridSpan w:val="5"/>
            <w:tcMar>
              <w:top w:w="57" w:type="dxa"/>
              <w:bottom w:w="57" w:type="dxa"/>
            </w:tcMar>
          </w:tcPr>
          <w:p w14:paraId="0059ECF3" w14:textId="77777777" w:rsidR="00C0704D" w:rsidRPr="008C75E4" w:rsidRDefault="00C0704D" w:rsidP="006126D1">
            <w:pPr>
              <w:jc w:val="both"/>
              <w:rPr>
                <w:rFonts w:ascii="Calibri" w:hAnsi="Calibri"/>
                <w:b/>
                <w:szCs w:val="22"/>
              </w:rPr>
            </w:pPr>
            <w:r w:rsidRPr="008C75E4">
              <w:rPr>
                <w:rFonts w:ascii="Calibri" w:hAnsi="Calibri"/>
                <w:b/>
                <w:szCs w:val="22"/>
              </w:rPr>
              <w:t xml:space="preserve">CONSULTATIONS: </w:t>
            </w:r>
          </w:p>
        </w:tc>
        <w:tc>
          <w:tcPr>
            <w:tcW w:w="6480" w:type="dxa"/>
            <w:gridSpan w:val="9"/>
          </w:tcPr>
          <w:p w14:paraId="14E3E0A6" w14:textId="77777777" w:rsidR="00C0704D" w:rsidRPr="008C75E4" w:rsidRDefault="00C0704D" w:rsidP="006126D1">
            <w:pPr>
              <w:jc w:val="both"/>
              <w:rPr>
                <w:rFonts w:ascii="Calibri" w:hAnsi="Calibri"/>
                <w:b/>
                <w:szCs w:val="22"/>
              </w:rPr>
            </w:pPr>
            <w:r w:rsidRPr="008C75E4">
              <w:rPr>
                <w:rFonts w:ascii="Calibri" w:hAnsi="Calibri"/>
                <w:b/>
                <w:szCs w:val="22"/>
              </w:rPr>
              <w:t>Additional Representations.</w:t>
            </w:r>
          </w:p>
        </w:tc>
      </w:tr>
      <w:tr w:rsidR="008C75E4" w:rsidRPr="008C75E4" w14:paraId="78664639" w14:textId="77777777" w:rsidTr="00504440">
        <w:trPr>
          <w:jc w:val="center"/>
        </w:trPr>
        <w:tc>
          <w:tcPr>
            <w:tcW w:w="9555" w:type="dxa"/>
            <w:gridSpan w:val="14"/>
            <w:tcBorders>
              <w:bottom w:val="single" w:sz="4" w:space="0" w:color="BFBFBF" w:themeColor="background1" w:themeShade="BF"/>
            </w:tcBorders>
            <w:tcMar>
              <w:top w:w="57" w:type="dxa"/>
              <w:bottom w:w="57" w:type="dxa"/>
            </w:tcMar>
          </w:tcPr>
          <w:p w14:paraId="51CB1EB7" w14:textId="77777777" w:rsidR="005878FE" w:rsidRPr="00435FC9" w:rsidRDefault="005C4A2E" w:rsidP="00435FC9">
            <w:pPr>
              <w:jc w:val="both"/>
              <w:rPr>
                <w:rFonts w:ascii="Calibri" w:hAnsi="Calibri"/>
                <w:szCs w:val="22"/>
              </w:rPr>
            </w:pPr>
            <w:r>
              <w:rPr>
                <w:rFonts w:ascii="Calibri" w:hAnsi="Calibri"/>
                <w:szCs w:val="22"/>
              </w:rPr>
              <w:t>None received</w:t>
            </w:r>
          </w:p>
        </w:tc>
      </w:tr>
      <w:tr w:rsidR="008C75E4" w:rsidRPr="008C75E4" w14:paraId="678E1EFE" w14:textId="77777777" w:rsidTr="00504440">
        <w:trPr>
          <w:trHeight w:hRule="exact" w:val="144"/>
          <w:jc w:val="center"/>
        </w:trPr>
        <w:tc>
          <w:tcPr>
            <w:tcW w:w="9555" w:type="dxa"/>
            <w:gridSpan w:val="14"/>
            <w:tcBorders>
              <w:left w:val="nil"/>
              <w:right w:val="nil"/>
            </w:tcBorders>
            <w:tcMar>
              <w:top w:w="57" w:type="dxa"/>
              <w:bottom w:w="57" w:type="dxa"/>
            </w:tcMar>
          </w:tcPr>
          <w:p w14:paraId="06A0F2C5" w14:textId="77777777" w:rsidR="00C0704D" w:rsidRPr="00504440" w:rsidRDefault="00C0704D" w:rsidP="006126D1">
            <w:pPr>
              <w:jc w:val="both"/>
              <w:rPr>
                <w:rFonts w:ascii="Calibri" w:hAnsi="Calibri"/>
                <w:sz w:val="4"/>
                <w:szCs w:val="4"/>
              </w:rPr>
            </w:pPr>
          </w:p>
        </w:tc>
      </w:tr>
      <w:tr w:rsidR="008C75E4" w:rsidRPr="008C75E4" w14:paraId="2DA7D96B" w14:textId="77777777" w:rsidTr="00504440">
        <w:trPr>
          <w:jc w:val="center"/>
        </w:trPr>
        <w:tc>
          <w:tcPr>
            <w:tcW w:w="9555" w:type="dxa"/>
            <w:gridSpan w:val="14"/>
            <w:tcMar>
              <w:top w:w="57" w:type="dxa"/>
              <w:bottom w:w="57" w:type="dxa"/>
            </w:tcMar>
          </w:tcPr>
          <w:p w14:paraId="5247F5A7" w14:textId="77777777" w:rsidR="00C0704D" w:rsidRPr="008C75E4" w:rsidRDefault="00C0704D" w:rsidP="006126D1">
            <w:pPr>
              <w:jc w:val="both"/>
              <w:rPr>
                <w:rFonts w:ascii="Calibri" w:hAnsi="Calibri"/>
                <w:b/>
                <w:szCs w:val="22"/>
              </w:rPr>
            </w:pPr>
            <w:r w:rsidRPr="008C75E4">
              <w:rPr>
                <w:rFonts w:ascii="Calibri" w:hAnsi="Calibri"/>
                <w:b/>
                <w:szCs w:val="22"/>
              </w:rPr>
              <w:t>RELEVANT POLICIES:</w:t>
            </w:r>
          </w:p>
        </w:tc>
      </w:tr>
      <w:tr w:rsidR="008C75E4" w:rsidRPr="008C75E4" w14:paraId="377DEFBE" w14:textId="77777777" w:rsidTr="00504440">
        <w:trPr>
          <w:trHeight w:val="864"/>
          <w:jc w:val="center"/>
        </w:trPr>
        <w:tc>
          <w:tcPr>
            <w:tcW w:w="9555" w:type="dxa"/>
            <w:gridSpan w:val="14"/>
            <w:tcMar>
              <w:top w:w="57" w:type="dxa"/>
              <w:bottom w:w="57" w:type="dxa"/>
            </w:tcMar>
          </w:tcPr>
          <w:p w14:paraId="1B4C97DE" w14:textId="77777777" w:rsidR="00B10682" w:rsidRPr="009F2017" w:rsidRDefault="00B10682" w:rsidP="00B10682">
            <w:pPr>
              <w:overflowPunct/>
              <w:autoSpaceDE/>
              <w:autoSpaceDN/>
              <w:adjustRightInd/>
              <w:spacing w:line="480" w:lineRule="auto"/>
              <w:jc w:val="both"/>
              <w:textAlignment w:val="auto"/>
              <w:rPr>
                <w:rFonts w:asciiTheme="minorHAnsi" w:hAnsiTheme="minorHAnsi" w:cs="Arial"/>
                <w:i/>
                <w:iCs/>
                <w:color w:val="000000"/>
                <w:szCs w:val="22"/>
                <w:lang w:eastAsia="en-GB"/>
              </w:rPr>
            </w:pPr>
            <w:proofErr w:type="spellStart"/>
            <w:r w:rsidRPr="009F2017">
              <w:rPr>
                <w:rFonts w:asciiTheme="minorHAnsi" w:hAnsiTheme="minorHAnsi" w:cs="Arial"/>
                <w:i/>
                <w:iCs/>
                <w:color w:val="000000"/>
                <w:szCs w:val="22"/>
                <w:lang w:eastAsia="en-GB"/>
              </w:rPr>
              <w:t>Ribble</w:t>
            </w:r>
            <w:proofErr w:type="spellEnd"/>
            <w:r w:rsidRPr="009F2017">
              <w:rPr>
                <w:rFonts w:asciiTheme="minorHAnsi" w:hAnsiTheme="minorHAnsi" w:cs="Arial"/>
                <w:i/>
                <w:iCs/>
                <w:color w:val="000000"/>
                <w:szCs w:val="22"/>
                <w:lang w:eastAsia="en-GB"/>
              </w:rPr>
              <w:t xml:space="preserve"> Valley Core Strategy: </w:t>
            </w:r>
          </w:p>
          <w:p w14:paraId="646AE9C0" w14:textId="77777777" w:rsidR="00B10682" w:rsidRPr="009F2017" w:rsidRDefault="00B10682" w:rsidP="00B1068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Key Statement EN5 – Heritage Assets </w:t>
            </w:r>
          </w:p>
          <w:p w14:paraId="74965D3D" w14:textId="77777777" w:rsidR="00B10682" w:rsidRPr="009F2017" w:rsidRDefault="00B10682" w:rsidP="00B10682">
            <w:pPr>
              <w:jc w:val="both"/>
              <w:rPr>
                <w:rFonts w:asciiTheme="minorHAnsi" w:hAnsiTheme="minorHAnsi" w:cs="Arial"/>
                <w:bCs/>
                <w:szCs w:val="22"/>
              </w:rPr>
            </w:pPr>
            <w:r w:rsidRPr="009F2017">
              <w:rPr>
                <w:rFonts w:asciiTheme="minorHAnsi" w:hAnsiTheme="minorHAnsi" w:cs="Arial"/>
                <w:bCs/>
                <w:szCs w:val="22"/>
              </w:rPr>
              <w:t>Key Statement EN2 – Landscape</w:t>
            </w:r>
          </w:p>
          <w:p w14:paraId="4783DBFB" w14:textId="77777777" w:rsidR="00B10682" w:rsidRPr="009F2017" w:rsidRDefault="00B10682" w:rsidP="00B1068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DMG1 – General Considerations </w:t>
            </w:r>
          </w:p>
          <w:p w14:paraId="289AF88A" w14:textId="77777777" w:rsidR="00B10682" w:rsidRPr="009F2017" w:rsidRDefault="00B10682" w:rsidP="00B10682">
            <w:pPr>
              <w:overflowPunct/>
              <w:textAlignment w:val="auto"/>
              <w:rPr>
                <w:rFonts w:asciiTheme="minorHAnsi" w:hAnsiTheme="minorHAnsi" w:cs="Arial"/>
                <w:color w:val="000000"/>
                <w:szCs w:val="22"/>
                <w:lang w:eastAsia="en-GB"/>
              </w:rPr>
            </w:pPr>
            <w:r w:rsidRPr="009F2017">
              <w:rPr>
                <w:rFonts w:asciiTheme="minorHAnsi" w:hAnsiTheme="minorHAnsi" w:cs="Arial"/>
                <w:color w:val="000000"/>
                <w:szCs w:val="22"/>
                <w:lang w:eastAsia="en-GB"/>
              </w:rPr>
              <w:t xml:space="preserve">Policy DME4 – Protecting Heritage Assets </w:t>
            </w:r>
          </w:p>
          <w:p w14:paraId="5C3D7D21" w14:textId="77777777" w:rsidR="00B10682" w:rsidRPr="009F2017" w:rsidRDefault="00B10682" w:rsidP="00B10682">
            <w:pPr>
              <w:overflowPunct/>
              <w:textAlignment w:val="auto"/>
              <w:rPr>
                <w:rFonts w:asciiTheme="minorHAnsi" w:eastAsia="Calibri" w:hAnsiTheme="minorHAnsi" w:cs="Arial"/>
                <w:color w:val="000000"/>
                <w:szCs w:val="22"/>
              </w:rPr>
            </w:pPr>
          </w:p>
          <w:p w14:paraId="3DF64144" w14:textId="77777777" w:rsidR="00B10682" w:rsidRPr="009F2017" w:rsidRDefault="00B10682" w:rsidP="00B10682">
            <w:pPr>
              <w:overflowPunct/>
              <w:textAlignment w:val="auto"/>
              <w:rPr>
                <w:rFonts w:asciiTheme="minorHAnsi" w:eastAsia="Calibri" w:hAnsiTheme="minorHAnsi" w:cs="Arial"/>
                <w:color w:val="000000"/>
                <w:szCs w:val="22"/>
              </w:rPr>
            </w:pPr>
            <w:r w:rsidRPr="009F2017">
              <w:rPr>
                <w:rFonts w:asciiTheme="minorHAnsi" w:eastAsia="Calibri" w:hAnsiTheme="minorHAnsi" w:cs="Arial"/>
                <w:color w:val="000000"/>
                <w:szCs w:val="22"/>
              </w:rPr>
              <w:t xml:space="preserve">National Planning Policy Framework (NPPF) </w:t>
            </w:r>
          </w:p>
          <w:p w14:paraId="2B32A539" w14:textId="77777777" w:rsidR="001946E0" w:rsidRDefault="00B10682" w:rsidP="00B10682">
            <w:pPr>
              <w:pStyle w:val="PLANNING"/>
              <w:rPr>
                <w:rFonts w:asciiTheme="minorHAnsi" w:eastAsia="Calibri" w:hAnsiTheme="minorHAnsi" w:cs="Arial"/>
                <w:color w:val="000000"/>
                <w:szCs w:val="22"/>
              </w:rPr>
            </w:pPr>
            <w:r w:rsidRPr="009F2017">
              <w:rPr>
                <w:rFonts w:asciiTheme="minorHAnsi" w:eastAsia="Calibri" w:hAnsiTheme="minorHAnsi" w:cs="Arial"/>
                <w:color w:val="000000"/>
                <w:szCs w:val="22"/>
              </w:rPr>
              <w:t>National Planning Policy Guidance (NPPG)</w:t>
            </w:r>
          </w:p>
          <w:p w14:paraId="50F9352D" w14:textId="77777777" w:rsidR="002A09AF" w:rsidRDefault="002A09AF" w:rsidP="00B10682">
            <w:pPr>
              <w:pStyle w:val="PLANNING"/>
              <w:rPr>
                <w:rFonts w:ascii="Calibri" w:hAnsi="Calibri"/>
                <w:b/>
                <w:szCs w:val="22"/>
              </w:rPr>
            </w:pPr>
          </w:p>
          <w:p w14:paraId="0379E567" w14:textId="77777777" w:rsidR="002A09AF" w:rsidRPr="009F2017" w:rsidRDefault="002A09AF" w:rsidP="002A09AF">
            <w:pPr>
              <w:overflowPunct/>
              <w:autoSpaceDE/>
              <w:autoSpaceDN/>
              <w:adjustRightInd/>
              <w:jc w:val="both"/>
              <w:textAlignment w:val="auto"/>
              <w:rPr>
                <w:rFonts w:asciiTheme="minorHAnsi" w:hAnsiTheme="minorHAnsi" w:cs="Arial"/>
                <w:szCs w:val="22"/>
              </w:rPr>
            </w:pPr>
            <w:r w:rsidRPr="009F2017">
              <w:rPr>
                <w:rFonts w:asciiTheme="minorHAnsi" w:hAnsiTheme="minorHAnsi" w:cs="Arial"/>
                <w:szCs w:val="22"/>
              </w:rPr>
              <w:t>Planning (Listed Buildings and Conservation Areas) Act 1990. ‘Preservat</w:t>
            </w:r>
            <w:r>
              <w:rPr>
                <w:rFonts w:asciiTheme="minorHAnsi" w:hAnsiTheme="minorHAnsi" w:cs="Arial"/>
                <w:szCs w:val="22"/>
              </w:rPr>
              <w:t xml:space="preserve">ion’ in the duties at section 16, 66 and 72 </w:t>
            </w:r>
            <w:r w:rsidRPr="009F2017">
              <w:rPr>
                <w:rFonts w:asciiTheme="minorHAnsi" w:hAnsiTheme="minorHAnsi" w:cs="Arial"/>
                <w:szCs w:val="22"/>
              </w:rPr>
              <w:t>of the Act means “doing no harm to” (</w:t>
            </w:r>
            <w:r w:rsidRPr="009F2017">
              <w:rPr>
                <w:rFonts w:asciiTheme="minorHAnsi" w:hAnsiTheme="minorHAnsi" w:cs="Arial"/>
                <w:i/>
                <w:iCs/>
                <w:szCs w:val="22"/>
              </w:rPr>
              <w:t xml:space="preserve">South Lakeland DC v. Secretary of State for the Environment </w:t>
            </w:r>
            <w:r w:rsidRPr="009F2017">
              <w:rPr>
                <w:rFonts w:asciiTheme="minorHAnsi" w:hAnsiTheme="minorHAnsi" w:cs="Arial"/>
                <w:szCs w:val="22"/>
              </w:rPr>
              <w:t xml:space="preserve">[1992]). </w:t>
            </w:r>
          </w:p>
          <w:p w14:paraId="76626307" w14:textId="77777777" w:rsidR="002A09AF" w:rsidRPr="002A09AF" w:rsidRDefault="002A09AF" w:rsidP="00B10682">
            <w:pPr>
              <w:pStyle w:val="PLANNING"/>
              <w:rPr>
                <w:rFonts w:ascii="Calibri" w:hAnsi="Calibri"/>
                <w:szCs w:val="22"/>
              </w:rPr>
            </w:pPr>
            <w:r w:rsidRPr="002A09AF">
              <w:rPr>
                <w:rFonts w:ascii="Calibri" w:hAnsi="Calibri"/>
                <w:szCs w:val="22"/>
              </w:rPr>
              <w:t>Downham Conservation Area Appraisal</w:t>
            </w:r>
          </w:p>
        </w:tc>
      </w:tr>
      <w:tr w:rsidR="008C75E4" w:rsidRPr="008C75E4" w14:paraId="2C7F9C8A" w14:textId="77777777" w:rsidTr="00504440">
        <w:trPr>
          <w:trHeight w:val="864"/>
          <w:jc w:val="center"/>
        </w:trPr>
        <w:tc>
          <w:tcPr>
            <w:tcW w:w="9555" w:type="dxa"/>
            <w:gridSpan w:val="14"/>
            <w:tcBorders>
              <w:bottom w:val="single" w:sz="4" w:space="0" w:color="BFBFBF" w:themeColor="background1" w:themeShade="BF"/>
            </w:tcBorders>
            <w:tcMar>
              <w:top w:w="57" w:type="dxa"/>
              <w:bottom w:w="57" w:type="dxa"/>
            </w:tcMar>
          </w:tcPr>
          <w:p w14:paraId="75630A96" w14:textId="77777777" w:rsidR="00C0704D" w:rsidRPr="008C75E4" w:rsidRDefault="00C0704D" w:rsidP="006126D1">
            <w:pPr>
              <w:pStyle w:val="PLANNING"/>
              <w:rPr>
                <w:rFonts w:ascii="Calibri" w:hAnsi="Calibri"/>
                <w:b/>
                <w:bCs/>
                <w:szCs w:val="22"/>
              </w:rPr>
            </w:pPr>
            <w:r w:rsidRPr="008C75E4">
              <w:rPr>
                <w:rFonts w:ascii="Calibri" w:hAnsi="Calibri"/>
                <w:b/>
                <w:bCs/>
                <w:szCs w:val="22"/>
              </w:rPr>
              <w:lastRenderedPageBreak/>
              <w:t>Relevant Planning History:</w:t>
            </w:r>
          </w:p>
          <w:p w14:paraId="739A1007" w14:textId="77777777" w:rsidR="00101855" w:rsidRDefault="007A6B09" w:rsidP="00454754">
            <w:pPr>
              <w:pStyle w:val="PLANNING"/>
              <w:rPr>
                <w:rFonts w:ascii="Calibri" w:hAnsi="Calibri"/>
                <w:bCs/>
                <w:szCs w:val="22"/>
              </w:rPr>
            </w:pPr>
            <w:r>
              <w:rPr>
                <w:rFonts w:ascii="Calibri" w:hAnsi="Calibri"/>
                <w:bCs/>
                <w:szCs w:val="22"/>
              </w:rPr>
              <w:t>No pre-application advise has been sought.</w:t>
            </w:r>
          </w:p>
          <w:p w14:paraId="7865E057" w14:textId="77777777" w:rsidR="00AD1A11" w:rsidRDefault="00AD1A11" w:rsidP="00454754">
            <w:pPr>
              <w:pStyle w:val="PLANNING"/>
              <w:rPr>
                <w:rFonts w:ascii="Calibri" w:hAnsi="Calibri"/>
                <w:bCs/>
                <w:szCs w:val="22"/>
              </w:rPr>
            </w:pPr>
          </w:p>
          <w:p w14:paraId="775C56EC" w14:textId="77777777" w:rsidR="00AD1A11" w:rsidRPr="00AD1A11" w:rsidRDefault="00AD1A11" w:rsidP="00454754">
            <w:pPr>
              <w:pStyle w:val="PLANNING"/>
              <w:rPr>
                <w:rFonts w:asciiTheme="minorHAnsi" w:hAnsiTheme="minorHAnsi" w:cstheme="minorHAnsi"/>
                <w:bCs/>
                <w:szCs w:val="22"/>
              </w:rPr>
            </w:pPr>
            <w:r w:rsidRPr="00AD1A11">
              <w:rPr>
                <w:rFonts w:asciiTheme="minorHAnsi" w:hAnsiTheme="minorHAnsi" w:cstheme="minorHAnsi"/>
                <w:bCs/>
                <w:szCs w:val="22"/>
              </w:rPr>
              <w:t xml:space="preserve">3/2021/0039 - </w:t>
            </w:r>
            <w:r w:rsidRPr="00AD1A11">
              <w:rPr>
                <w:rFonts w:asciiTheme="minorHAnsi" w:hAnsiTheme="minorHAnsi" w:cstheme="minorHAnsi"/>
                <w:color w:val="333333"/>
                <w:szCs w:val="22"/>
                <w:shd w:val="clear" w:color="auto" w:fill="FFFFFF"/>
              </w:rPr>
              <w:t>Replacement timber windows, proposed internal works and refurbishments. Under consideration.</w:t>
            </w:r>
          </w:p>
        </w:tc>
      </w:tr>
      <w:tr w:rsidR="008C75E4" w:rsidRPr="008C75E4" w14:paraId="766C5B4E" w14:textId="77777777" w:rsidTr="00504440">
        <w:trPr>
          <w:trHeight w:hRule="exact" w:val="144"/>
          <w:jc w:val="center"/>
        </w:trPr>
        <w:tc>
          <w:tcPr>
            <w:tcW w:w="9555" w:type="dxa"/>
            <w:gridSpan w:val="14"/>
            <w:tcBorders>
              <w:left w:val="nil"/>
              <w:right w:val="nil"/>
            </w:tcBorders>
            <w:tcMar>
              <w:top w:w="57" w:type="dxa"/>
              <w:bottom w:w="57" w:type="dxa"/>
            </w:tcMar>
          </w:tcPr>
          <w:p w14:paraId="36A516E7" w14:textId="77777777" w:rsidR="003F16AA" w:rsidRPr="00504440" w:rsidRDefault="003F16AA" w:rsidP="00504440">
            <w:pPr>
              <w:rPr>
                <w:sz w:val="4"/>
                <w:szCs w:val="4"/>
              </w:rPr>
            </w:pPr>
          </w:p>
        </w:tc>
      </w:tr>
      <w:tr w:rsidR="008C75E4" w:rsidRPr="008C75E4" w14:paraId="7A9338DD" w14:textId="77777777" w:rsidTr="00504440">
        <w:trPr>
          <w:jc w:val="center"/>
        </w:trPr>
        <w:tc>
          <w:tcPr>
            <w:tcW w:w="9555" w:type="dxa"/>
            <w:gridSpan w:val="14"/>
            <w:tcMar>
              <w:top w:w="57" w:type="dxa"/>
              <w:bottom w:w="57" w:type="dxa"/>
            </w:tcMar>
          </w:tcPr>
          <w:p w14:paraId="35F7B2CD" w14:textId="77777777" w:rsidR="00C0704D" w:rsidRPr="008C75E4" w:rsidRDefault="00C0704D" w:rsidP="006126D1">
            <w:pPr>
              <w:jc w:val="both"/>
              <w:rPr>
                <w:rFonts w:ascii="Calibri" w:hAnsi="Calibri"/>
                <w:b/>
                <w:szCs w:val="22"/>
              </w:rPr>
            </w:pPr>
            <w:r w:rsidRPr="008C75E4">
              <w:rPr>
                <w:rFonts w:ascii="Calibri" w:hAnsi="Calibri"/>
                <w:b/>
                <w:bCs/>
                <w:szCs w:val="22"/>
              </w:rPr>
              <w:t>ASSESSMENT OF PROPOSED DEVELOPMENT:</w:t>
            </w:r>
          </w:p>
        </w:tc>
      </w:tr>
      <w:tr w:rsidR="008C75E4" w:rsidRPr="008C75E4" w14:paraId="7D56214A" w14:textId="77777777" w:rsidTr="00504440">
        <w:trPr>
          <w:trHeight w:val="1152"/>
          <w:jc w:val="center"/>
        </w:trPr>
        <w:tc>
          <w:tcPr>
            <w:tcW w:w="9555" w:type="dxa"/>
            <w:gridSpan w:val="14"/>
            <w:tcMar>
              <w:top w:w="57" w:type="dxa"/>
              <w:bottom w:w="57" w:type="dxa"/>
            </w:tcMar>
          </w:tcPr>
          <w:p w14:paraId="7CF960AE" w14:textId="77777777" w:rsidR="00D102D9" w:rsidRDefault="00C0704D" w:rsidP="00454754">
            <w:pPr>
              <w:pStyle w:val="Header"/>
              <w:tabs>
                <w:tab w:val="clear" w:pos="4153"/>
                <w:tab w:val="clear" w:pos="8306"/>
              </w:tabs>
              <w:contextualSpacing/>
              <w:jc w:val="both"/>
              <w:rPr>
                <w:rFonts w:ascii="Calibri" w:hAnsi="Calibri"/>
                <w:b/>
                <w:szCs w:val="22"/>
              </w:rPr>
            </w:pPr>
            <w:r w:rsidRPr="008C75E4">
              <w:rPr>
                <w:rFonts w:ascii="Calibri" w:hAnsi="Calibri"/>
                <w:b/>
                <w:szCs w:val="22"/>
              </w:rPr>
              <w:t>Site Description and Surrounding Area:</w:t>
            </w:r>
          </w:p>
          <w:p w14:paraId="05FEF0B8" w14:textId="77777777" w:rsidR="00071955" w:rsidRDefault="005402E0" w:rsidP="00454754">
            <w:pPr>
              <w:pStyle w:val="Header"/>
              <w:tabs>
                <w:tab w:val="clear" w:pos="4153"/>
                <w:tab w:val="clear" w:pos="8306"/>
              </w:tabs>
              <w:contextualSpacing/>
              <w:jc w:val="both"/>
              <w:rPr>
                <w:rFonts w:asciiTheme="minorHAnsi" w:hAnsiTheme="minorHAnsi" w:cstheme="minorHAnsi"/>
                <w:color w:val="000000"/>
                <w:szCs w:val="22"/>
                <w:shd w:val="clear" w:color="auto" w:fill="FFFFFF"/>
              </w:rPr>
            </w:pPr>
            <w:r w:rsidRPr="005402E0">
              <w:rPr>
                <w:rFonts w:asciiTheme="minorHAnsi" w:hAnsiTheme="minorHAnsi" w:cstheme="minorHAnsi"/>
                <w:szCs w:val="22"/>
              </w:rPr>
              <w:t>‘Back o’ T’ Thorn’ is a Grade II listed (13/2/1967) “</w:t>
            </w:r>
            <w:r w:rsidRPr="005402E0">
              <w:rPr>
                <w:rFonts w:asciiTheme="minorHAnsi" w:hAnsiTheme="minorHAnsi" w:cstheme="minorHAnsi"/>
                <w:color w:val="000000"/>
                <w:szCs w:val="22"/>
                <w:shd w:val="clear" w:color="auto" w:fill="FFFFFF"/>
              </w:rPr>
              <w:t>House, formerly cottages, c.1800” (list description) prominently sited within Downham Conservation Area and the setting of a number of other listed buildings including the adjacent ‘</w:t>
            </w:r>
            <w:proofErr w:type="spellStart"/>
            <w:r w:rsidRPr="005402E0">
              <w:rPr>
                <w:rFonts w:asciiTheme="minorHAnsi" w:hAnsiTheme="minorHAnsi" w:cstheme="minorHAnsi"/>
                <w:color w:val="000000"/>
                <w:szCs w:val="22"/>
                <w:shd w:val="clear" w:color="auto" w:fill="FFFFFF"/>
              </w:rPr>
              <w:t>Greengates</w:t>
            </w:r>
            <w:proofErr w:type="spellEnd"/>
            <w:r w:rsidRPr="005402E0">
              <w:rPr>
                <w:rFonts w:asciiTheme="minorHAnsi" w:hAnsiTheme="minorHAnsi" w:cstheme="minorHAnsi"/>
                <w:color w:val="000000"/>
                <w:szCs w:val="22"/>
                <w:shd w:val="clear" w:color="auto" w:fill="FFFFFF"/>
              </w:rPr>
              <w:t>’ and nearby ‘Fir Tree House’, ’35 Chapel Brow’ and ’36 and 37 Chapel Brow’ (all Grade II).</w:t>
            </w:r>
          </w:p>
          <w:p w14:paraId="20657FEA" w14:textId="77777777" w:rsidR="005402E0" w:rsidRDefault="005402E0" w:rsidP="00454754">
            <w:pPr>
              <w:pStyle w:val="Header"/>
              <w:tabs>
                <w:tab w:val="clear" w:pos="4153"/>
                <w:tab w:val="clear" w:pos="8306"/>
              </w:tabs>
              <w:contextualSpacing/>
              <w:jc w:val="both"/>
              <w:rPr>
                <w:rFonts w:asciiTheme="minorHAnsi" w:hAnsiTheme="minorHAnsi" w:cstheme="minorHAnsi"/>
                <w:szCs w:val="22"/>
              </w:rPr>
            </w:pPr>
          </w:p>
          <w:p w14:paraId="70E8E8E8" w14:textId="77777777" w:rsidR="005402E0" w:rsidRDefault="005D1F2C"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w:t>
            </w:r>
            <w:r w:rsidRPr="0008539D">
              <w:rPr>
                <w:rFonts w:asciiTheme="minorHAnsi" w:hAnsiTheme="minorHAnsi" w:cstheme="minorHAnsi"/>
                <w:szCs w:val="22"/>
                <w:u w:val="single"/>
              </w:rPr>
              <w:t>list description</w:t>
            </w:r>
            <w:r>
              <w:rPr>
                <w:rFonts w:asciiTheme="minorHAnsi" w:hAnsiTheme="minorHAnsi" w:cstheme="minorHAnsi"/>
                <w:szCs w:val="22"/>
              </w:rPr>
              <w:t xml:space="preserve"> identifies:</w:t>
            </w:r>
          </w:p>
          <w:p w14:paraId="323BEF43" w14:textId="77777777" w:rsidR="005D1F2C" w:rsidRDefault="005D1F2C" w:rsidP="00454754">
            <w:pPr>
              <w:pStyle w:val="Header"/>
              <w:tabs>
                <w:tab w:val="clear" w:pos="4153"/>
                <w:tab w:val="clear" w:pos="8306"/>
              </w:tabs>
              <w:contextualSpacing/>
              <w:jc w:val="both"/>
              <w:rPr>
                <w:rFonts w:asciiTheme="minorHAnsi" w:hAnsiTheme="minorHAnsi" w:cstheme="minorHAnsi"/>
                <w:szCs w:val="22"/>
              </w:rPr>
            </w:pPr>
          </w:p>
          <w:p w14:paraId="4056B53B" w14:textId="77777777" w:rsidR="005D1F2C" w:rsidRDefault="005D1F2C" w:rsidP="00454754">
            <w:pPr>
              <w:pStyle w:val="Header"/>
              <w:tabs>
                <w:tab w:val="clear" w:pos="4153"/>
                <w:tab w:val="clear" w:pos="8306"/>
              </w:tabs>
              <w:contextualSpacing/>
              <w:jc w:val="both"/>
              <w:rPr>
                <w:rFonts w:asciiTheme="minorHAnsi" w:hAnsiTheme="minorHAnsi" w:cstheme="minorHAnsi"/>
                <w:szCs w:val="22"/>
                <w:shd w:val="clear" w:color="auto" w:fill="FFFFFF"/>
              </w:rPr>
            </w:pPr>
            <w:r w:rsidRPr="004C6AF4">
              <w:rPr>
                <w:rFonts w:asciiTheme="minorHAnsi" w:hAnsiTheme="minorHAnsi" w:cstheme="minorHAnsi"/>
                <w:szCs w:val="22"/>
              </w:rPr>
              <w:t>“</w:t>
            </w:r>
            <w:r w:rsidRPr="004C6AF4">
              <w:rPr>
                <w:rFonts w:asciiTheme="minorHAnsi" w:hAnsiTheme="minorHAnsi" w:cstheme="minorHAnsi"/>
                <w:szCs w:val="22"/>
                <w:shd w:val="clear" w:color="auto" w:fill="FFFFFF"/>
              </w:rPr>
              <w:t>Windows have plain stone surrounds, those to bays one and 2 being of 2 lights with square mullions”.</w:t>
            </w:r>
          </w:p>
          <w:p w14:paraId="597374BE" w14:textId="77777777" w:rsidR="004C6AF4" w:rsidRDefault="004C6AF4" w:rsidP="00454754">
            <w:pPr>
              <w:pStyle w:val="Header"/>
              <w:tabs>
                <w:tab w:val="clear" w:pos="4153"/>
                <w:tab w:val="clear" w:pos="8306"/>
              </w:tabs>
              <w:contextualSpacing/>
              <w:jc w:val="both"/>
              <w:rPr>
                <w:rFonts w:asciiTheme="minorHAnsi" w:hAnsiTheme="minorHAnsi" w:cstheme="minorHAnsi"/>
                <w:szCs w:val="22"/>
              </w:rPr>
            </w:pPr>
          </w:p>
          <w:p w14:paraId="3D5294D6" w14:textId="77777777" w:rsidR="004C6AF4" w:rsidRDefault="004C6AF4"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w:t>
            </w:r>
            <w:r w:rsidRPr="0008539D">
              <w:rPr>
                <w:rFonts w:asciiTheme="minorHAnsi" w:hAnsiTheme="minorHAnsi" w:cstheme="minorHAnsi"/>
                <w:szCs w:val="22"/>
                <w:u w:val="single"/>
              </w:rPr>
              <w:t>Downham Conservation Area Appraisal</w:t>
            </w:r>
            <w:r>
              <w:rPr>
                <w:rFonts w:asciiTheme="minorHAnsi" w:hAnsiTheme="minorHAnsi" w:cstheme="minorHAnsi"/>
                <w:szCs w:val="22"/>
              </w:rPr>
              <w:t xml:space="preserve"> identifies:</w:t>
            </w:r>
          </w:p>
          <w:p w14:paraId="24249A3B" w14:textId="77777777" w:rsidR="004C6AF4" w:rsidRDefault="004C6AF4" w:rsidP="00454754">
            <w:pPr>
              <w:pStyle w:val="Header"/>
              <w:tabs>
                <w:tab w:val="clear" w:pos="4153"/>
                <w:tab w:val="clear" w:pos="8306"/>
              </w:tabs>
              <w:contextualSpacing/>
              <w:jc w:val="both"/>
              <w:rPr>
                <w:rFonts w:asciiTheme="minorHAnsi" w:hAnsiTheme="minorHAnsi" w:cstheme="minorHAnsi"/>
                <w:szCs w:val="22"/>
              </w:rPr>
            </w:pPr>
          </w:p>
          <w:p w14:paraId="2B3D7DA9" w14:textId="77777777" w:rsidR="004C6AF4" w:rsidRDefault="00615377"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The nearby non-listed buildings to be Buildings of Townscape Merit making a positive contribution to character and appearance.</w:t>
            </w:r>
          </w:p>
          <w:p w14:paraId="710A8705" w14:textId="77777777" w:rsidR="00615377" w:rsidRDefault="00615377" w:rsidP="00454754">
            <w:pPr>
              <w:pStyle w:val="Header"/>
              <w:tabs>
                <w:tab w:val="clear" w:pos="4153"/>
                <w:tab w:val="clear" w:pos="8306"/>
              </w:tabs>
              <w:contextualSpacing/>
              <w:jc w:val="both"/>
              <w:rPr>
                <w:rFonts w:asciiTheme="minorHAnsi" w:hAnsiTheme="minorHAnsi" w:cstheme="minorHAnsi"/>
                <w:szCs w:val="22"/>
              </w:rPr>
            </w:pPr>
          </w:p>
          <w:p w14:paraId="3BEAC7B9" w14:textId="77777777" w:rsidR="00615377" w:rsidRDefault="00AD7E36" w:rsidP="00454754">
            <w:pPr>
              <w:pStyle w:val="Header"/>
              <w:tabs>
                <w:tab w:val="clear" w:pos="4153"/>
                <w:tab w:val="clear" w:pos="8306"/>
              </w:tabs>
              <w:contextualSpacing/>
              <w:jc w:val="both"/>
              <w:rPr>
                <w:rFonts w:asciiTheme="minorHAnsi" w:hAnsiTheme="minorHAnsi" w:cstheme="minorHAnsi"/>
              </w:rPr>
            </w:pPr>
            <w:r w:rsidRPr="00AD7E36">
              <w:rPr>
                <w:rFonts w:asciiTheme="minorHAnsi" w:hAnsiTheme="minorHAnsi" w:cstheme="minorHAnsi"/>
                <w:szCs w:val="22"/>
              </w:rPr>
              <w:t>“</w:t>
            </w:r>
            <w:r w:rsidRPr="00AD7E36">
              <w:rPr>
                <w:rFonts w:asciiTheme="minorHAnsi" w:hAnsiTheme="minorHAnsi" w:cstheme="minorHAnsi"/>
              </w:rPr>
              <w:t>Widespread use of timber joinery for windows and doors” (Summary of special interest).</w:t>
            </w:r>
          </w:p>
          <w:p w14:paraId="38FCD641" w14:textId="77777777" w:rsidR="00AD7E36" w:rsidRDefault="00AD7E36" w:rsidP="00454754">
            <w:pPr>
              <w:pStyle w:val="Header"/>
              <w:tabs>
                <w:tab w:val="clear" w:pos="4153"/>
                <w:tab w:val="clear" w:pos="8306"/>
              </w:tabs>
              <w:contextualSpacing/>
              <w:jc w:val="both"/>
              <w:rPr>
                <w:rFonts w:asciiTheme="minorHAnsi" w:hAnsiTheme="minorHAnsi" w:cstheme="minorHAnsi"/>
                <w:szCs w:val="22"/>
              </w:rPr>
            </w:pPr>
          </w:p>
          <w:p w14:paraId="56B4517B" w14:textId="77777777" w:rsidR="00AD7E36" w:rsidRDefault="00BB5DC8" w:rsidP="00454754">
            <w:pPr>
              <w:pStyle w:val="Header"/>
              <w:tabs>
                <w:tab w:val="clear" w:pos="4153"/>
                <w:tab w:val="clear" w:pos="8306"/>
              </w:tabs>
              <w:contextualSpacing/>
              <w:jc w:val="both"/>
              <w:rPr>
                <w:rFonts w:asciiTheme="minorHAnsi" w:hAnsiTheme="minorHAnsi" w:cstheme="minorHAnsi"/>
              </w:rPr>
            </w:pPr>
            <w:r w:rsidRPr="00BB5DC8">
              <w:rPr>
                <w:rFonts w:asciiTheme="minorHAnsi" w:hAnsiTheme="minorHAnsi" w:cstheme="minorHAnsi"/>
                <w:szCs w:val="22"/>
              </w:rPr>
              <w:t>“</w:t>
            </w:r>
            <w:r w:rsidRPr="00BB5DC8">
              <w:rPr>
                <w:rFonts w:asciiTheme="minorHAnsi" w:hAnsiTheme="minorHAnsi" w:cstheme="minorHAnsi"/>
              </w:rPr>
              <w:t>very little new development in the village and careful management of estate properties, resisting the ubiquitous advance of UPVC joinery, has resulted in a village, and conservation area, of exceptional historic character and appearance” (Origins and historic development).</w:t>
            </w:r>
          </w:p>
          <w:p w14:paraId="5EA6BBAA" w14:textId="77777777" w:rsidR="0008539D" w:rsidRDefault="0008539D" w:rsidP="00454754">
            <w:pPr>
              <w:pStyle w:val="Header"/>
              <w:tabs>
                <w:tab w:val="clear" w:pos="4153"/>
                <w:tab w:val="clear" w:pos="8306"/>
              </w:tabs>
              <w:contextualSpacing/>
              <w:jc w:val="both"/>
              <w:rPr>
                <w:rFonts w:asciiTheme="minorHAnsi" w:hAnsiTheme="minorHAnsi" w:cstheme="minorHAnsi"/>
                <w:szCs w:val="22"/>
              </w:rPr>
            </w:pPr>
          </w:p>
          <w:p w14:paraId="3D7A5CBF" w14:textId="77777777" w:rsidR="0008539D" w:rsidRPr="0008539D" w:rsidRDefault="0008539D" w:rsidP="00454754">
            <w:pPr>
              <w:pStyle w:val="Header"/>
              <w:tabs>
                <w:tab w:val="clear" w:pos="4153"/>
                <w:tab w:val="clear" w:pos="8306"/>
              </w:tabs>
              <w:contextualSpacing/>
              <w:jc w:val="both"/>
              <w:rPr>
                <w:rFonts w:asciiTheme="minorHAnsi" w:hAnsiTheme="minorHAnsi" w:cstheme="minorHAnsi"/>
              </w:rPr>
            </w:pPr>
            <w:r w:rsidRPr="0008539D">
              <w:rPr>
                <w:rFonts w:asciiTheme="minorHAnsi" w:hAnsiTheme="minorHAnsi" w:cstheme="minorHAnsi"/>
                <w:szCs w:val="22"/>
              </w:rPr>
              <w:t>“</w:t>
            </w:r>
            <w:r w:rsidRPr="0008539D">
              <w:rPr>
                <w:rFonts w:asciiTheme="minorHAnsi" w:hAnsiTheme="minorHAnsi" w:cstheme="minorHAnsi"/>
              </w:rPr>
              <w:t xml:space="preserve">Window openings fall into two main types: horizontal rectangular openings divided into sections by stone mullions and vertical rectangular openings. The former </w:t>
            </w:r>
            <w:proofErr w:type="gramStart"/>
            <w:r w:rsidRPr="0008539D">
              <w:rPr>
                <w:rFonts w:asciiTheme="minorHAnsi" w:hAnsiTheme="minorHAnsi" w:cstheme="minorHAnsi"/>
              </w:rPr>
              <w:t>are</w:t>
            </w:r>
            <w:proofErr w:type="gramEnd"/>
            <w:r w:rsidRPr="0008539D">
              <w:rPr>
                <w:rFonts w:asciiTheme="minorHAnsi" w:hAnsiTheme="minorHAnsi" w:cstheme="minorHAnsi"/>
              </w:rPr>
              <w:t xml:space="preserve"> usually earlier in date and have side-hung casement windows, the latter are more suited to sliding sashes.</w:t>
            </w:r>
          </w:p>
          <w:p w14:paraId="1A44EC1F" w14:textId="77777777" w:rsidR="0008539D" w:rsidRPr="0008539D" w:rsidRDefault="0008539D" w:rsidP="00454754">
            <w:pPr>
              <w:pStyle w:val="Header"/>
              <w:tabs>
                <w:tab w:val="clear" w:pos="4153"/>
                <w:tab w:val="clear" w:pos="8306"/>
              </w:tabs>
              <w:contextualSpacing/>
              <w:jc w:val="both"/>
              <w:rPr>
                <w:rFonts w:asciiTheme="minorHAnsi" w:hAnsiTheme="minorHAnsi" w:cstheme="minorHAnsi"/>
              </w:rPr>
            </w:pPr>
          </w:p>
          <w:p w14:paraId="612327D8" w14:textId="77777777" w:rsidR="0008539D" w:rsidRPr="0008539D" w:rsidRDefault="0008539D" w:rsidP="00454754">
            <w:pPr>
              <w:pStyle w:val="Header"/>
              <w:tabs>
                <w:tab w:val="clear" w:pos="4153"/>
                <w:tab w:val="clear" w:pos="8306"/>
              </w:tabs>
              <w:contextualSpacing/>
              <w:jc w:val="both"/>
              <w:rPr>
                <w:rFonts w:asciiTheme="minorHAnsi" w:hAnsiTheme="minorHAnsi" w:cstheme="minorHAnsi"/>
              </w:rPr>
            </w:pPr>
            <w:r w:rsidRPr="0008539D">
              <w:rPr>
                <w:rFonts w:asciiTheme="minorHAnsi" w:hAnsiTheme="minorHAnsi" w:cstheme="minorHAnsi"/>
              </w:rPr>
              <w:t xml:space="preserve">… Fenestration varies but falls into two main types: casements within stone mullions or sliding sashes. The former is mainly to be found in 17th and early 18th century buildings … whilst the latter is common in later 18th and 19th century buildings </w:t>
            </w:r>
          </w:p>
          <w:p w14:paraId="1CBC675B" w14:textId="77777777" w:rsidR="0008539D" w:rsidRPr="0008539D" w:rsidRDefault="0008539D" w:rsidP="00454754">
            <w:pPr>
              <w:pStyle w:val="Header"/>
              <w:tabs>
                <w:tab w:val="clear" w:pos="4153"/>
                <w:tab w:val="clear" w:pos="8306"/>
              </w:tabs>
              <w:contextualSpacing/>
              <w:jc w:val="both"/>
              <w:rPr>
                <w:rFonts w:asciiTheme="minorHAnsi" w:hAnsiTheme="minorHAnsi" w:cstheme="minorHAnsi"/>
              </w:rPr>
            </w:pPr>
          </w:p>
          <w:p w14:paraId="02D5D864" w14:textId="77777777" w:rsidR="0008539D" w:rsidRDefault="0008539D" w:rsidP="00454754">
            <w:pPr>
              <w:pStyle w:val="Header"/>
              <w:tabs>
                <w:tab w:val="clear" w:pos="4153"/>
                <w:tab w:val="clear" w:pos="8306"/>
              </w:tabs>
              <w:contextualSpacing/>
              <w:jc w:val="both"/>
              <w:rPr>
                <w:rFonts w:asciiTheme="minorHAnsi" w:hAnsiTheme="minorHAnsi" w:cstheme="minorHAnsi"/>
              </w:rPr>
            </w:pPr>
            <w:r w:rsidRPr="0008539D">
              <w:rPr>
                <w:rFonts w:asciiTheme="minorHAnsi" w:hAnsiTheme="minorHAnsi" w:cstheme="minorHAnsi"/>
              </w:rPr>
              <w:t xml:space="preserve">… Window and door joinery in the conservation area is exclusively timber. Downham is exceptional for the absence of uPVC joinery. The retention of original, or sensitively replaced, door and window joinery </w:t>
            </w:r>
            <w:proofErr w:type="gramStart"/>
            <w:r w:rsidRPr="0008539D">
              <w:rPr>
                <w:rFonts w:asciiTheme="minorHAnsi" w:hAnsiTheme="minorHAnsi" w:cstheme="minorHAnsi"/>
              </w:rPr>
              <w:t>makes</w:t>
            </w:r>
            <w:proofErr w:type="gramEnd"/>
            <w:r w:rsidRPr="0008539D">
              <w:rPr>
                <w:rFonts w:asciiTheme="minorHAnsi" w:hAnsiTheme="minorHAnsi" w:cstheme="minorHAnsi"/>
              </w:rPr>
              <w:t xml:space="preserve"> a major contribution to the area’s historic character and appearance” (Building methods, materials and local details).</w:t>
            </w:r>
          </w:p>
          <w:p w14:paraId="60DB2EFF" w14:textId="77777777" w:rsidR="0008539D" w:rsidRDefault="0008539D" w:rsidP="00454754">
            <w:pPr>
              <w:pStyle w:val="Header"/>
              <w:tabs>
                <w:tab w:val="clear" w:pos="4153"/>
                <w:tab w:val="clear" w:pos="8306"/>
              </w:tabs>
              <w:contextualSpacing/>
              <w:jc w:val="both"/>
              <w:rPr>
                <w:rFonts w:asciiTheme="minorHAnsi" w:hAnsiTheme="minorHAnsi" w:cstheme="minorHAnsi"/>
                <w:szCs w:val="22"/>
              </w:rPr>
            </w:pPr>
          </w:p>
          <w:p w14:paraId="53A6CF18" w14:textId="77777777" w:rsidR="003A31B6" w:rsidRDefault="003A31B6" w:rsidP="00454754">
            <w:pPr>
              <w:pStyle w:val="Header"/>
              <w:tabs>
                <w:tab w:val="clear" w:pos="4153"/>
                <w:tab w:val="clear" w:pos="8306"/>
              </w:tabs>
              <w:contextualSpacing/>
              <w:jc w:val="both"/>
              <w:rPr>
                <w:rFonts w:asciiTheme="minorHAnsi" w:hAnsiTheme="minorHAnsi" w:cstheme="minorHAnsi"/>
                <w:szCs w:val="22"/>
              </w:rPr>
            </w:pPr>
            <w:r>
              <w:rPr>
                <w:rFonts w:asciiTheme="minorHAnsi" w:hAnsiTheme="minorHAnsi" w:cstheme="minorHAnsi"/>
                <w:szCs w:val="22"/>
              </w:rPr>
              <w:t xml:space="preserve">The submitted </w:t>
            </w:r>
            <w:r w:rsidRPr="00A37CC5">
              <w:rPr>
                <w:rFonts w:asciiTheme="minorHAnsi" w:hAnsiTheme="minorHAnsi" w:cstheme="minorHAnsi"/>
                <w:szCs w:val="22"/>
                <w:u w:val="single"/>
              </w:rPr>
              <w:t>Heritage Appraisal</w:t>
            </w:r>
            <w:r>
              <w:rPr>
                <w:rFonts w:asciiTheme="minorHAnsi" w:hAnsiTheme="minorHAnsi" w:cstheme="minorHAnsi"/>
                <w:szCs w:val="22"/>
              </w:rPr>
              <w:t xml:space="preserve"> identifies:</w:t>
            </w:r>
          </w:p>
          <w:p w14:paraId="4163B01F" w14:textId="77777777" w:rsidR="003A31B6" w:rsidRDefault="003A31B6" w:rsidP="00454754">
            <w:pPr>
              <w:pStyle w:val="Header"/>
              <w:tabs>
                <w:tab w:val="clear" w:pos="4153"/>
                <w:tab w:val="clear" w:pos="8306"/>
              </w:tabs>
              <w:contextualSpacing/>
              <w:jc w:val="both"/>
              <w:rPr>
                <w:rFonts w:asciiTheme="minorHAnsi" w:hAnsiTheme="minorHAnsi" w:cstheme="minorHAnsi"/>
                <w:szCs w:val="22"/>
              </w:rPr>
            </w:pPr>
          </w:p>
          <w:p w14:paraId="28687E63" w14:textId="77777777" w:rsidR="003A31B6" w:rsidRDefault="003A31B6" w:rsidP="00454754">
            <w:pPr>
              <w:pStyle w:val="Header"/>
              <w:tabs>
                <w:tab w:val="clear" w:pos="4153"/>
                <w:tab w:val="clear" w:pos="8306"/>
              </w:tabs>
              <w:contextualSpacing/>
              <w:jc w:val="both"/>
              <w:rPr>
                <w:rFonts w:asciiTheme="minorHAnsi" w:hAnsiTheme="minorHAnsi" w:cstheme="minorHAnsi"/>
              </w:rPr>
            </w:pPr>
            <w:r w:rsidRPr="00A37CC5">
              <w:rPr>
                <w:rFonts w:asciiTheme="minorHAnsi" w:hAnsiTheme="minorHAnsi" w:cstheme="minorHAnsi"/>
                <w:szCs w:val="22"/>
              </w:rPr>
              <w:t>“</w:t>
            </w:r>
            <w:r w:rsidR="00A37CC5" w:rsidRPr="00A37CC5">
              <w:rPr>
                <w:rFonts w:asciiTheme="minorHAnsi" w:hAnsiTheme="minorHAnsi" w:cstheme="minorHAnsi"/>
              </w:rPr>
              <w:t>The row of former cottages is comprised of three single fronted cottage facades, built in coursed and squared limestone, except the end cottage which is in sandstone. Each cottage is divided by a line of dichotomy, with stone quoins, suggesting they were built as three separate phases of construction. Each single fronted façade consists of a single doorway to the left and flanked by a window to the right with a further window directly above. The doorway to the south east end cottage has been infilled with stone. The doors and windows have plain stone surrounds with plain square mullions to the windows. The windows themselves are replacement timber fixed and casement windows” (3.1.1).</w:t>
            </w:r>
          </w:p>
          <w:p w14:paraId="4BC56FBC" w14:textId="77777777" w:rsidR="005F4D01" w:rsidRDefault="005F4D01" w:rsidP="00454754">
            <w:pPr>
              <w:pStyle w:val="Header"/>
              <w:tabs>
                <w:tab w:val="clear" w:pos="4153"/>
                <w:tab w:val="clear" w:pos="8306"/>
              </w:tabs>
              <w:contextualSpacing/>
              <w:jc w:val="both"/>
              <w:rPr>
                <w:rFonts w:asciiTheme="minorHAnsi" w:hAnsiTheme="minorHAnsi" w:cstheme="minorHAnsi"/>
                <w:szCs w:val="22"/>
              </w:rPr>
            </w:pPr>
          </w:p>
          <w:p w14:paraId="705C5BFB" w14:textId="77777777" w:rsidR="005F4D01" w:rsidRDefault="005F4D01" w:rsidP="00454754">
            <w:pPr>
              <w:pStyle w:val="Header"/>
              <w:tabs>
                <w:tab w:val="clear" w:pos="4153"/>
                <w:tab w:val="clear" w:pos="8306"/>
              </w:tabs>
              <w:contextualSpacing/>
              <w:jc w:val="both"/>
              <w:rPr>
                <w:rFonts w:asciiTheme="minorHAnsi" w:hAnsiTheme="minorHAnsi" w:cstheme="minorHAnsi"/>
              </w:rPr>
            </w:pPr>
            <w:r w:rsidRPr="005F4D01">
              <w:rPr>
                <w:rFonts w:asciiTheme="minorHAnsi" w:hAnsiTheme="minorHAnsi" w:cstheme="minorHAnsi"/>
                <w:szCs w:val="22"/>
              </w:rPr>
              <w:t>“</w:t>
            </w:r>
            <w:r w:rsidRPr="005F4D01">
              <w:rPr>
                <w:rFonts w:asciiTheme="minorHAnsi" w:hAnsiTheme="minorHAnsi" w:cstheme="minorHAnsi"/>
              </w:rPr>
              <w:t xml:space="preserve">The buildings’ significance is derived from </w:t>
            </w:r>
            <w:proofErr w:type="gramStart"/>
            <w:r w:rsidRPr="005F4D01">
              <w:rPr>
                <w:rFonts w:asciiTheme="minorHAnsi" w:hAnsiTheme="minorHAnsi" w:cstheme="minorHAnsi"/>
              </w:rPr>
              <w:t>the its</w:t>
            </w:r>
            <w:proofErr w:type="gramEnd"/>
            <w:r w:rsidRPr="005F4D01">
              <w:rPr>
                <w:rFonts w:asciiTheme="minorHAnsi" w:hAnsiTheme="minorHAnsi" w:cstheme="minorHAnsi"/>
              </w:rPr>
              <w:t xml:space="preserve"> inherent special interest which goes beyond its initial reasons for listing, as an example of a modest, two storey cottage. The building, is one of three former cottages that were merged to form one larger dwelling; however, no.24 has since been returned to its </w:t>
            </w:r>
            <w:r w:rsidRPr="005F4D01">
              <w:rPr>
                <w:rFonts w:asciiTheme="minorHAnsi" w:hAnsiTheme="minorHAnsi" w:cstheme="minorHAnsi"/>
              </w:rPr>
              <w:lastRenderedPageBreak/>
              <w:t>state of a single cottage which the remaining two former cottages remain as a single dwelling. The exact time the cottages were merged is uncertain with little evidence to suggest when this occurred” (6.4.1).</w:t>
            </w:r>
          </w:p>
          <w:p w14:paraId="2241A079" w14:textId="77777777" w:rsidR="00BD1D16" w:rsidRDefault="00BD1D16" w:rsidP="00454754">
            <w:pPr>
              <w:pStyle w:val="Header"/>
              <w:tabs>
                <w:tab w:val="clear" w:pos="4153"/>
                <w:tab w:val="clear" w:pos="8306"/>
              </w:tabs>
              <w:contextualSpacing/>
              <w:jc w:val="both"/>
              <w:rPr>
                <w:rFonts w:asciiTheme="minorHAnsi" w:hAnsiTheme="minorHAnsi" w:cstheme="minorHAnsi"/>
                <w:szCs w:val="22"/>
              </w:rPr>
            </w:pPr>
          </w:p>
          <w:p w14:paraId="4AB61833" w14:textId="77777777" w:rsidR="00BD1D16" w:rsidRDefault="00BD1D16" w:rsidP="00454754">
            <w:pPr>
              <w:pStyle w:val="Header"/>
              <w:tabs>
                <w:tab w:val="clear" w:pos="4153"/>
                <w:tab w:val="clear" w:pos="8306"/>
              </w:tabs>
              <w:contextualSpacing/>
              <w:jc w:val="both"/>
              <w:rPr>
                <w:rFonts w:asciiTheme="minorHAnsi" w:hAnsiTheme="minorHAnsi" w:cstheme="minorHAnsi"/>
              </w:rPr>
            </w:pPr>
            <w:r w:rsidRPr="00BD1D16">
              <w:rPr>
                <w:rFonts w:asciiTheme="minorHAnsi" w:hAnsiTheme="minorHAnsi" w:cstheme="minorHAnsi"/>
                <w:szCs w:val="22"/>
              </w:rPr>
              <w:t>“</w:t>
            </w:r>
            <w:r w:rsidRPr="00BD1D16">
              <w:rPr>
                <w:rFonts w:asciiTheme="minorHAnsi" w:hAnsiTheme="minorHAnsi" w:cstheme="minorHAnsi"/>
              </w:rPr>
              <w:t>The existing windows are modern and low quality with the inclusion of with modern glazing. The ground floor window is significantly decayed and there is no incentive to retain the existing windows on account of it being modern. The ground floor and first floor windows are also fixed and do not provide a means of natural ventilation” (Heritage Impact Assessment).</w:t>
            </w:r>
          </w:p>
          <w:p w14:paraId="46CB38FD" w14:textId="77777777" w:rsidR="004446A4" w:rsidRPr="00BD1D16" w:rsidRDefault="004446A4" w:rsidP="00454754">
            <w:pPr>
              <w:pStyle w:val="Header"/>
              <w:tabs>
                <w:tab w:val="clear" w:pos="4153"/>
                <w:tab w:val="clear" w:pos="8306"/>
              </w:tabs>
              <w:contextualSpacing/>
              <w:jc w:val="both"/>
              <w:rPr>
                <w:rFonts w:asciiTheme="minorHAnsi" w:hAnsiTheme="minorHAnsi" w:cstheme="minorHAnsi"/>
                <w:szCs w:val="22"/>
              </w:rPr>
            </w:pPr>
          </w:p>
        </w:tc>
      </w:tr>
      <w:tr w:rsidR="008C75E4" w:rsidRPr="008C75E4" w14:paraId="219CE81F" w14:textId="77777777" w:rsidTr="00504440">
        <w:trPr>
          <w:trHeight w:val="1152"/>
          <w:jc w:val="center"/>
        </w:trPr>
        <w:tc>
          <w:tcPr>
            <w:tcW w:w="9555" w:type="dxa"/>
            <w:gridSpan w:val="14"/>
            <w:tcMar>
              <w:top w:w="57" w:type="dxa"/>
              <w:bottom w:w="57" w:type="dxa"/>
            </w:tcMar>
          </w:tcPr>
          <w:p w14:paraId="6C481CD9" w14:textId="77777777" w:rsidR="00F8201E" w:rsidRDefault="00C0704D" w:rsidP="00454754">
            <w:pPr>
              <w:pStyle w:val="Header"/>
              <w:tabs>
                <w:tab w:val="clear" w:pos="4153"/>
                <w:tab w:val="clear" w:pos="8306"/>
              </w:tabs>
              <w:jc w:val="both"/>
              <w:rPr>
                <w:rFonts w:ascii="Calibri" w:hAnsi="Calibri"/>
                <w:b/>
                <w:szCs w:val="22"/>
              </w:rPr>
            </w:pPr>
            <w:r w:rsidRPr="008C75E4">
              <w:rPr>
                <w:rFonts w:ascii="Calibri" w:hAnsi="Calibri"/>
                <w:b/>
                <w:szCs w:val="22"/>
              </w:rPr>
              <w:lastRenderedPageBreak/>
              <w:t>Proposed Development for which consent is sought:</w:t>
            </w:r>
          </w:p>
          <w:p w14:paraId="2587B289" w14:textId="77777777" w:rsidR="00454754" w:rsidRDefault="00BD1D16" w:rsidP="00454754">
            <w:pPr>
              <w:pStyle w:val="Header"/>
              <w:tabs>
                <w:tab w:val="clear" w:pos="4153"/>
                <w:tab w:val="clear" w:pos="8306"/>
              </w:tabs>
              <w:jc w:val="both"/>
              <w:rPr>
                <w:rFonts w:asciiTheme="minorHAnsi" w:hAnsiTheme="minorHAnsi" w:cstheme="minorHAnsi"/>
              </w:rPr>
            </w:pPr>
            <w:r w:rsidRPr="00BD1D16">
              <w:rPr>
                <w:rFonts w:asciiTheme="minorHAnsi" w:hAnsiTheme="minorHAnsi" w:cstheme="minorHAnsi"/>
              </w:rPr>
              <w:t>The Heritage Impact Assessment identifies “Existing windows to the front of the ground floor living room and first floor bedroom are to be removed and replaced with new openable windows”</w:t>
            </w:r>
            <w:r w:rsidR="003D127D">
              <w:rPr>
                <w:rFonts w:asciiTheme="minorHAnsi" w:hAnsiTheme="minorHAnsi" w:cstheme="minorHAnsi"/>
              </w:rPr>
              <w:t xml:space="preserve"> and “t</w:t>
            </w:r>
            <w:r w:rsidR="003D127D" w:rsidRPr="00BD1D16">
              <w:rPr>
                <w:rFonts w:asciiTheme="minorHAnsi" w:hAnsiTheme="minorHAnsi" w:cstheme="minorHAnsi"/>
              </w:rPr>
              <w:t>he ground floor and first floor windows are also fixed and do not provide a means of natural ventilation”</w:t>
            </w:r>
            <w:r w:rsidRPr="00BD1D16">
              <w:rPr>
                <w:rFonts w:asciiTheme="minorHAnsi" w:hAnsiTheme="minorHAnsi" w:cstheme="minorHAnsi"/>
              </w:rPr>
              <w:t>.</w:t>
            </w:r>
            <w:r w:rsidR="00B95521">
              <w:rPr>
                <w:rFonts w:asciiTheme="minorHAnsi" w:hAnsiTheme="minorHAnsi" w:cstheme="minorHAnsi"/>
              </w:rPr>
              <w:t xml:space="preserve"> The Existing elevation plans </w:t>
            </w:r>
            <w:r w:rsidR="003D127D">
              <w:rPr>
                <w:rFonts w:asciiTheme="minorHAnsi" w:hAnsiTheme="minorHAnsi" w:cstheme="minorHAnsi"/>
              </w:rPr>
              <w:t xml:space="preserve">(showing side-opening casements) are </w:t>
            </w:r>
            <w:r w:rsidR="00B95521">
              <w:rPr>
                <w:rFonts w:asciiTheme="minorHAnsi" w:hAnsiTheme="minorHAnsi" w:cstheme="minorHAnsi"/>
              </w:rPr>
              <w:t>incorrect.</w:t>
            </w:r>
          </w:p>
          <w:p w14:paraId="61D8F56E" w14:textId="77777777" w:rsidR="00B83977" w:rsidRDefault="00B83977" w:rsidP="00454754">
            <w:pPr>
              <w:pStyle w:val="Header"/>
              <w:tabs>
                <w:tab w:val="clear" w:pos="4153"/>
                <w:tab w:val="clear" w:pos="8306"/>
              </w:tabs>
              <w:jc w:val="both"/>
              <w:rPr>
                <w:rFonts w:asciiTheme="minorHAnsi" w:hAnsiTheme="minorHAnsi" w:cstheme="minorHAnsi"/>
                <w:szCs w:val="22"/>
              </w:rPr>
            </w:pPr>
          </w:p>
          <w:p w14:paraId="5B4C579F" w14:textId="77777777" w:rsidR="00B83977" w:rsidRDefault="00B83977" w:rsidP="00454754">
            <w:pPr>
              <w:pStyle w:val="Header"/>
              <w:tabs>
                <w:tab w:val="clear" w:pos="4153"/>
                <w:tab w:val="clear" w:pos="8306"/>
              </w:tabs>
              <w:jc w:val="both"/>
              <w:rPr>
                <w:rFonts w:asciiTheme="minorHAnsi" w:hAnsiTheme="minorHAnsi" w:cstheme="minorHAnsi"/>
                <w:szCs w:val="22"/>
              </w:rPr>
            </w:pPr>
            <w:r>
              <w:rPr>
                <w:rFonts w:asciiTheme="minorHAnsi" w:hAnsiTheme="minorHAnsi" w:cstheme="minorHAnsi"/>
                <w:szCs w:val="22"/>
              </w:rPr>
              <w:t>The incorporation of opening windows results in a wider outer frame and some resulting change in proportion of glass panes.</w:t>
            </w:r>
          </w:p>
          <w:p w14:paraId="1ACA66B9" w14:textId="77777777" w:rsidR="00272696" w:rsidRDefault="00272696" w:rsidP="00454754">
            <w:pPr>
              <w:pStyle w:val="Header"/>
              <w:tabs>
                <w:tab w:val="clear" w:pos="4153"/>
                <w:tab w:val="clear" w:pos="8306"/>
              </w:tabs>
              <w:jc w:val="both"/>
              <w:rPr>
                <w:rFonts w:asciiTheme="minorHAnsi" w:hAnsiTheme="minorHAnsi" w:cstheme="minorHAnsi"/>
                <w:szCs w:val="22"/>
              </w:rPr>
            </w:pPr>
          </w:p>
          <w:p w14:paraId="61D399A0" w14:textId="77777777" w:rsidR="00272696" w:rsidRDefault="00272696" w:rsidP="00272696">
            <w:pPr>
              <w:pStyle w:val="Header"/>
              <w:tabs>
                <w:tab w:val="clear" w:pos="4153"/>
                <w:tab w:val="clear" w:pos="8306"/>
              </w:tabs>
              <w:jc w:val="both"/>
              <w:rPr>
                <w:rFonts w:asciiTheme="minorHAnsi" w:hAnsiTheme="minorHAnsi" w:cstheme="minorHAnsi"/>
              </w:rPr>
            </w:pPr>
            <w:r w:rsidRPr="000F62F3">
              <w:rPr>
                <w:rFonts w:asciiTheme="minorHAnsi" w:hAnsiTheme="minorHAnsi" w:cstheme="minorHAnsi"/>
                <w:szCs w:val="22"/>
              </w:rPr>
              <w:t xml:space="preserve">The agent identified </w:t>
            </w:r>
            <w:r>
              <w:rPr>
                <w:rFonts w:asciiTheme="minorHAnsi" w:hAnsiTheme="minorHAnsi" w:cstheme="minorHAnsi"/>
                <w:szCs w:val="22"/>
              </w:rPr>
              <w:t xml:space="preserve">on </w:t>
            </w:r>
            <w:r w:rsidRPr="000F62F3">
              <w:rPr>
                <w:rFonts w:asciiTheme="minorHAnsi" w:hAnsiTheme="minorHAnsi" w:cstheme="minorHAnsi"/>
                <w:szCs w:val="22"/>
              </w:rPr>
              <w:t xml:space="preserve">19 January 2021 </w:t>
            </w:r>
            <w:r>
              <w:rPr>
                <w:rFonts w:asciiTheme="minorHAnsi" w:hAnsiTheme="minorHAnsi" w:cstheme="minorHAnsi"/>
                <w:szCs w:val="22"/>
              </w:rPr>
              <w:t>[in response to the case officer’s enquiry</w:t>
            </w:r>
            <w:r>
              <w:rPr>
                <w:lang w:eastAsia="en-GB"/>
              </w:rPr>
              <w:t xml:space="preserve"> </w:t>
            </w:r>
            <w:r w:rsidRPr="00272696">
              <w:rPr>
                <w:rFonts w:asciiTheme="minorHAnsi" w:hAnsiTheme="minorHAnsi" w:cstheme="minorHAnsi"/>
                <w:lang w:eastAsia="en-GB"/>
              </w:rPr>
              <w:t>“the submitted Heritage Statement identifies that existing windows are ‘replacement’ but does not confirm how old the replacements are and whether they match the original windows or not (historic photos?)”],</w:t>
            </w:r>
            <w:r>
              <w:rPr>
                <w:rFonts w:asciiTheme="minorHAnsi" w:hAnsiTheme="minorHAnsi" w:cstheme="minorHAnsi"/>
                <w:szCs w:val="22"/>
              </w:rPr>
              <w:t xml:space="preserve"> </w:t>
            </w:r>
            <w:r w:rsidRPr="000F62F3">
              <w:rPr>
                <w:rFonts w:asciiTheme="minorHAnsi" w:hAnsiTheme="minorHAnsi" w:cstheme="minorHAnsi"/>
                <w:szCs w:val="22"/>
              </w:rPr>
              <w:t>that due to Covid, historical research into the building ha</w:t>
            </w:r>
            <w:r>
              <w:rPr>
                <w:rFonts w:asciiTheme="minorHAnsi" w:hAnsiTheme="minorHAnsi" w:cstheme="minorHAnsi"/>
                <w:szCs w:val="22"/>
              </w:rPr>
              <w:t>d</w:t>
            </w:r>
            <w:r w:rsidRPr="000F62F3">
              <w:rPr>
                <w:rFonts w:asciiTheme="minorHAnsi" w:hAnsiTheme="minorHAnsi" w:cstheme="minorHAnsi"/>
                <w:szCs w:val="22"/>
              </w:rPr>
              <w:t xml:space="preserve"> been limited. The Heritage Appraisal HIA states “</w:t>
            </w:r>
            <w:r w:rsidRPr="000F62F3">
              <w:rPr>
                <w:rFonts w:asciiTheme="minorHAnsi" w:hAnsiTheme="minorHAnsi" w:cstheme="minorHAnsi"/>
              </w:rPr>
              <w:t>Details of the new windows are to be submitted to the local planning authority prior to its installation to ensure suitability and mitigate harm”.</w:t>
            </w:r>
          </w:p>
          <w:p w14:paraId="0DB987D6" w14:textId="77777777" w:rsidR="00272696" w:rsidRPr="00BD1D16" w:rsidRDefault="00272696" w:rsidP="00454754">
            <w:pPr>
              <w:pStyle w:val="Header"/>
              <w:tabs>
                <w:tab w:val="clear" w:pos="4153"/>
                <w:tab w:val="clear" w:pos="8306"/>
              </w:tabs>
              <w:jc w:val="both"/>
              <w:rPr>
                <w:rFonts w:asciiTheme="minorHAnsi" w:hAnsiTheme="minorHAnsi" w:cstheme="minorHAnsi"/>
                <w:szCs w:val="22"/>
              </w:rPr>
            </w:pPr>
          </w:p>
        </w:tc>
      </w:tr>
      <w:tr w:rsidR="00C214A6" w:rsidRPr="008C75E4" w14:paraId="49514738" w14:textId="77777777" w:rsidTr="00504440">
        <w:trPr>
          <w:trHeight w:val="864"/>
          <w:jc w:val="center"/>
        </w:trPr>
        <w:tc>
          <w:tcPr>
            <w:tcW w:w="9555" w:type="dxa"/>
            <w:gridSpan w:val="14"/>
            <w:tcMar>
              <w:top w:w="57" w:type="dxa"/>
              <w:bottom w:w="57" w:type="dxa"/>
            </w:tcMar>
          </w:tcPr>
          <w:p w14:paraId="1B81BCC3" w14:textId="77777777" w:rsidR="006D7624" w:rsidRDefault="00915470" w:rsidP="006D7624">
            <w:pPr>
              <w:pStyle w:val="Header"/>
              <w:jc w:val="both"/>
              <w:rPr>
                <w:rFonts w:ascii="Calibri" w:hAnsi="Calibri"/>
                <w:b/>
                <w:szCs w:val="22"/>
              </w:rPr>
            </w:pPr>
            <w:r>
              <w:rPr>
                <w:rFonts w:ascii="Calibri" w:hAnsi="Calibri"/>
                <w:b/>
                <w:szCs w:val="22"/>
              </w:rPr>
              <w:t>Impact upon the special architectural and historic interest of the listed building, the setting of listed buildings, the character and appearance of Downham Conservation Area and the cultural heritage of the Forest of Bowland AONB</w:t>
            </w:r>
            <w:r w:rsidR="006D7624" w:rsidRPr="006D7624">
              <w:rPr>
                <w:rFonts w:ascii="Calibri" w:hAnsi="Calibri"/>
                <w:b/>
                <w:szCs w:val="22"/>
              </w:rPr>
              <w:t>:</w:t>
            </w:r>
          </w:p>
          <w:p w14:paraId="5B3353F6" w14:textId="77777777" w:rsidR="00272696" w:rsidRDefault="00272696" w:rsidP="006D7624">
            <w:pPr>
              <w:pStyle w:val="Header"/>
              <w:jc w:val="both"/>
              <w:rPr>
                <w:rFonts w:ascii="Calibri" w:hAnsi="Calibri"/>
                <w:b/>
                <w:szCs w:val="22"/>
              </w:rPr>
            </w:pPr>
          </w:p>
          <w:p w14:paraId="5B28FD60" w14:textId="77777777" w:rsidR="00024D49" w:rsidRPr="00404937" w:rsidRDefault="00024D49" w:rsidP="006D7624">
            <w:pPr>
              <w:pStyle w:val="Header"/>
              <w:jc w:val="both"/>
              <w:rPr>
                <w:rFonts w:asciiTheme="minorHAnsi" w:hAnsiTheme="minorHAnsi" w:cstheme="minorHAnsi"/>
                <w:szCs w:val="22"/>
              </w:rPr>
            </w:pPr>
            <w:r w:rsidRPr="00404937">
              <w:rPr>
                <w:rFonts w:asciiTheme="minorHAnsi" w:hAnsiTheme="minorHAnsi" w:cstheme="minorHAnsi"/>
                <w:szCs w:val="22"/>
              </w:rPr>
              <w:t>Presumably</w:t>
            </w:r>
            <w:r w:rsidR="00404937" w:rsidRPr="00404937">
              <w:rPr>
                <w:rFonts w:asciiTheme="minorHAnsi" w:hAnsiTheme="minorHAnsi" w:cstheme="minorHAnsi"/>
                <w:szCs w:val="22"/>
              </w:rPr>
              <w:t xml:space="preserve"> planning permission is sought for replacement windows because of the applicant’s interpretation of </w:t>
            </w:r>
            <w:r w:rsidR="00404937" w:rsidRPr="00404937">
              <w:rPr>
                <w:rFonts w:asciiTheme="minorHAnsi" w:hAnsiTheme="minorHAnsi" w:cstheme="minorHAnsi"/>
              </w:rPr>
              <w:t>Condition A3 (a) of Schedule 2 Part 1 Class A of the GPDO and the associated Technical Guidance.</w:t>
            </w:r>
          </w:p>
          <w:p w14:paraId="4E8D3320" w14:textId="77777777" w:rsidR="00024D49" w:rsidRDefault="00024D49" w:rsidP="006D7624">
            <w:pPr>
              <w:pStyle w:val="Header"/>
              <w:jc w:val="both"/>
              <w:rPr>
                <w:rFonts w:ascii="Calibri" w:hAnsi="Calibri"/>
                <w:b/>
                <w:szCs w:val="22"/>
              </w:rPr>
            </w:pPr>
          </w:p>
          <w:p w14:paraId="19EF3801" w14:textId="77777777" w:rsidR="00272696" w:rsidRDefault="00272696" w:rsidP="006D7624">
            <w:pPr>
              <w:pStyle w:val="Header"/>
              <w:jc w:val="both"/>
              <w:rPr>
                <w:rFonts w:ascii="Calibri" w:hAnsi="Calibri"/>
                <w:szCs w:val="22"/>
              </w:rPr>
            </w:pPr>
            <w:r w:rsidRPr="00272696">
              <w:rPr>
                <w:rFonts w:ascii="Calibri" w:hAnsi="Calibri"/>
                <w:szCs w:val="22"/>
              </w:rPr>
              <w:t xml:space="preserve">The principle of replacement (rather than repair) of the modern fixed windows </w:t>
            </w:r>
            <w:r>
              <w:rPr>
                <w:rFonts w:ascii="Calibri" w:hAnsi="Calibri"/>
                <w:szCs w:val="22"/>
              </w:rPr>
              <w:t xml:space="preserve">and the incorporation of </w:t>
            </w:r>
            <w:r w:rsidRPr="00272696">
              <w:rPr>
                <w:rFonts w:ascii="Calibri" w:hAnsi="Calibri"/>
                <w:szCs w:val="22"/>
              </w:rPr>
              <w:t>opening casements is acceptable. Mindful of the</w:t>
            </w:r>
            <w:r w:rsidR="00CA4642">
              <w:rPr>
                <w:rFonts w:ascii="Calibri" w:hAnsi="Calibri"/>
                <w:szCs w:val="22"/>
              </w:rPr>
              <w:t xml:space="preserve"> Heritage Appraisal’s identification of the</w:t>
            </w:r>
            <w:r w:rsidRPr="00272696">
              <w:rPr>
                <w:rFonts w:ascii="Calibri" w:hAnsi="Calibri"/>
                <w:szCs w:val="22"/>
              </w:rPr>
              <w:t xml:space="preserve"> closure of record depositories and libraries </w:t>
            </w:r>
            <w:r w:rsidR="00CA4642">
              <w:rPr>
                <w:rFonts w:ascii="Calibri" w:hAnsi="Calibri"/>
                <w:szCs w:val="22"/>
              </w:rPr>
              <w:t>before application submission</w:t>
            </w:r>
            <w:r w:rsidRPr="00272696">
              <w:rPr>
                <w:rFonts w:ascii="Calibri" w:hAnsi="Calibri"/>
                <w:szCs w:val="22"/>
              </w:rPr>
              <w:t xml:space="preserve"> (limiting research into the historic window type for this building) it is suggested that conditions be attached to allow for any design amendments following this research. </w:t>
            </w:r>
          </w:p>
          <w:p w14:paraId="09444EFD" w14:textId="77777777" w:rsidR="000564F4" w:rsidRDefault="000564F4" w:rsidP="006D7624">
            <w:pPr>
              <w:pStyle w:val="Header"/>
              <w:jc w:val="both"/>
              <w:rPr>
                <w:rFonts w:ascii="Calibri" w:hAnsi="Calibri"/>
                <w:szCs w:val="22"/>
              </w:rPr>
            </w:pPr>
          </w:p>
          <w:p w14:paraId="1C970479" w14:textId="77777777" w:rsidR="000564F4" w:rsidRDefault="000564F4" w:rsidP="006D7624">
            <w:pPr>
              <w:pStyle w:val="Header"/>
              <w:jc w:val="both"/>
              <w:rPr>
                <w:rFonts w:ascii="Calibri" w:hAnsi="Calibri"/>
                <w:szCs w:val="22"/>
              </w:rPr>
            </w:pPr>
            <w:r>
              <w:rPr>
                <w:rFonts w:ascii="Calibri" w:hAnsi="Calibri"/>
                <w:szCs w:val="22"/>
              </w:rPr>
              <w:t>The Downham Conservation Area Management Guidance identifies:</w:t>
            </w:r>
          </w:p>
          <w:p w14:paraId="68935126" w14:textId="77777777" w:rsidR="000564F4" w:rsidRDefault="000564F4" w:rsidP="006D7624">
            <w:pPr>
              <w:pStyle w:val="Header"/>
              <w:jc w:val="both"/>
              <w:rPr>
                <w:rFonts w:ascii="Calibri" w:hAnsi="Calibri"/>
                <w:szCs w:val="22"/>
              </w:rPr>
            </w:pPr>
          </w:p>
          <w:p w14:paraId="769D0BAC" w14:textId="77777777" w:rsidR="000564F4" w:rsidRDefault="000564F4" w:rsidP="006D7624">
            <w:pPr>
              <w:pStyle w:val="Header"/>
              <w:jc w:val="both"/>
              <w:rPr>
                <w:rFonts w:asciiTheme="minorHAnsi" w:hAnsiTheme="minorHAnsi" w:cstheme="minorHAnsi"/>
              </w:rPr>
            </w:pPr>
            <w:r w:rsidRPr="00783DA7">
              <w:rPr>
                <w:rFonts w:asciiTheme="minorHAnsi" w:hAnsiTheme="minorHAnsi" w:cstheme="minorHAnsi"/>
                <w:szCs w:val="22"/>
              </w:rPr>
              <w:t xml:space="preserve">“Windows </w:t>
            </w:r>
            <w:r w:rsidR="00783DA7" w:rsidRPr="00783DA7">
              <w:rPr>
                <w:rFonts w:asciiTheme="minorHAnsi" w:hAnsiTheme="minorHAnsi" w:cstheme="minorHAnsi"/>
                <w:szCs w:val="22"/>
              </w:rPr>
              <w:t>… a</w:t>
            </w:r>
            <w:r w:rsidRPr="00783DA7">
              <w:rPr>
                <w:rFonts w:asciiTheme="minorHAnsi" w:hAnsiTheme="minorHAnsi" w:cstheme="minorHAnsi"/>
              </w:rPr>
              <w:t>s a rule, windows in historic buildings should be repaired, or if beyond repair should be replaced 'like for like'. It is important that the design, scale and proportion of new windows should be sympathetic to the character of the building. Glazing bars in old buildings are invariably moulded and slender. Over time, the thickness and moulding of glazing bars, the size and arrangement of panes and other historic window details varied. Care is therefore needed in the repair and replacement of historic windows to ensure works are ‘honest’ and not historically misleading. Details should be appropriate to the date of the building or to the date when the window aperture was made</w:t>
            </w:r>
            <w:r w:rsidR="00783DA7">
              <w:rPr>
                <w:rFonts w:asciiTheme="minorHAnsi" w:hAnsiTheme="minorHAnsi" w:cstheme="minorHAnsi"/>
              </w:rPr>
              <w:t>”</w:t>
            </w:r>
            <w:r w:rsidRPr="00783DA7">
              <w:rPr>
                <w:rFonts w:asciiTheme="minorHAnsi" w:hAnsiTheme="minorHAnsi" w:cstheme="minorHAnsi"/>
              </w:rPr>
              <w:t>.</w:t>
            </w:r>
          </w:p>
          <w:p w14:paraId="01D5C2C5" w14:textId="77777777" w:rsidR="000B2BBA" w:rsidRDefault="000B2BBA" w:rsidP="006D7624">
            <w:pPr>
              <w:pStyle w:val="Header"/>
              <w:jc w:val="both"/>
              <w:rPr>
                <w:rFonts w:asciiTheme="minorHAnsi" w:hAnsiTheme="minorHAnsi" w:cstheme="minorHAnsi"/>
                <w:szCs w:val="22"/>
              </w:rPr>
            </w:pPr>
          </w:p>
          <w:p w14:paraId="009DA7A8" w14:textId="77777777" w:rsidR="000B2BBA" w:rsidRPr="000B2BBA" w:rsidRDefault="000B2BBA" w:rsidP="006D7624">
            <w:pPr>
              <w:pStyle w:val="Header"/>
              <w:jc w:val="both"/>
              <w:rPr>
                <w:rFonts w:asciiTheme="minorHAnsi" w:hAnsiTheme="minorHAnsi" w:cstheme="minorHAnsi"/>
              </w:rPr>
            </w:pPr>
            <w:r w:rsidRPr="000B2BBA">
              <w:rPr>
                <w:rFonts w:asciiTheme="minorHAnsi" w:hAnsiTheme="minorHAnsi" w:cstheme="minorHAnsi"/>
              </w:rPr>
              <w:t>Historic England ‘Traditional windows: their care, repair and upgrading’ (Historic England, 2017) identifies:</w:t>
            </w:r>
          </w:p>
          <w:p w14:paraId="3B359254" w14:textId="77777777" w:rsidR="000B2BBA" w:rsidRPr="000B2BBA" w:rsidRDefault="000B2BBA" w:rsidP="006D7624">
            <w:pPr>
              <w:pStyle w:val="Header"/>
              <w:jc w:val="both"/>
              <w:rPr>
                <w:rFonts w:asciiTheme="minorHAnsi" w:hAnsiTheme="minorHAnsi" w:cstheme="minorHAnsi"/>
                <w:szCs w:val="22"/>
              </w:rPr>
            </w:pPr>
          </w:p>
          <w:p w14:paraId="113B7721" w14:textId="77777777" w:rsidR="000B2BBA" w:rsidRPr="000B2BBA" w:rsidRDefault="000B2BBA" w:rsidP="006D7624">
            <w:pPr>
              <w:pStyle w:val="Header"/>
              <w:jc w:val="both"/>
              <w:rPr>
                <w:rFonts w:asciiTheme="minorHAnsi" w:hAnsiTheme="minorHAnsi" w:cstheme="minorHAnsi"/>
                <w:szCs w:val="22"/>
              </w:rPr>
            </w:pPr>
            <w:r w:rsidRPr="000B2BBA">
              <w:rPr>
                <w:rFonts w:asciiTheme="minorHAnsi" w:hAnsiTheme="minorHAnsi" w:cstheme="minorHAnsi"/>
                <w:szCs w:val="22"/>
              </w:rPr>
              <w:t>“</w:t>
            </w:r>
            <w:r w:rsidRPr="000B2BBA">
              <w:rPr>
                <w:rFonts w:asciiTheme="minorHAnsi" w:hAnsiTheme="minorHAnsi" w:cstheme="minorHAnsi"/>
              </w:rPr>
              <w:t xml:space="preserve">Where a window that diminishes the significance of the building, such as a </w:t>
            </w:r>
            <w:proofErr w:type="spellStart"/>
            <w:r w:rsidRPr="000B2BBA">
              <w:rPr>
                <w:rFonts w:asciiTheme="minorHAnsi" w:hAnsiTheme="minorHAnsi" w:cstheme="minorHAnsi"/>
              </w:rPr>
              <w:t>PVCu</w:t>
            </w:r>
            <w:proofErr w:type="spellEnd"/>
            <w:r w:rsidRPr="000B2BBA">
              <w:rPr>
                <w:rFonts w:asciiTheme="minorHAnsi" w:hAnsiTheme="minorHAnsi" w:cstheme="minorHAnsi"/>
              </w:rPr>
              <w:t xml:space="preserve"> window or an ‘off the peg’ timber window of an inappropriate pattern, is to be replaced the new window should be designed to be in keeping with the period and architectural style of the building. It may be possible to base the </w:t>
            </w:r>
            <w:r w:rsidRPr="000B2BBA">
              <w:rPr>
                <w:rFonts w:asciiTheme="minorHAnsi" w:hAnsiTheme="minorHAnsi" w:cstheme="minorHAnsi"/>
              </w:rPr>
              <w:lastRenderedPageBreak/>
              <w:t>design on windows that survive elsewhere in the building or it may be necessary to look for examples in other buildings of the same period and style close by” (5.2).</w:t>
            </w:r>
          </w:p>
          <w:p w14:paraId="3155F2D3" w14:textId="77777777" w:rsidR="00272696" w:rsidRPr="000F62F3" w:rsidRDefault="00272696" w:rsidP="00272696">
            <w:pPr>
              <w:pStyle w:val="Header"/>
              <w:tabs>
                <w:tab w:val="clear" w:pos="4153"/>
                <w:tab w:val="clear" w:pos="8306"/>
              </w:tabs>
              <w:jc w:val="both"/>
              <w:rPr>
                <w:rFonts w:asciiTheme="minorHAnsi" w:hAnsiTheme="minorHAnsi" w:cstheme="minorHAnsi"/>
                <w:szCs w:val="22"/>
              </w:rPr>
            </w:pPr>
          </w:p>
        </w:tc>
      </w:tr>
      <w:tr w:rsidR="008C75E4" w:rsidRPr="008C75E4" w14:paraId="2C742F41" w14:textId="77777777" w:rsidTr="00504440">
        <w:trPr>
          <w:trHeight w:val="864"/>
          <w:jc w:val="center"/>
        </w:trPr>
        <w:tc>
          <w:tcPr>
            <w:tcW w:w="9555" w:type="dxa"/>
            <w:gridSpan w:val="14"/>
            <w:tcMar>
              <w:top w:w="57" w:type="dxa"/>
              <w:bottom w:w="57" w:type="dxa"/>
            </w:tcMar>
          </w:tcPr>
          <w:p w14:paraId="4E25FC85" w14:textId="77777777" w:rsidR="00C0704D" w:rsidRPr="008C75E4" w:rsidRDefault="00C0704D" w:rsidP="006126D1">
            <w:pPr>
              <w:contextualSpacing/>
              <w:jc w:val="both"/>
              <w:rPr>
                <w:rFonts w:ascii="Calibri" w:hAnsi="Calibri"/>
                <w:b/>
                <w:bCs/>
                <w:szCs w:val="22"/>
              </w:rPr>
            </w:pPr>
            <w:r w:rsidRPr="008C75E4">
              <w:rPr>
                <w:rFonts w:ascii="Calibri" w:hAnsi="Calibri"/>
                <w:b/>
                <w:bCs/>
                <w:szCs w:val="22"/>
              </w:rPr>
              <w:lastRenderedPageBreak/>
              <w:t>Observations/Consideration of Matters Raised/Conclusion:</w:t>
            </w:r>
          </w:p>
          <w:p w14:paraId="2255579B" w14:textId="77777777" w:rsidR="00C97373" w:rsidRDefault="00C97373" w:rsidP="00C97373">
            <w:pPr>
              <w:jc w:val="both"/>
              <w:rPr>
                <w:rFonts w:ascii="Calibri" w:hAnsi="Calibri"/>
                <w:b/>
                <w:bCs/>
                <w:szCs w:val="22"/>
              </w:rPr>
            </w:pPr>
            <w:r>
              <w:rPr>
                <w:rFonts w:ascii="Calibri" w:hAnsi="Calibri"/>
                <w:szCs w:val="22"/>
              </w:rPr>
              <w:t>Therefore, in giving considerable importance and weight to the dut</w:t>
            </w:r>
            <w:r w:rsidR="00272696">
              <w:rPr>
                <w:rFonts w:ascii="Calibri" w:hAnsi="Calibri"/>
                <w:szCs w:val="22"/>
              </w:rPr>
              <w:t>ies</w:t>
            </w:r>
            <w:r>
              <w:rPr>
                <w:rFonts w:ascii="Calibri" w:hAnsi="Calibri"/>
                <w:szCs w:val="22"/>
              </w:rPr>
              <w:t xml:space="preserve"> at section </w:t>
            </w:r>
            <w:r w:rsidR="00B10682">
              <w:rPr>
                <w:rFonts w:ascii="Calibri" w:hAnsi="Calibri"/>
                <w:szCs w:val="22"/>
              </w:rPr>
              <w:t>6</w:t>
            </w:r>
            <w:r>
              <w:rPr>
                <w:rFonts w:ascii="Calibri" w:hAnsi="Calibri"/>
                <w:szCs w:val="22"/>
              </w:rPr>
              <w:t>6</w:t>
            </w:r>
            <w:r w:rsidR="00272696">
              <w:rPr>
                <w:rFonts w:ascii="Calibri" w:hAnsi="Calibri"/>
                <w:szCs w:val="22"/>
              </w:rPr>
              <w:t>, 16 and 72</w:t>
            </w:r>
            <w:r>
              <w:rPr>
                <w:rFonts w:ascii="Calibri" w:hAnsi="Calibri"/>
                <w:szCs w:val="22"/>
              </w:rPr>
              <w:t xml:space="preserve"> of the Planning (Listed Buildings and Conservation Areas) Act 1990</w:t>
            </w:r>
            <w:r w:rsidR="00272696">
              <w:rPr>
                <w:rFonts w:ascii="Calibri" w:hAnsi="Calibri"/>
                <w:szCs w:val="22"/>
              </w:rPr>
              <w:t xml:space="preserve"> (as appropriate)</w:t>
            </w:r>
            <w:r>
              <w:rPr>
                <w:rFonts w:ascii="Calibri" w:hAnsi="Calibri"/>
                <w:szCs w:val="22"/>
              </w:rPr>
              <w:t xml:space="preserve"> and in consideration to NPPF and Key Statement EN5 and Policies DME4 and DMG1 of the </w:t>
            </w:r>
            <w:proofErr w:type="spellStart"/>
            <w:r>
              <w:rPr>
                <w:rFonts w:ascii="Calibri" w:hAnsi="Calibri"/>
                <w:szCs w:val="22"/>
              </w:rPr>
              <w:t>Ribble</w:t>
            </w:r>
            <w:proofErr w:type="spellEnd"/>
            <w:r>
              <w:rPr>
                <w:rFonts w:ascii="Calibri" w:hAnsi="Calibri"/>
                <w:szCs w:val="22"/>
              </w:rPr>
              <w:t xml:space="preserve"> Valley Core Strategy it is recommended that </w:t>
            </w:r>
            <w:r w:rsidR="00B10682">
              <w:rPr>
                <w:rFonts w:ascii="Calibri" w:hAnsi="Calibri"/>
                <w:szCs w:val="22"/>
              </w:rPr>
              <w:t>planning permission</w:t>
            </w:r>
            <w:r>
              <w:rPr>
                <w:rFonts w:ascii="Calibri" w:hAnsi="Calibri"/>
                <w:szCs w:val="22"/>
              </w:rPr>
              <w:t xml:space="preserve"> be granted.</w:t>
            </w:r>
          </w:p>
          <w:p w14:paraId="3F0E8E41" w14:textId="77777777" w:rsidR="00C44E40" w:rsidRPr="00BA2247" w:rsidRDefault="00C44E40" w:rsidP="00454754">
            <w:pPr>
              <w:pStyle w:val="Header"/>
              <w:tabs>
                <w:tab w:val="clear" w:pos="4153"/>
                <w:tab w:val="clear" w:pos="8306"/>
              </w:tabs>
              <w:contextualSpacing/>
              <w:jc w:val="both"/>
              <w:rPr>
                <w:rFonts w:ascii="Calibri" w:hAnsi="Calibri"/>
                <w:szCs w:val="22"/>
              </w:rPr>
            </w:pPr>
          </w:p>
        </w:tc>
      </w:tr>
      <w:tr w:rsidR="00C0704D" w:rsidRPr="008C75E4" w14:paraId="2DB843BC" w14:textId="77777777" w:rsidTr="00504440">
        <w:trPr>
          <w:jc w:val="center"/>
        </w:trPr>
        <w:tc>
          <w:tcPr>
            <w:tcW w:w="2837" w:type="dxa"/>
            <w:gridSpan w:val="4"/>
            <w:tcMar>
              <w:top w:w="57" w:type="dxa"/>
              <w:bottom w:w="57" w:type="dxa"/>
            </w:tcMar>
          </w:tcPr>
          <w:p w14:paraId="004589B6" w14:textId="77777777" w:rsidR="00C0704D" w:rsidRPr="008C75E4" w:rsidRDefault="00C0704D" w:rsidP="006126D1">
            <w:pPr>
              <w:jc w:val="both"/>
              <w:rPr>
                <w:rFonts w:ascii="Calibri" w:hAnsi="Calibri"/>
                <w:b/>
                <w:bCs/>
                <w:szCs w:val="22"/>
              </w:rPr>
            </w:pPr>
            <w:r w:rsidRPr="008C75E4">
              <w:rPr>
                <w:rFonts w:ascii="Calibri" w:hAnsi="Calibri"/>
                <w:b/>
                <w:szCs w:val="22"/>
              </w:rPr>
              <w:t>RECOMMENDATION</w:t>
            </w:r>
            <w:r w:rsidRPr="008C75E4">
              <w:rPr>
                <w:rFonts w:ascii="Calibri" w:hAnsi="Calibri"/>
                <w:szCs w:val="22"/>
              </w:rPr>
              <w:t>:</w:t>
            </w:r>
          </w:p>
        </w:tc>
        <w:tc>
          <w:tcPr>
            <w:tcW w:w="6718" w:type="dxa"/>
            <w:gridSpan w:val="10"/>
          </w:tcPr>
          <w:p w14:paraId="06C0CE55" w14:textId="77777777" w:rsidR="00C0704D" w:rsidRPr="008C75E4" w:rsidRDefault="00272696" w:rsidP="006126D1">
            <w:pPr>
              <w:jc w:val="both"/>
              <w:rPr>
                <w:rFonts w:ascii="Calibri" w:hAnsi="Calibri"/>
                <w:bCs/>
                <w:szCs w:val="22"/>
              </w:rPr>
            </w:pPr>
            <w:r>
              <w:rPr>
                <w:rFonts w:ascii="Calibri" w:hAnsi="Calibri"/>
                <w:bCs/>
                <w:szCs w:val="22"/>
              </w:rPr>
              <w:t>That planning permission be granted subject to conditions.</w:t>
            </w:r>
          </w:p>
        </w:tc>
      </w:tr>
    </w:tbl>
    <w:p w14:paraId="110B55A3" w14:textId="77777777" w:rsidR="0031197A" w:rsidRPr="008C75E4" w:rsidRDefault="00103AE6" w:rsidP="006126D1">
      <w:pPr>
        <w:jc w:val="both"/>
        <w:rPr>
          <w:rFonts w:ascii="Calibri" w:hAnsi="Calibri"/>
          <w:szCs w:val="22"/>
        </w:rPr>
      </w:pPr>
    </w:p>
    <w:sectPr w:rsidR="0031197A" w:rsidRPr="008C75E4" w:rsidSect="00504440">
      <w:pgSz w:w="11906" w:h="16838"/>
      <w:pgMar w:top="964" w:right="964" w:bottom="964" w:left="96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E12122" w14:textId="77777777" w:rsidR="00090CD5" w:rsidRDefault="00090CD5" w:rsidP="006D0B5F">
      <w:r>
        <w:separator/>
      </w:r>
    </w:p>
  </w:endnote>
  <w:endnote w:type="continuationSeparator" w:id="0">
    <w:p w14:paraId="069C315B" w14:textId="77777777" w:rsidR="00090CD5" w:rsidRDefault="00090CD5" w:rsidP="006D0B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7C1A43" w14:textId="77777777" w:rsidR="00090CD5" w:rsidRDefault="00090CD5" w:rsidP="006D0B5F">
      <w:r>
        <w:separator/>
      </w:r>
    </w:p>
  </w:footnote>
  <w:footnote w:type="continuationSeparator" w:id="0">
    <w:p w14:paraId="4A0B1781" w14:textId="77777777" w:rsidR="00090CD5" w:rsidRDefault="00090CD5" w:rsidP="006D0B5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A515A5"/>
    <w:multiLevelType w:val="hybridMultilevel"/>
    <w:tmpl w:val="2C2E36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237983"/>
    <w:multiLevelType w:val="hybridMultilevel"/>
    <w:tmpl w:val="D2E4F5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C51906"/>
    <w:multiLevelType w:val="hybridMultilevel"/>
    <w:tmpl w:val="4BFEB5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7422E2"/>
    <w:multiLevelType w:val="hybridMultilevel"/>
    <w:tmpl w:val="05061A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E5546A"/>
    <w:multiLevelType w:val="hybridMultilevel"/>
    <w:tmpl w:val="56043B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7142780"/>
    <w:multiLevelType w:val="hybridMultilevel"/>
    <w:tmpl w:val="3EDC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09B2938"/>
    <w:multiLevelType w:val="hybridMultilevel"/>
    <w:tmpl w:val="024EEB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0A11A14"/>
    <w:multiLevelType w:val="hybridMultilevel"/>
    <w:tmpl w:val="638C5F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69C62D32"/>
    <w:multiLevelType w:val="hybridMultilevel"/>
    <w:tmpl w:val="43CC4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A8C2558"/>
    <w:multiLevelType w:val="hybridMultilevel"/>
    <w:tmpl w:val="CFBA8E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3"/>
  </w:num>
  <w:num w:numId="4">
    <w:abstractNumId w:val="4"/>
  </w:num>
  <w:num w:numId="5">
    <w:abstractNumId w:val="0"/>
  </w:num>
  <w:num w:numId="6">
    <w:abstractNumId w:val="1"/>
  </w:num>
  <w:num w:numId="7">
    <w:abstractNumId w:val="5"/>
  </w:num>
  <w:num w:numId="8">
    <w:abstractNumId w:val="8"/>
  </w:num>
  <w:num w:numId="9">
    <w:abstractNumId w:val="2"/>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EA9"/>
    <w:rsid w:val="000075DD"/>
    <w:rsid w:val="00016A73"/>
    <w:rsid w:val="00024D49"/>
    <w:rsid w:val="00041FBF"/>
    <w:rsid w:val="00055B13"/>
    <w:rsid w:val="000564F4"/>
    <w:rsid w:val="00071955"/>
    <w:rsid w:val="0008539D"/>
    <w:rsid w:val="0008638E"/>
    <w:rsid w:val="00090CD5"/>
    <w:rsid w:val="000B2BBA"/>
    <w:rsid w:val="000B5CB5"/>
    <w:rsid w:val="000C7A57"/>
    <w:rsid w:val="000F62F3"/>
    <w:rsid w:val="00101855"/>
    <w:rsid w:val="0010371E"/>
    <w:rsid w:val="00103AE6"/>
    <w:rsid w:val="00106932"/>
    <w:rsid w:val="00130035"/>
    <w:rsid w:val="00141512"/>
    <w:rsid w:val="0016428F"/>
    <w:rsid w:val="00174004"/>
    <w:rsid w:val="001946E0"/>
    <w:rsid w:val="00196722"/>
    <w:rsid w:val="001B769B"/>
    <w:rsid w:val="001C1453"/>
    <w:rsid w:val="001D4F7A"/>
    <w:rsid w:val="001D5ADD"/>
    <w:rsid w:val="00203F50"/>
    <w:rsid w:val="00206E24"/>
    <w:rsid w:val="00237DA1"/>
    <w:rsid w:val="00250879"/>
    <w:rsid w:val="00272696"/>
    <w:rsid w:val="00284480"/>
    <w:rsid w:val="0028751A"/>
    <w:rsid w:val="0029334A"/>
    <w:rsid w:val="002A01CF"/>
    <w:rsid w:val="002A09AF"/>
    <w:rsid w:val="002A7DF7"/>
    <w:rsid w:val="002B7854"/>
    <w:rsid w:val="002C6277"/>
    <w:rsid w:val="002D4346"/>
    <w:rsid w:val="002E2952"/>
    <w:rsid w:val="002E7CC1"/>
    <w:rsid w:val="002F041D"/>
    <w:rsid w:val="002F2580"/>
    <w:rsid w:val="002F7502"/>
    <w:rsid w:val="003137E0"/>
    <w:rsid w:val="00320A6F"/>
    <w:rsid w:val="00321B6E"/>
    <w:rsid w:val="003359D0"/>
    <w:rsid w:val="00341E8D"/>
    <w:rsid w:val="00347F5E"/>
    <w:rsid w:val="003634D9"/>
    <w:rsid w:val="0036759A"/>
    <w:rsid w:val="003825D5"/>
    <w:rsid w:val="003A31B6"/>
    <w:rsid w:val="003A4376"/>
    <w:rsid w:val="003C28E1"/>
    <w:rsid w:val="003D127D"/>
    <w:rsid w:val="003E2151"/>
    <w:rsid w:val="003F16AA"/>
    <w:rsid w:val="003F16B4"/>
    <w:rsid w:val="003F3DB5"/>
    <w:rsid w:val="003F481A"/>
    <w:rsid w:val="003F5118"/>
    <w:rsid w:val="00404937"/>
    <w:rsid w:val="00404C72"/>
    <w:rsid w:val="00435FC9"/>
    <w:rsid w:val="0044039F"/>
    <w:rsid w:val="00440CB6"/>
    <w:rsid w:val="004446A4"/>
    <w:rsid w:val="00454754"/>
    <w:rsid w:val="004654DD"/>
    <w:rsid w:val="0047341D"/>
    <w:rsid w:val="004854EC"/>
    <w:rsid w:val="004936A6"/>
    <w:rsid w:val="004947BB"/>
    <w:rsid w:val="004A5EA9"/>
    <w:rsid w:val="004C2434"/>
    <w:rsid w:val="004C6AF4"/>
    <w:rsid w:val="004D6FC7"/>
    <w:rsid w:val="004E58E3"/>
    <w:rsid w:val="004F0649"/>
    <w:rsid w:val="004F1043"/>
    <w:rsid w:val="004F1E99"/>
    <w:rsid w:val="0050432D"/>
    <w:rsid w:val="00504440"/>
    <w:rsid w:val="00510DBF"/>
    <w:rsid w:val="00510FA2"/>
    <w:rsid w:val="00510FE3"/>
    <w:rsid w:val="00521ABA"/>
    <w:rsid w:val="00525341"/>
    <w:rsid w:val="00527A31"/>
    <w:rsid w:val="00534611"/>
    <w:rsid w:val="005402E0"/>
    <w:rsid w:val="00545D8C"/>
    <w:rsid w:val="00556ECD"/>
    <w:rsid w:val="005631B3"/>
    <w:rsid w:val="005633B0"/>
    <w:rsid w:val="005635FF"/>
    <w:rsid w:val="0057086C"/>
    <w:rsid w:val="00573B90"/>
    <w:rsid w:val="00575328"/>
    <w:rsid w:val="005878FE"/>
    <w:rsid w:val="00593040"/>
    <w:rsid w:val="005B0A0E"/>
    <w:rsid w:val="005C4A2E"/>
    <w:rsid w:val="005D1F2C"/>
    <w:rsid w:val="005D3432"/>
    <w:rsid w:val="005E1C6C"/>
    <w:rsid w:val="005E65DF"/>
    <w:rsid w:val="005F4D01"/>
    <w:rsid w:val="006126D1"/>
    <w:rsid w:val="00615377"/>
    <w:rsid w:val="006326A2"/>
    <w:rsid w:val="00665C24"/>
    <w:rsid w:val="00680AA5"/>
    <w:rsid w:val="00690EC3"/>
    <w:rsid w:val="00692B60"/>
    <w:rsid w:val="00695F88"/>
    <w:rsid w:val="006A71AD"/>
    <w:rsid w:val="006C126E"/>
    <w:rsid w:val="006C2BFA"/>
    <w:rsid w:val="006D0B5F"/>
    <w:rsid w:val="006D4E58"/>
    <w:rsid w:val="006D7624"/>
    <w:rsid w:val="006F137D"/>
    <w:rsid w:val="006F4D38"/>
    <w:rsid w:val="0070054B"/>
    <w:rsid w:val="00706480"/>
    <w:rsid w:val="00710DBB"/>
    <w:rsid w:val="00725F1C"/>
    <w:rsid w:val="007430C8"/>
    <w:rsid w:val="00755FCC"/>
    <w:rsid w:val="00776AE2"/>
    <w:rsid w:val="00783DA7"/>
    <w:rsid w:val="007921CD"/>
    <w:rsid w:val="007A6B09"/>
    <w:rsid w:val="007C5713"/>
    <w:rsid w:val="007C791C"/>
    <w:rsid w:val="007D6D02"/>
    <w:rsid w:val="007D7DF4"/>
    <w:rsid w:val="007E0D23"/>
    <w:rsid w:val="007F196D"/>
    <w:rsid w:val="00805895"/>
    <w:rsid w:val="008075CB"/>
    <w:rsid w:val="00811771"/>
    <w:rsid w:val="008154DD"/>
    <w:rsid w:val="00841D67"/>
    <w:rsid w:val="008422F9"/>
    <w:rsid w:val="00845EF8"/>
    <w:rsid w:val="008542DE"/>
    <w:rsid w:val="008638DE"/>
    <w:rsid w:val="00891182"/>
    <w:rsid w:val="008A28C8"/>
    <w:rsid w:val="008B223D"/>
    <w:rsid w:val="008C75E4"/>
    <w:rsid w:val="008F6B58"/>
    <w:rsid w:val="0090282C"/>
    <w:rsid w:val="00906D0C"/>
    <w:rsid w:val="00915470"/>
    <w:rsid w:val="00934B34"/>
    <w:rsid w:val="009565F5"/>
    <w:rsid w:val="009825FF"/>
    <w:rsid w:val="00985097"/>
    <w:rsid w:val="00994EF1"/>
    <w:rsid w:val="009C4BCF"/>
    <w:rsid w:val="009C7F61"/>
    <w:rsid w:val="009E6A8B"/>
    <w:rsid w:val="00A04A96"/>
    <w:rsid w:val="00A37CC5"/>
    <w:rsid w:val="00A40070"/>
    <w:rsid w:val="00A42E82"/>
    <w:rsid w:val="00A46EE9"/>
    <w:rsid w:val="00A55E83"/>
    <w:rsid w:val="00A579BB"/>
    <w:rsid w:val="00A63D55"/>
    <w:rsid w:val="00A8441B"/>
    <w:rsid w:val="00A9088C"/>
    <w:rsid w:val="00A9168C"/>
    <w:rsid w:val="00A95D89"/>
    <w:rsid w:val="00AB3243"/>
    <w:rsid w:val="00AB5232"/>
    <w:rsid w:val="00AC3D8E"/>
    <w:rsid w:val="00AD1A11"/>
    <w:rsid w:val="00AD7E36"/>
    <w:rsid w:val="00B10682"/>
    <w:rsid w:val="00B14DDC"/>
    <w:rsid w:val="00B30A5E"/>
    <w:rsid w:val="00B31505"/>
    <w:rsid w:val="00B45282"/>
    <w:rsid w:val="00B52687"/>
    <w:rsid w:val="00B6269C"/>
    <w:rsid w:val="00B74C73"/>
    <w:rsid w:val="00B83977"/>
    <w:rsid w:val="00B93EB5"/>
    <w:rsid w:val="00B95521"/>
    <w:rsid w:val="00B96F5A"/>
    <w:rsid w:val="00BA2247"/>
    <w:rsid w:val="00BA5D97"/>
    <w:rsid w:val="00BA6B19"/>
    <w:rsid w:val="00BB1C52"/>
    <w:rsid w:val="00BB2A50"/>
    <w:rsid w:val="00BB5DC8"/>
    <w:rsid w:val="00BC1E48"/>
    <w:rsid w:val="00BD1D16"/>
    <w:rsid w:val="00BD3F03"/>
    <w:rsid w:val="00C0704D"/>
    <w:rsid w:val="00C214A6"/>
    <w:rsid w:val="00C24A51"/>
    <w:rsid w:val="00C25722"/>
    <w:rsid w:val="00C44E40"/>
    <w:rsid w:val="00C50517"/>
    <w:rsid w:val="00C618DB"/>
    <w:rsid w:val="00C6456D"/>
    <w:rsid w:val="00C93384"/>
    <w:rsid w:val="00C97373"/>
    <w:rsid w:val="00CA28BA"/>
    <w:rsid w:val="00CA4642"/>
    <w:rsid w:val="00CD1729"/>
    <w:rsid w:val="00CD2E03"/>
    <w:rsid w:val="00CD38B1"/>
    <w:rsid w:val="00D102D9"/>
    <w:rsid w:val="00D1063F"/>
    <w:rsid w:val="00D11007"/>
    <w:rsid w:val="00D1420C"/>
    <w:rsid w:val="00D23470"/>
    <w:rsid w:val="00D2449B"/>
    <w:rsid w:val="00D54384"/>
    <w:rsid w:val="00D54E67"/>
    <w:rsid w:val="00D54F48"/>
    <w:rsid w:val="00D632BB"/>
    <w:rsid w:val="00D80310"/>
    <w:rsid w:val="00D9608A"/>
    <w:rsid w:val="00D96DF7"/>
    <w:rsid w:val="00D97AA3"/>
    <w:rsid w:val="00DA27B6"/>
    <w:rsid w:val="00DC3C8A"/>
    <w:rsid w:val="00DC6767"/>
    <w:rsid w:val="00DD62F6"/>
    <w:rsid w:val="00DD7E97"/>
    <w:rsid w:val="00DE740E"/>
    <w:rsid w:val="00DF42DA"/>
    <w:rsid w:val="00E03AFD"/>
    <w:rsid w:val="00E0485E"/>
    <w:rsid w:val="00E06DFC"/>
    <w:rsid w:val="00E23FB0"/>
    <w:rsid w:val="00E46243"/>
    <w:rsid w:val="00E66534"/>
    <w:rsid w:val="00E719D1"/>
    <w:rsid w:val="00E71A35"/>
    <w:rsid w:val="00E72F6C"/>
    <w:rsid w:val="00E80113"/>
    <w:rsid w:val="00EA09F9"/>
    <w:rsid w:val="00EA1673"/>
    <w:rsid w:val="00EB7D74"/>
    <w:rsid w:val="00EC0D3E"/>
    <w:rsid w:val="00EC23C7"/>
    <w:rsid w:val="00ED00B7"/>
    <w:rsid w:val="00EF1341"/>
    <w:rsid w:val="00EF44E6"/>
    <w:rsid w:val="00F012FA"/>
    <w:rsid w:val="00F055D3"/>
    <w:rsid w:val="00F129DD"/>
    <w:rsid w:val="00F16D0F"/>
    <w:rsid w:val="00F32789"/>
    <w:rsid w:val="00F71D53"/>
    <w:rsid w:val="00F731F5"/>
    <w:rsid w:val="00F75F59"/>
    <w:rsid w:val="00F8201E"/>
    <w:rsid w:val="00F9179A"/>
    <w:rsid w:val="00FC046F"/>
    <w:rsid w:val="00FC6A11"/>
    <w:rsid w:val="00FC77EC"/>
    <w:rsid w:val="00FD334A"/>
    <w:rsid w:val="00FD6A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41DF"/>
  <w15:docId w15:val="{23CA7309-7333-40C5-927B-57E069FE0E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5EA9"/>
    <w:pPr>
      <w:overflowPunct w:val="0"/>
      <w:autoSpaceDE w:val="0"/>
      <w:autoSpaceDN w:val="0"/>
      <w:adjustRightInd w:val="0"/>
      <w:spacing w:after="0" w:line="240" w:lineRule="auto"/>
      <w:textAlignment w:val="baseline"/>
    </w:pPr>
    <w:rPr>
      <w:rFonts w:ascii="Arial" w:eastAsia="Times New Roman" w:hAnsi="Arial"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A5E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A5EA9"/>
    <w:rPr>
      <w:rFonts w:ascii="Tahoma" w:hAnsi="Tahoma" w:cs="Tahoma"/>
      <w:sz w:val="16"/>
      <w:szCs w:val="16"/>
    </w:rPr>
  </w:style>
  <w:style w:type="character" w:customStyle="1" w:styleId="BalloonTextChar">
    <w:name w:val="Balloon Text Char"/>
    <w:basedOn w:val="DefaultParagraphFont"/>
    <w:link w:val="BalloonText"/>
    <w:uiPriority w:val="99"/>
    <w:semiHidden/>
    <w:rsid w:val="004A5EA9"/>
    <w:rPr>
      <w:rFonts w:ascii="Tahoma" w:eastAsia="Times New Roman" w:hAnsi="Tahoma" w:cs="Tahoma"/>
      <w:sz w:val="16"/>
      <w:szCs w:val="16"/>
    </w:rPr>
  </w:style>
  <w:style w:type="paragraph" w:customStyle="1" w:styleId="PLANNING">
    <w:name w:val="PLANNING"/>
    <w:basedOn w:val="Normal"/>
    <w:rsid w:val="00A63D55"/>
    <w:pPr>
      <w:jc w:val="both"/>
    </w:pPr>
  </w:style>
  <w:style w:type="paragraph" w:styleId="Header">
    <w:name w:val="header"/>
    <w:basedOn w:val="Normal"/>
    <w:link w:val="HeaderChar"/>
    <w:rsid w:val="00E66534"/>
    <w:pPr>
      <w:tabs>
        <w:tab w:val="center" w:pos="4153"/>
        <w:tab w:val="right" w:pos="8306"/>
      </w:tabs>
    </w:pPr>
  </w:style>
  <w:style w:type="character" w:customStyle="1" w:styleId="HeaderChar">
    <w:name w:val="Header Char"/>
    <w:basedOn w:val="DefaultParagraphFont"/>
    <w:link w:val="Header"/>
    <w:rsid w:val="00E66534"/>
    <w:rPr>
      <w:rFonts w:ascii="Arial" w:eastAsia="Times New Roman" w:hAnsi="Arial" w:cs="Times New Roman"/>
      <w:szCs w:val="20"/>
    </w:rPr>
  </w:style>
  <w:style w:type="paragraph" w:styleId="ListParagraph">
    <w:name w:val="List Paragraph"/>
    <w:basedOn w:val="Normal"/>
    <w:uiPriority w:val="34"/>
    <w:qFormat/>
    <w:rsid w:val="00250879"/>
    <w:pPr>
      <w:ind w:left="720"/>
      <w:contextualSpacing/>
    </w:pPr>
  </w:style>
  <w:style w:type="paragraph" w:styleId="Footer">
    <w:name w:val="footer"/>
    <w:basedOn w:val="Normal"/>
    <w:link w:val="FooterChar"/>
    <w:uiPriority w:val="99"/>
    <w:unhideWhenUsed/>
    <w:rsid w:val="006D0B5F"/>
    <w:pPr>
      <w:tabs>
        <w:tab w:val="center" w:pos="4513"/>
        <w:tab w:val="right" w:pos="9026"/>
      </w:tabs>
    </w:pPr>
  </w:style>
  <w:style w:type="character" w:customStyle="1" w:styleId="FooterChar">
    <w:name w:val="Footer Char"/>
    <w:basedOn w:val="DefaultParagraphFont"/>
    <w:link w:val="Footer"/>
    <w:uiPriority w:val="99"/>
    <w:rsid w:val="006D0B5F"/>
    <w:rPr>
      <w:rFonts w:ascii="Arial" w:eastAsia="Times New Roman" w:hAnsi="Arial" w:cs="Times New Roman"/>
      <w:szCs w:val="20"/>
    </w:rPr>
  </w:style>
  <w:style w:type="character" w:styleId="Strong">
    <w:name w:val="Strong"/>
    <w:basedOn w:val="DefaultParagraphFont"/>
    <w:uiPriority w:val="22"/>
    <w:qFormat/>
    <w:rsid w:val="00F9179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4207113">
      <w:bodyDiv w:val="1"/>
      <w:marLeft w:val="0"/>
      <w:marRight w:val="0"/>
      <w:marTop w:val="0"/>
      <w:marBottom w:val="0"/>
      <w:divBdr>
        <w:top w:val="none" w:sz="0" w:space="0" w:color="auto"/>
        <w:left w:val="none" w:sz="0" w:space="0" w:color="auto"/>
        <w:bottom w:val="none" w:sz="0" w:space="0" w:color="auto"/>
        <w:right w:val="none" w:sz="0" w:space="0" w:color="auto"/>
      </w:divBdr>
    </w:div>
    <w:div w:id="2027321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9AD740-DCD3-40AD-8170-30532BBC4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1349</Words>
  <Characters>7695</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Kilmartin</dc:creator>
  <cp:lastModifiedBy>Tara Thompson</cp:lastModifiedBy>
  <cp:revision>2</cp:revision>
  <cp:lastPrinted>2021-04-29T09:10:00Z</cp:lastPrinted>
  <dcterms:created xsi:type="dcterms:W3CDTF">2021-04-29T14:16:00Z</dcterms:created>
  <dcterms:modified xsi:type="dcterms:W3CDTF">2021-04-29T14:16:00Z</dcterms:modified>
</cp:coreProperties>
</file>