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9B4F53" w:rsidP="000C3E7C">
      <w:pPr>
        <w:pStyle w:val="PLANNING"/>
        <w:jc w:val="center"/>
      </w:pPr>
      <w:r>
        <w:rPr>
          <w:noProof/>
        </w:rPr>
        <w:drawing>
          <wp:inline distT="0" distB="0" distL="0" distR="0">
            <wp:extent cx="1392555"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2555"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9B4F53">
        <w:rPr>
          <w:rFonts w:ascii="Calibri" w:hAnsi="Calibri"/>
          <w:noProof/>
        </w:rPr>
        <w:t>3/2021/0048</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BB5956" w:rsidP="000C3E7C">
      <w:pPr>
        <w:rPr>
          <w:rFonts w:ascii="Calibri" w:hAnsi="Calibri"/>
          <w:noProof/>
        </w:rPr>
      </w:pPr>
      <w:r>
        <w:rPr>
          <w:rFonts w:ascii="Calibri" w:hAnsi="Calibri"/>
          <w:noProof/>
        </w:rPr>
        <w:t>www.ribblevalley.gov.uk</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A4206C">
        <w:rPr>
          <w:rFonts w:ascii="Calibri" w:hAnsi="Calibri"/>
          <w:noProof/>
        </w:rPr>
        <w:t>23 February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Pr="009B4F53" w:rsidRDefault="000C3E7C" w:rsidP="000C3E7C">
      <w:pPr>
        <w:rPr>
          <w:rFonts w:ascii="Calibri" w:hAnsi="Calibri" w:cs="Calibri"/>
          <w:color w:val="000000"/>
          <w:szCs w:val="22"/>
        </w:rPr>
      </w:pPr>
      <w:r w:rsidRPr="009B4F53">
        <w:rPr>
          <w:rFonts w:ascii="Calibri" w:hAnsi="Calibri" w:cs="Calibri"/>
          <w:color w:val="000000"/>
          <w:szCs w:val="22"/>
        </w:rPr>
        <w:t xml:space="preserve">Location: </w:t>
      </w:r>
      <w:r w:rsidR="009B4F53" w:rsidRPr="009B4F53">
        <w:rPr>
          <w:rFonts w:ascii="Calibri" w:hAnsi="Calibri"/>
          <w:szCs w:val="22"/>
        </w:rPr>
        <w:t>Paddock Gate 14 Wiswell Lane Whalley BB7 9AF</w:t>
      </w:r>
    </w:p>
    <w:p w:rsidR="000C3E7C" w:rsidRPr="009B4F53" w:rsidRDefault="000C3E7C" w:rsidP="000C3E7C">
      <w:pPr>
        <w:tabs>
          <w:tab w:val="left" w:pos="1665"/>
        </w:tabs>
        <w:rPr>
          <w:rFonts w:ascii="Calibri" w:hAnsi="Calibri" w:cs="Calibri"/>
          <w:color w:val="000000"/>
          <w:szCs w:val="22"/>
        </w:rPr>
      </w:pPr>
      <w:r w:rsidRPr="009B4F53">
        <w:rPr>
          <w:rFonts w:ascii="Calibri" w:hAnsi="Calibri" w:cs="Calibri"/>
          <w:color w:val="000000"/>
          <w:szCs w:val="22"/>
        </w:rPr>
        <w:t xml:space="preserve">Proposal: </w:t>
      </w:r>
      <w:r w:rsidR="009B4F53" w:rsidRPr="009B4F53">
        <w:rPr>
          <w:rFonts w:ascii="Calibri" w:hAnsi="Calibri"/>
          <w:szCs w:val="22"/>
        </w:rPr>
        <w:t xml:space="preserve">Discharge of conditions 3 (materials), 4 (external refuse store) 6 (fences and walls), 9 (landscaping), 10 (bat boxes), 12 (highways), 14 (SW drainage) from planning permission 3/2020/0093.  </w:t>
      </w:r>
    </w:p>
    <w:p w:rsidR="000C3E7C" w:rsidRPr="009B4F53" w:rsidRDefault="000C3E7C" w:rsidP="000C3E7C">
      <w:pPr>
        <w:rPr>
          <w:rFonts w:ascii="Calibri" w:hAnsi="Calibri" w:cs="Calibri"/>
          <w:color w:val="000000"/>
          <w:szCs w:val="22"/>
        </w:rPr>
      </w:pPr>
    </w:p>
    <w:p w:rsidR="000C3E7C" w:rsidRPr="009B4F53" w:rsidRDefault="000C3E7C" w:rsidP="000C3E7C">
      <w:pPr>
        <w:rPr>
          <w:rFonts w:ascii="Calibri" w:hAnsi="Calibri" w:cs="Calibri"/>
          <w:color w:val="000000"/>
          <w:szCs w:val="22"/>
        </w:rPr>
      </w:pPr>
      <w:r w:rsidRPr="009B4F53">
        <w:rPr>
          <w:rFonts w:ascii="Calibri" w:hAnsi="Calibri" w:cs="Calibri"/>
          <w:color w:val="000000"/>
          <w:szCs w:val="22"/>
        </w:rPr>
        <w:t xml:space="preserve">I write in response to your application to discharge the conditions pursuant to planning approval </w:t>
      </w:r>
    </w:p>
    <w:p w:rsidR="000C3E7C" w:rsidRPr="009B4F53" w:rsidRDefault="000C3E7C" w:rsidP="000C3E7C">
      <w:pPr>
        <w:rPr>
          <w:rFonts w:ascii="Calibri" w:hAnsi="Calibri" w:cs="Calibri"/>
          <w:color w:val="000000"/>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t>Condition 03 is partially discharged insofar that the submitted materials are agreed by the Local Planning Authority. The condition requires that the approved materials be implemented within the development in accordance with the approved details.  Upon the development having been completed in strict accordance with the approved details this condition shall be considered fully discharged.</w:t>
            </w:r>
          </w:p>
          <w:p w:rsidR="009B4F53" w:rsidRPr="009B4F53" w:rsidRDefault="009B4F53">
            <w:pPr>
              <w:pStyle w:val="TableText"/>
              <w:rPr>
                <w:rFonts w:ascii="Calibri" w:hAnsi="Calibri"/>
                <w:szCs w:val="22"/>
              </w:rPr>
            </w:pPr>
          </w:p>
          <w:p w:rsidR="009B4F53" w:rsidRPr="009B4F53" w:rsidRDefault="009B4F53">
            <w:pPr>
              <w:pStyle w:val="TableText"/>
              <w:rPr>
                <w:rFonts w:ascii="Calibri" w:hAnsi="Calibri"/>
                <w:szCs w:val="22"/>
              </w:rPr>
            </w:pPr>
            <w:r w:rsidRPr="009B4F53">
              <w:rPr>
                <w:rFonts w:ascii="Calibri" w:hAnsi="Calibri"/>
                <w:szCs w:val="22"/>
              </w:rPr>
              <w:t>Full discharge of this condition at this time would be premature given the development is not complete.</w:t>
            </w:r>
          </w:p>
          <w:p w:rsidR="005F71C3" w:rsidRPr="009B4F53" w:rsidRDefault="005F71C3">
            <w:pPr>
              <w:pStyle w:val="TableText"/>
              <w:rPr>
                <w:rFonts w:ascii="Calibri" w:hAnsi="Calibri"/>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t>Condition 04 is partially discharged insofar that the submitted details (plans 5876-08</w:t>
            </w:r>
            <w:r>
              <w:rPr>
                <w:rFonts w:ascii="Calibri" w:hAnsi="Calibri"/>
                <w:szCs w:val="22"/>
              </w:rPr>
              <w:t>A</w:t>
            </w:r>
            <w:r w:rsidRPr="009B4F53">
              <w:rPr>
                <w:rFonts w:ascii="Calibri" w:hAnsi="Calibri"/>
                <w:szCs w:val="22"/>
              </w:rPr>
              <w:t xml:space="preserve"> </w:t>
            </w:r>
            <w:r>
              <w:rPr>
                <w:rFonts w:ascii="Calibri" w:hAnsi="Calibri"/>
                <w:szCs w:val="22"/>
              </w:rPr>
              <w:t>and</w:t>
            </w:r>
            <w:r w:rsidRPr="009B4F53">
              <w:rPr>
                <w:rFonts w:ascii="Calibri" w:hAnsi="Calibri"/>
                <w:szCs w:val="22"/>
              </w:rPr>
              <w:t xml:space="preserve"> 5876-09) are agreed by the Local Planning Authority.  The condition requires that the approved facilities be made available for use before the development is first occupied and retained thereafter. </w:t>
            </w:r>
          </w:p>
          <w:p w:rsidR="005F71C3" w:rsidRPr="009B4F53" w:rsidRDefault="005F71C3">
            <w:pPr>
              <w:pStyle w:val="TableText"/>
              <w:rPr>
                <w:rFonts w:ascii="Calibri" w:hAnsi="Calibri"/>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t>Condition 06 is partially discharged insofar that the submitted details (plans 5876-08</w:t>
            </w:r>
            <w:r>
              <w:rPr>
                <w:rFonts w:ascii="Calibri" w:hAnsi="Calibri"/>
                <w:szCs w:val="22"/>
              </w:rPr>
              <w:t>A</w:t>
            </w:r>
            <w:r w:rsidRPr="009B4F53">
              <w:rPr>
                <w:rFonts w:ascii="Calibri" w:hAnsi="Calibri"/>
                <w:szCs w:val="22"/>
              </w:rPr>
              <w:t xml:space="preserve"> and 5876-11</w:t>
            </w:r>
            <w:r>
              <w:rPr>
                <w:rFonts w:ascii="Calibri" w:hAnsi="Calibri"/>
                <w:szCs w:val="22"/>
              </w:rPr>
              <w:t>A</w:t>
            </w:r>
            <w:r w:rsidRPr="009B4F53">
              <w:rPr>
                <w:rFonts w:ascii="Calibri" w:hAnsi="Calibri"/>
                <w:szCs w:val="22"/>
              </w:rPr>
              <w:t>) are agreed by the Local Planning Authority.  Upon the development having been completed in strict accordance with the approved details this condition shall be considered fully discharged.</w:t>
            </w:r>
          </w:p>
          <w:p w:rsidR="005F71C3" w:rsidRPr="009B4F53" w:rsidRDefault="005F71C3">
            <w:pPr>
              <w:pStyle w:val="TableText"/>
              <w:rPr>
                <w:rFonts w:ascii="Calibri" w:hAnsi="Calibri"/>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lastRenderedPageBreak/>
              <w:t>Condition 09 is partially discharged insofar that the submitted details (Tree Planting Scheme BTC1855 - Bowland Tree Consultancy, February 2021 (Rev A)) are agreed by the Local Planning Authority. There remains the requirement to complete the replacement tree planting in accordance with the approved details within nine months of the tree felling.</w:t>
            </w:r>
          </w:p>
          <w:p w:rsidR="005F71C3" w:rsidRPr="009B4F53" w:rsidRDefault="005F71C3">
            <w:pPr>
              <w:pStyle w:val="TableText"/>
              <w:rPr>
                <w:rFonts w:ascii="Calibri" w:hAnsi="Calibri"/>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bCs/>
                <w:szCs w:val="22"/>
              </w:rPr>
            </w:pPr>
            <w:bookmarkStart w:id="1" w:name="Informatives_table"/>
            <w:bookmarkEnd w:id="1"/>
            <w:r w:rsidRPr="009B4F53">
              <w:rPr>
                <w:rFonts w:ascii="Calibri" w:hAnsi="Calibri"/>
                <w:bCs/>
                <w:szCs w:val="22"/>
              </w:rPr>
              <w:t>Condition 10 is partially discharged insofar that the submitted details (plan 5876-10) are agreed by the Local Planning Authority. The agreed provisions shall be incorporated into the building during the actual construction and before the development is first brought into use, and shall be permanently maintained and retained at all times thereafter.</w:t>
            </w:r>
          </w:p>
          <w:p w:rsidR="005F71C3" w:rsidRPr="009B4F53" w:rsidRDefault="005F71C3">
            <w:pPr>
              <w:pStyle w:val="TableText"/>
              <w:rPr>
                <w:rFonts w:ascii="Calibri" w:hAnsi="Calibri"/>
                <w:bCs/>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t>Condition 12 is discharged. The submitted details (plan 5876-11</w:t>
            </w:r>
            <w:r>
              <w:rPr>
                <w:rFonts w:ascii="Calibri" w:hAnsi="Calibri"/>
                <w:szCs w:val="22"/>
              </w:rPr>
              <w:t>A</w:t>
            </w:r>
            <w:r w:rsidRPr="009B4F53">
              <w:rPr>
                <w:rFonts w:ascii="Calibri" w:hAnsi="Calibri"/>
                <w:szCs w:val="22"/>
              </w:rPr>
              <w:t>) are agreed by the Local Planning Authority.</w:t>
            </w:r>
          </w:p>
          <w:p w:rsidR="005F71C3" w:rsidRPr="009B4F53" w:rsidRDefault="005F71C3">
            <w:pPr>
              <w:pStyle w:val="TableText"/>
              <w:rPr>
                <w:rFonts w:ascii="Calibri" w:hAnsi="Calibri"/>
                <w:szCs w:val="22"/>
              </w:rPr>
            </w:pPr>
          </w:p>
        </w:tc>
      </w:tr>
      <w:tr w:rsidR="005F71C3" w:rsidRPr="009B4F53">
        <w:trPr>
          <w:cantSplit/>
        </w:trPr>
        <w:tc>
          <w:tcPr>
            <w:tcW w:w="9414" w:type="dxa"/>
            <w:tcBorders>
              <w:left w:val="nil"/>
            </w:tcBorders>
          </w:tcPr>
          <w:p w:rsidR="009B4F53" w:rsidRPr="009B4F53" w:rsidRDefault="009B4F53">
            <w:pPr>
              <w:pStyle w:val="TableText"/>
              <w:rPr>
                <w:rFonts w:ascii="Calibri" w:hAnsi="Calibri"/>
                <w:szCs w:val="22"/>
              </w:rPr>
            </w:pPr>
            <w:r w:rsidRPr="009B4F53">
              <w:rPr>
                <w:rFonts w:ascii="Calibri" w:hAnsi="Calibri"/>
                <w:szCs w:val="22"/>
              </w:rPr>
              <w:t>Condition 14 is partially discharged insofar that the submitted details (Detailed Drainage Design Statement by bEk Enviro Ltd (ref: BEK/20804/210114-2-B)) are agreed by the Local Planning Authority. The development shall be carried out in accordance with the approved drainage scheme. Upon the development having been completed in strict accordance with the approved details this condition shall be considered fully discharged.</w:t>
            </w:r>
          </w:p>
          <w:p w:rsidR="009B4F53" w:rsidRPr="009B4F53" w:rsidRDefault="009B4F53">
            <w:pPr>
              <w:pStyle w:val="TableText"/>
              <w:rPr>
                <w:rFonts w:ascii="Calibri" w:hAnsi="Calibri"/>
                <w:szCs w:val="22"/>
              </w:rPr>
            </w:pPr>
          </w:p>
          <w:p w:rsidR="009B4F53" w:rsidRPr="009B4F53" w:rsidRDefault="009B4F53">
            <w:pPr>
              <w:pStyle w:val="TableText"/>
              <w:rPr>
                <w:rFonts w:ascii="Calibri" w:hAnsi="Calibri"/>
                <w:szCs w:val="22"/>
              </w:rPr>
            </w:pPr>
            <w:r w:rsidRPr="009B4F53">
              <w:rPr>
                <w:rFonts w:ascii="Calibri" w:hAnsi="Calibri"/>
                <w:szCs w:val="22"/>
              </w:rPr>
              <w:t>Full discharge of this condition at this time would be premature given the development is not complete.</w:t>
            </w:r>
          </w:p>
          <w:p w:rsidR="005F71C3" w:rsidRPr="009B4F53" w:rsidRDefault="005F71C3">
            <w:pPr>
              <w:pStyle w:val="TableText"/>
              <w:rPr>
                <w:rFonts w:ascii="Calibri" w:hAnsi="Calibri"/>
                <w:szCs w:val="22"/>
              </w:rPr>
            </w:pPr>
          </w:p>
        </w:tc>
      </w:tr>
      <w:tr w:rsidR="009B4F53" w:rsidRPr="009B4F53">
        <w:trPr>
          <w:cantSplit/>
        </w:trPr>
        <w:tc>
          <w:tcPr>
            <w:tcW w:w="9414" w:type="dxa"/>
            <w:tcBorders>
              <w:left w:val="nil"/>
            </w:tcBorders>
          </w:tcPr>
          <w:p w:rsidR="009B4F53" w:rsidRPr="009B4F53" w:rsidRDefault="009B4F53">
            <w:pPr>
              <w:pStyle w:val="TableText"/>
              <w:rPr>
                <w:rFonts w:ascii="Calibri" w:hAnsi="Calibri"/>
                <w:szCs w:val="22"/>
              </w:rPr>
            </w:pPr>
          </w:p>
        </w:tc>
      </w:tr>
    </w:tbl>
    <w:p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rsidR="003449FF" w:rsidRDefault="003449FF" w:rsidP="003449FF">
      <w:pPr>
        <w:rPr>
          <w:rFonts w:ascii="Calibri" w:hAnsi="Calibri"/>
          <w:b/>
          <w:sz w:val="24"/>
          <w:szCs w:val="24"/>
        </w:rPr>
      </w:pPr>
      <w:r>
        <w:rPr>
          <w:rFonts w:ascii="Calibri" w:hAnsi="Calibri"/>
          <w:b/>
          <w:sz w:val="24"/>
          <w:szCs w:val="24"/>
        </w:rPr>
        <w:t>pp NICOLA HOPKINS</w:t>
      </w:r>
    </w:p>
    <w:p w:rsidR="003449FF" w:rsidRDefault="003449FF" w:rsidP="003449FF">
      <w:pPr>
        <w:rPr>
          <w:rFonts w:ascii="Calibri" w:hAnsi="Calibri"/>
          <w:b/>
          <w:sz w:val="24"/>
          <w:szCs w:val="24"/>
        </w:rPr>
      </w:pPr>
      <w:r>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9B4F53" w:rsidP="009F3984">
      <w:pPr>
        <w:rPr>
          <w:rFonts w:ascii="Calibri" w:hAnsi="Calibri"/>
          <w:sz w:val="24"/>
          <w:szCs w:val="24"/>
        </w:rPr>
      </w:pPr>
      <w:r>
        <w:rPr>
          <w:rFonts w:ascii="Calibri" w:hAnsi="Calibri"/>
          <w:sz w:val="24"/>
          <w:szCs w:val="24"/>
        </w:rPr>
        <w:t>Mr Bamford</w:t>
      </w:r>
    </w:p>
    <w:p w:rsidR="009B4F53" w:rsidRDefault="009B4F53" w:rsidP="009F3984">
      <w:pPr>
        <w:pStyle w:val="TableText"/>
        <w:rPr>
          <w:rFonts w:ascii="Calibri" w:hAnsi="Calibri"/>
          <w:sz w:val="24"/>
          <w:szCs w:val="24"/>
        </w:rPr>
      </w:pPr>
      <w:r>
        <w:rPr>
          <w:rFonts w:ascii="Calibri" w:hAnsi="Calibri"/>
          <w:sz w:val="24"/>
          <w:szCs w:val="24"/>
        </w:rPr>
        <w:t>37 Hayhurst Road</w:t>
      </w:r>
    </w:p>
    <w:p w:rsidR="009B4F53" w:rsidRDefault="009B4F53" w:rsidP="009F3984">
      <w:pPr>
        <w:pStyle w:val="TableText"/>
        <w:rPr>
          <w:rFonts w:ascii="Calibri" w:hAnsi="Calibri"/>
          <w:sz w:val="24"/>
          <w:szCs w:val="24"/>
        </w:rPr>
      </w:pPr>
      <w:r>
        <w:rPr>
          <w:rFonts w:ascii="Calibri" w:hAnsi="Calibri"/>
          <w:sz w:val="24"/>
          <w:szCs w:val="24"/>
        </w:rPr>
        <w:t>Whalley</w:t>
      </w:r>
    </w:p>
    <w:p w:rsidR="009B4F53" w:rsidRDefault="009B4F53" w:rsidP="009F3984">
      <w:pPr>
        <w:pStyle w:val="TableText"/>
        <w:rPr>
          <w:rFonts w:ascii="Calibri" w:hAnsi="Calibri"/>
          <w:sz w:val="24"/>
          <w:szCs w:val="24"/>
        </w:rPr>
      </w:pPr>
      <w:r>
        <w:rPr>
          <w:rFonts w:ascii="Calibri" w:hAnsi="Calibri"/>
          <w:sz w:val="24"/>
          <w:szCs w:val="24"/>
        </w:rPr>
        <w:t>Clitheroe</w:t>
      </w:r>
    </w:p>
    <w:p w:rsidR="009F3984" w:rsidRDefault="009B4F53" w:rsidP="009F3984">
      <w:pPr>
        <w:pStyle w:val="TableText"/>
        <w:rPr>
          <w:rFonts w:ascii="Calibri" w:hAnsi="Calibri"/>
          <w:sz w:val="24"/>
          <w:szCs w:val="24"/>
        </w:rPr>
      </w:pPr>
      <w:r>
        <w:rPr>
          <w:rFonts w:ascii="Calibri" w:hAnsi="Calibri"/>
          <w:sz w:val="24"/>
          <w:szCs w:val="24"/>
        </w:rPr>
        <w:t>BB7 9RL</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9B4F53" w:rsidRDefault="009B4F53" w:rsidP="009F3984">
      <w:pPr>
        <w:pStyle w:val="TableText"/>
        <w:rPr>
          <w:rFonts w:ascii="Calibri" w:hAnsi="Calibri"/>
          <w:sz w:val="24"/>
          <w:szCs w:val="24"/>
        </w:rPr>
      </w:pPr>
      <w:r>
        <w:rPr>
          <w:rFonts w:ascii="Calibri" w:hAnsi="Calibri"/>
          <w:sz w:val="24"/>
          <w:szCs w:val="24"/>
        </w:rPr>
        <w:t>Sunderland Peacock and Assoc Ltd</w:t>
      </w:r>
    </w:p>
    <w:p w:rsidR="009B4F53" w:rsidRDefault="009B4F53" w:rsidP="009F3984">
      <w:pPr>
        <w:pStyle w:val="TableText"/>
        <w:rPr>
          <w:rFonts w:ascii="Calibri" w:hAnsi="Calibri"/>
          <w:sz w:val="24"/>
          <w:szCs w:val="24"/>
        </w:rPr>
      </w:pPr>
      <w:r>
        <w:rPr>
          <w:rFonts w:ascii="Calibri" w:hAnsi="Calibri"/>
          <w:sz w:val="24"/>
          <w:szCs w:val="24"/>
        </w:rPr>
        <w:t>Hazelmere</w:t>
      </w:r>
    </w:p>
    <w:p w:rsidR="009B4F53" w:rsidRDefault="009B4F53" w:rsidP="009F3984">
      <w:pPr>
        <w:pStyle w:val="TableText"/>
        <w:rPr>
          <w:rFonts w:ascii="Calibri" w:hAnsi="Calibri"/>
          <w:sz w:val="24"/>
          <w:szCs w:val="24"/>
        </w:rPr>
      </w:pPr>
      <w:r>
        <w:rPr>
          <w:rFonts w:ascii="Calibri" w:hAnsi="Calibri"/>
          <w:sz w:val="24"/>
          <w:szCs w:val="24"/>
        </w:rPr>
        <w:t>Pimlico Road</w:t>
      </w:r>
    </w:p>
    <w:p w:rsidR="009B4F53" w:rsidRDefault="009B4F53" w:rsidP="009F3984">
      <w:pPr>
        <w:pStyle w:val="TableText"/>
        <w:rPr>
          <w:rFonts w:ascii="Calibri" w:hAnsi="Calibri"/>
          <w:sz w:val="24"/>
          <w:szCs w:val="24"/>
        </w:rPr>
      </w:pPr>
      <w:r>
        <w:rPr>
          <w:rFonts w:ascii="Calibri" w:hAnsi="Calibri"/>
          <w:sz w:val="24"/>
          <w:szCs w:val="24"/>
        </w:rPr>
        <w:t>Clitheroe</w:t>
      </w:r>
    </w:p>
    <w:p w:rsidR="009F3984" w:rsidRDefault="009B4F53" w:rsidP="009F3984">
      <w:pPr>
        <w:pStyle w:val="TableText"/>
        <w:rPr>
          <w:rFonts w:ascii="Calibri" w:hAnsi="Calibri"/>
          <w:sz w:val="24"/>
          <w:szCs w:val="24"/>
        </w:rPr>
      </w:pPr>
      <w:r>
        <w:rPr>
          <w:rFonts w:ascii="Calibri" w:hAnsi="Calibri"/>
          <w:sz w:val="24"/>
          <w:szCs w:val="24"/>
        </w:rPr>
        <w:t>BB7 2AG</w:t>
      </w:r>
    </w:p>
    <w:p w:rsidR="00740309" w:rsidRDefault="00740309"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BC4EA2" w:rsidRDefault="00BC4EA2" w:rsidP="009F3984">
      <w:pPr>
        <w:pStyle w:val="TableText"/>
        <w:rPr>
          <w:rFonts w:ascii="Calibri" w:hAnsi="Calibri"/>
          <w:sz w:val="24"/>
          <w:szCs w:val="24"/>
        </w:rPr>
      </w:pPr>
    </w:p>
    <w:p w:rsidR="00740309" w:rsidRPr="00B52864" w:rsidRDefault="00740309" w:rsidP="00740309">
      <w:pPr>
        <w:rPr>
          <w:rFonts w:ascii="Calibri" w:hAnsi="Calibri" w:cs="Calibri"/>
          <w:b/>
          <w:bCs/>
        </w:rPr>
      </w:pPr>
      <w:r w:rsidRPr="00B52864">
        <w:rPr>
          <w:rFonts w:ascii="Calibri" w:hAnsi="Calibri" w:cs="Calibri"/>
          <w:b/>
          <w:bCs/>
        </w:rPr>
        <w:lastRenderedPageBreak/>
        <w:t>Notes</w:t>
      </w:r>
    </w:p>
    <w:p w:rsidR="00740309" w:rsidRPr="00B52864" w:rsidRDefault="00740309" w:rsidP="00740309">
      <w:pPr>
        <w:rPr>
          <w:rFonts w:ascii="Calibri" w:hAnsi="Calibri" w:cs="Calibri"/>
          <w:b/>
          <w:bCs/>
        </w:rPr>
      </w:pPr>
    </w:p>
    <w:p w:rsidR="00740309" w:rsidRPr="00B52864" w:rsidRDefault="00740309" w:rsidP="00740309">
      <w:pPr>
        <w:rPr>
          <w:rFonts w:ascii="Calibri" w:hAnsi="Calibri" w:cs="Calibri"/>
          <w:b/>
          <w:bCs/>
        </w:rPr>
      </w:pPr>
      <w:r w:rsidRPr="00B52864">
        <w:rPr>
          <w:rFonts w:ascii="Calibri" w:hAnsi="Calibri" w:cs="Calibri"/>
          <w:b/>
          <w:bCs/>
        </w:rPr>
        <w:t xml:space="preserve">Right of Appeal </w:t>
      </w:r>
    </w:p>
    <w:p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740309" w:rsidRPr="00B52864" w:rsidRDefault="00740309" w:rsidP="00740309">
      <w:pPr>
        <w:rPr>
          <w:rFonts w:ascii="Calibri" w:hAnsi="Calibri" w:cs="Calibri"/>
        </w:rPr>
      </w:pPr>
    </w:p>
    <w:p w:rsidR="00740309" w:rsidRPr="00B52864" w:rsidRDefault="00740309" w:rsidP="00740309">
      <w:pPr>
        <w:rPr>
          <w:rFonts w:ascii="Calibri" w:hAnsi="Calibri" w:cs="Calibri"/>
          <w:b/>
          <w:bCs/>
        </w:rPr>
      </w:pPr>
      <w:r w:rsidRPr="00B52864">
        <w:rPr>
          <w:rFonts w:ascii="Calibri" w:hAnsi="Calibri" w:cs="Calibri"/>
          <w:b/>
          <w:bCs/>
        </w:rPr>
        <w:t xml:space="preserve">Purchase Notices </w:t>
      </w:r>
    </w:p>
    <w:p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F53" w:rsidRDefault="009B4F53">
      <w:r>
        <w:separator/>
      </w:r>
    </w:p>
  </w:endnote>
  <w:endnote w:type="continuationSeparator" w:id="0">
    <w:p w:rsidR="009B4F53" w:rsidRDefault="009B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F53" w:rsidRDefault="009B4F53">
      <w:r>
        <w:separator/>
      </w:r>
    </w:p>
  </w:footnote>
  <w:footnote w:type="continuationSeparator" w:id="0">
    <w:p w:rsidR="009B4F53" w:rsidRDefault="009B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32A60">
      <w:rPr>
        <w:rFonts w:ascii="Calibri" w:hAnsi="Calibri"/>
        <w:b/>
        <w:bCs/>
        <w:sz w:val="24"/>
        <w:szCs w:val="24"/>
      </w:rPr>
      <w:t>3/2021/0048</w:t>
    </w:r>
    <w:r w:rsidRPr="00641E0F">
      <w:rPr>
        <w:rFonts w:ascii="Calibri" w:hAnsi="Calibri"/>
        <w:b/>
        <w:bCs/>
        <w:sz w:val="24"/>
        <w:szCs w:val="24"/>
      </w:rPr>
      <w:t xml:space="preserve">                                         DECISION DATE: </w:t>
    </w:r>
    <w:r w:rsidR="00732A60">
      <w:rPr>
        <w:rFonts w:ascii="Calibri" w:hAnsi="Calibri"/>
        <w:b/>
        <w:bCs/>
        <w:sz w:val="24"/>
        <w:szCs w:val="24"/>
      </w:rPr>
      <w:t>23/02/2021</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53"/>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32A60"/>
    <w:rsid w:val="00740309"/>
    <w:rsid w:val="007526EC"/>
    <w:rsid w:val="007A7F6F"/>
    <w:rsid w:val="00851E6F"/>
    <w:rsid w:val="008D7675"/>
    <w:rsid w:val="009B4F53"/>
    <w:rsid w:val="009C2053"/>
    <w:rsid w:val="009F3984"/>
    <w:rsid w:val="00A4206C"/>
    <w:rsid w:val="00B52864"/>
    <w:rsid w:val="00BB5956"/>
    <w:rsid w:val="00BC4EA2"/>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55BA6D-F3E8-4621-90FF-523A5A1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1021</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Tara Thompson</cp:lastModifiedBy>
  <cp:revision>2</cp:revision>
  <cp:lastPrinted>2021-02-23T16:49:00Z</cp:lastPrinted>
  <dcterms:created xsi:type="dcterms:W3CDTF">2021-02-23T16:53:00Z</dcterms:created>
  <dcterms:modified xsi:type="dcterms:W3CDTF">2021-02-23T16:53:00Z</dcterms:modified>
</cp:coreProperties>
</file>