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614F14F4" w:rsidR="004A5EA9" w:rsidRPr="008C75E4" w:rsidRDefault="00F11E91" w:rsidP="008F6B58">
            <w:pPr>
              <w:rPr>
                <w:rFonts w:ascii="Calibri" w:hAnsi="Calibri"/>
                <w:szCs w:val="22"/>
              </w:rPr>
            </w:pPr>
            <w:r>
              <w:rPr>
                <w:rFonts w:ascii="Calibri" w:hAnsi="Calibri"/>
                <w:szCs w:val="22"/>
              </w:rPr>
              <w:t>3/2021/0134</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D53D343" w:rsidR="004A5EA9" w:rsidRPr="008C75E4" w:rsidRDefault="00F11E91" w:rsidP="002C6277">
            <w:pPr>
              <w:rPr>
                <w:rFonts w:ascii="Calibri" w:hAnsi="Calibri"/>
                <w:szCs w:val="22"/>
              </w:rPr>
            </w:pPr>
            <w:r>
              <w:rPr>
                <w:rFonts w:ascii="Calibri" w:hAnsi="Calibri"/>
                <w:szCs w:val="22"/>
              </w:rPr>
              <w:t>12/1/2021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F11E91" w:rsidRDefault="008D5A3A" w:rsidP="00811771">
            <w:pPr>
              <w:rPr>
                <w:rFonts w:ascii="Calibri" w:hAnsi="Calibri"/>
                <w:bCs/>
                <w:szCs w:val="22"/>
              </w:rPr>
            </w:pPr>
            <w:r w:rsidRPr="00F11E91">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248D54" w:rsidR="00FD334A" w:rsidRPr="008C75E4" w:rsidRDefault="00F11E91" w:rsidP="00FD334A">
            <w:pPr>
              <w:rPr>
                <w:rFonts w:ascii="Calibri" w:hAnsi="Calibri"/>
                <w:b/>
                <w:szCs w:val="22"/>
              </w:rPr>
            </w:pPr>
            <w:r>
              <w:rPr>
                <w:rFonts w:ascii="Calibri" w:hAnsi="Calibri"/>
                <w:b/>
                <w:szCs w:val="22"/>
              </w:rPr>
              <w:t>Approval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15AD3B10" w:rsidR="004A5EA9" w:rsidRPr="00F11E91" w:rsidRDefault="00F11E91">
            <w:pPr>
              <w:rPr>
                <w:rFonts w:asciiTheme="minorHAnsi" w:hAnsiTheme="minorHAnsi" w:cstheme="minorHAnsi"/>
                <w:szCs w:val="22"/>
              </w:rPr>
            </w:pPr>
            <w:r w:rsidRPr="00F11E91">
              <w:rPr>
                <w:rFonts w:asciiTheme="minorHAnsi" w:hAnsiTheme="minorHAnsi" w:cstheme="minorHAnsi"/>
                <w:szCs w:val="22"/>
                <w:lang w:val="en"/>
              </w:rPr>
              <w:t xml:space="preserve">Proposed </w:t>
            </w:r>
            <w:proofErr w:type="spellStart"/>
            <w:r w:rsidRPr="00F11E91">
              <w:rPr>
                <w:rFonts w:asciiTheme="minorHAnsi" w:hAnsiTheme="minorHAnsi" w:cstheme="minorHAnsi"/>
                <w:szCs w:val="22"/>
                <w:lang w:val="en"/>
              </w:rPr>
              <w:t>hardstanding</w:t>
            </w:r>
            <w:proofErr w:type="spellEnd"/>
            <w:r w:rsidRPr="00F11E91">
              <w:rPr>
                <w:rFonts w:asciiTheme="minorHAnsi" w:hAnsiTheme="minorHAnsi" w:cstheme="minorHAnsi"/>
                <w:szCs w:val="22"/>
                <w:lang w:val="en"/>
              </w:rPr>
              <w:t xml:space="preserve"> to the front.</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7086190" w:rsidR="002A01CF" w:rsidRPr="00F11E91" w:rsidRDefault="00F11E91" w:rsidP="00A42E82">
            <w:pPr>
              <w:rPr>
                <w:rFonts w:asciiTheme="minorHAnsi" w:hAnsiTheme="minorHAnsi" w:cstheme="minorHAnsi"/>
                <w:b/>
                <w:bCs/>
                <w:szCs w:val="22"/>
              </w:rPr>
            </w:pPr>
            <w:proofErr w:type="spellStart"/>
            <w:r w:rsidRPr="00F11E91">
              <w:rPr>
                <w:rStyle w:val="Strong"/>
                <w:rFonts w:asciiTheme="minorHAnsi" w:hAnsiTheme="minorHAnsi" w:cstheme="minorHAnsi"/>
                <w:b w:val="0"/>
                <w:bCs w:val="0"/>
                <w:szCs w:val="22"/>
              </w:rPr>
              <w:t>Raydale</w:t>
            </w:r>
            <w:proofErr w:type="spellEnd"/>
            <w:r w:rsidRPr="00F11E91">
              <w:rPr>
                <w:rStyle w:val="Strong"/>
                <w:rFonts w:asciiTheme="minorHAnsi" w:hAnsiTheme="minorHAnsi" w:cstheme="minorHAnsi"/>
                <w:b w:val="0"/>
                <w:bCs w:val="0"/>
                <w:szCs w:val="22"/>
              </w:rPr>
              <w:t xml:space="preserve"> Simonstone Lane Simonstone BB12 7NX</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01F7F1A4" w:rsidR="003A4376" w:rsidRPr="009825FF" w:rsidRDefault="00F11E91"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2FB9D8AB" w14:textId="77777777" w:rsidR="00F00DF1" w:rsidRPr="00DD5E36" w:rsidRDefault="00F00DF1" w:rsidP="00F00DF1">
            <w:pPr>
              <w:jc w:val="both"/>
              <w:rPr>
                <w:rFonts w:asciiTheme="minorHAnsi" w:hAnsiTheme="minorHAnsi" w:cstheme="minorHAnsi"/>
                <w:szCs w:val="22"/>
              </w:rPr>
            </w:pPr>
            <w:r w:rsidRPr="008D6997">
              <w:rPr>
                <w:rFonts w:asciiTheme="minorHAnsi" w:hAnsiTheme="minorHAnsi" w:cstheme="minorHAnsi"/>
                <w:i/>
                <w:iCs/>
                <w:szCs w:val="22"/>
              </w:rPr>
              <w:t>(15/3/2021)</w:t>
            </w:r>
            <w:r>
              <w:rPr>
                <w:rFonts w:asciiTheme="minorHAnsi" w:hAnsiTheme="minorHAnsi" w:cstheme="minorHAnsi"/>
                <w:szCs w:val="22"/>
              </w:rPr>
              <w:t xml:space="preserve"> </w:t>
            </w:r>
            <w:r w:rsidRPr="00DD5E36">
              <w:rPr>
                <w:rFonts w:asciiTheme="minorHAnsi" w:hAnsiTheme="minorHAnsi" w:cstheme="minorHAnsi"/>
                <w:szCs w:val="22"/>
              </w:rPr>
              <w:t>Concerns need to be agreed and met (and subject to conditions - suggested):</w:t>
            </w:r>
          </w:p>
          <w:p w14:paraId="07B9DF4F" w14:textId="77777777" w:rsidR="00F00DF1" w:rsidRPr="00DD5E36" w:rsidRDefault="00F00DF1" w:rsidP="00F00DF1">
            <w:pPr>
              <w:jc w:val="both"/>
              <w:rPr>
                <w:rFonts w:asciiTheme="minorHAnsi" w:hAnsiTheme="minorHAnsi" w:cstheme="minorHAnsi"/>
                <w:szCs w:val="22"/>
              </w:rPr>
            </w:pPr>
          </w:p>
          <w:p w14:paraId="00B87C3F" w14:textId="77777777" w:rsidR="00F00DF1" w:rsidRPr="00DD5E36" w:rsidRDefault="00F00DF1" w:rsidP="00F00DF1">
            <w:pPr>
              <w:jc w:val="both"/>
              <w:rPr>
                <w:rFonts w:asciiTheme="minorHAnsi" w:hAnsiTheme="minorHAnsi" w:cstheme="minorHAnsi"/>
                <w:szCs w:val="22"/>
              </w:rPr>
            </w:pPr>
            <w:r w:rsidRPr="00DD5E36">
              <w:rPr>
                <w:rFonts w:asciiTheme="minorHAnsi" w:hAnsiTheme="minorHAnsi" w:cstheme="minorHAnsi"/>
                <w:szCs w:val="22"/>
              </w:rPr>
              <w:t>An extension being required to the existing vehicular dropped crossing which will need to be carried out by Lancashire County Council under section 184 of the Highways Act 1980</w:t>
            </w:r>
          </w:p>
          <w:p w14:paraId="4083263F" w14:textId="77777777" w:rsidR="00F00DF1" w:rsidRPr="00DD5E36" w:rsidRDefault="00F00DF1" w:rsidP="00F00DF1">
            <w:pPr>
              <w:pStyle w:val="Default"/>
              <w:rPr>
                <w:rFonts w:asciiTheme="minorHAnsi" w:hAnsiTheme="minorHAnsi" w:cstheme="minorHAnsi"/>
                <w:sz w:val="22"/>
                <w:szCs w:val="22"/>
              </w:rPr>
            </w:pPr>
          </w:p>
          <w:p w14:paraId="025F22EC" w14:textId="5326D9AE" w:rsidR="00F00DF1" w:rsidRDefault="00F00DF1" w:rsidP="00F00DF1">
            <w:pPr>
              <w:jc w:val="both"/>
              <w:rPr>
                <w:rFonts w:asciiTheme="minorHAnsi" w:hAnsiTheme="minorHAnsi" w:cstheme="minorHAnsi"/>
                <w:szCs w:val="22"/>
              </w:rPr>
            </w:pPr>
            <w:r w:rsidRPr="00DD5E36">
              <w:rPr>
                <w:rFonts w:asciiTheme="minorHAnsi" w:hAnsiTheme="minorHAnsi" w:cstheme="minorHAnsi"/>
                <w:szCs w:val="22"/>
              </w:rPr>
              <w:t>Without an exploratory ground investigation, the substratum may not be free draining and thus not support the concept of permeable hardstanding. Simonstone Lane has a history of issues regarding surface water run-off into the adopted highway and the local highway authority requests that the applicant provides measures to incept any surface water run-off into the adopted highway from the application site</w:t>
            </w:r>
            <w:r>
              <w:rPr>
                <w:rFonts w:asciiTheme="minorHAnsi" w:hAnsiTheme="minorHAnsi" w:cstheme="minorHAnsi"/>
                <w:szCs w:val="22"/>
              </w:rPr>
              <w:t>.</w:t>
            </w:r>
          </w:p>
          <w:p w14:paraId="1479DA41" w14:textId="21B6B4A0" w:rsidR="003462F5" w:rsidRDefault="003462F5" w:rsidP="00F00DF1">
            <w:pPr>
              <w:jc w:val="both"/>
              <w:rPr>
                <w:rFonts w:asciiTheme="minorHAnsi" w:hAnsiTheme="minorHAnsi" w:cstheme="minorHAnsi"/>
                <w:szCs w:val="22"/>
              </w:rPr>
            </w:pPr>
          </w:p>
          <w:p w14:paraId="495F262D" w14:textId="77777777" w:rsidR="003462F5" w:rsidRPr="000A55EC" w:rsidRDefault="003462F5" w:rsidP="003462F5">
            <w:pPr>
              <w:overflowPunct/>
              <w:textAlignment w:val="auto"/>
              <w:rPr>
                <w:rFonts w:asciiTheme="minorHAnsi" w:eastAsiaTheme="minorHAnsi" w:hAnsiTheme="minorHAnsi" w:cstheme="minorHAnsi"/>
                <w:szCs w:val="22"/>
              </w:rPr>
            </w:pPr>
            <w:r w:rsidRPr="000A55EC">
              <w:rPr>
                <w:rFonts w:asciiTheme="minorHAnsi" w:eastAsiaTheme="minorHAnsi" w:hAnsiTheme="minorHAnsi" w:cstheme="minorHAnsi"/>
                <w:szCs w:val="22"/>
              </w:rPr>
              <w:t>One of conditions requested:</w:t>
            </w:r>
          </w:p>
          <w:p w14:paraId="477571B1" w14:textId="77777777" w:rsidR="003462F5" w:rsidRPr="003462F5" w:rsidRDefault="003462F5" w:rsidP="003462F5">
            <w:pPr>
              <w:overflowPunct/>
              <w:textAlignment w:val="auto"/>
              <w:rPr>
                <w:rFonts w:eastAsiaTheme="minorHAnsi" w:cs="Arial"/>
                <w:color w:val="000000"/>
                <w:sz w:val="24"/>
                <w:szCs w:val="24"/>
              </w:rPr>
            </w:pPr>
          </w:p>
          <w:p w14:paraId="7F97674B" w14:textId="77777777" w:rsidR="003462F5" w:rsidRPr="003462F5" w:rsidRDefault="003462F5" w:rsidP="003462F5">
            <w:pPr>
              <w:overflowPunct/>
              <w:textAlignment w:val="auto"/>
              <w:rPr>
                <w:rFonts w:asciiTheme="minorHAnsi" w:eastAsiaTheme="minorHAnsi" w:hAnsiTheme="minorHAnsi" w:cstheme="minorHAnsi"/>
                <w:szCs w:val="22"/>
              </w:rPr>
            </w:pPr>
            <w:r w:rsidRPr="003462F5">
              <w:rPr>
                <w:rFonts w:asciiTheme="minorHAnsi" w:eastAsiaTheme="minorHAnsi" w:hAnsiTheme="minorHAnsi" w:cstheme="minorHAnsi"/>
                <w:szCs w:val="22"/>
              </w:rPr>
              <w:t xml:space="preserve">Before the access is used for vehicular purposes, any gateposts erected at the access shall be positioned 5m behind the nearside edge of the highway and visibility splay fences or walls shall be erected from the gateposts to the existing highway boundary, such splays shall be 45° to the centre line of the access. The gates shall open away from the highway. Should the access remain un-gated 45° splays shall be provided between the highway boundary and points on either side of the drive measured 5m back from the nearside edge of the highway. </w:t>
            </w:r>
          </w:p>
          <w:p w14:paraId="793C1CC3" w14:textId="77777777" w:rsidR="003462F5" w:rsidRDefault="003462F5" w:rsidP="00F00DF1">
            <w:pPr>
              <w:jc w:val="both"/>
              <w:rPr>
                <w:rFonts w:asciiTheme="minorHAnsi" w:hAnsiTheme="minorHAnsi" w:cstheme="minorHAnsi"/>
                <w:szCs w:val="22"/>
              </w:rPr>
            </w:pPr>
          </w:p>
          <w:p w14:paraId="16CB631F" w14:textId="77777777" w:rsidR="00F00DF1" w:rsidRDefault="00F00DF1" w:rsidP="00F00DF1">
            <w:pPr>
              <w:jc w:val="both"/>
              <w:rPr>
                <w:rFonts w:asciiTheme="minorHAnsi" w:hAnsiTheme="minorHAnsi" w:cstheme="minorHAnsi"/>
                <w:szCs w:val="22"/>
              </w:rPr>
            </w:pPr>
          </w:p>
          <w:p w14:paraId="13A65643" w14:textId="77777777" w:rsidR="00F00DF1" w:rsidRPr="008D6997" w:rsidRDefault="00F00DF1" w:rsidP="00F00DF1">
            <w:pPr>
              <w:pStyle w:val="Default"/>
              <w:rPr>
                <w:rFonts w:asciiTheme="minorHAnsi" w:hAnsiTheme="minorHAnsi" w:cstheme="minorHAnsi"/>
                <w:sz w:val="22"/>
                <w:szCs w:val="22"/>
              </w:rPr>
            </w:pPr>
            <w:r w:rsidRPr="008D6997">
              <w:rPr>
                <w:rFonts w:asciiTheme="minorHAnsi" w:hAnsiTheme="minorHAnsi" w:cstheme="minorHAnsi"/>
                <w:i/>
                <w:iCs/>
                <w:sz w:val="22"/>
                <w:szCs w:val="22"/>
              </w:rPr>
              <w:t>(21/5/2021)</w:t>
            </w:r>
            <w:r w:rsidRPr="008D6997">
              <w:rPr>
                <w:rFonts w:asciiTheme="minorHAnsi" w:hAnsiTheme="minorHAnsi" w:cstheme="minorHAnsi"/>
                <w:sz w:val="22"/>
                <w:szCs w:val="22"/>
              </w:rPr>
              <w:t xml:space="preserve"> </w:t>
            </w:r>
            <w:r>
              <w:rPr>
                <w:rFonts w:asciiTheme="minorHAnsi" w:hAnsiTheme="minorHAnsi" w:cstheme="minorHAnsi"/>
                <w:sz w:val="22"/>
                <w:szCs w:val="22"/>
              </w:rPr>
              <w:t>C</w:t>
            </w:r>
            <w:r w:rsidRPr="008D6997">
              <w:rPr>
                <w:rFonts w:asciiTheme="minorHAnsi" w:hAnsiTheme="minorHAnsi" w:cstheme="minorHAnsi"/>
                <w:sz w:val="22"/>
                <w:szCs w:val="22"/>
              </w:rPr>
              <w:t>onfirm that addition of ACO drainage to the rear of the adopted highway as proposed within the revised layout at both application sites would satisfy the terms of condition number 1 in which I requested within my planning consultation responses to RVBC's LPA.</w:t>
            </w:r>
          </w:p>
          <w:p w14:paraId="6F480315" w14:textId="77777777" w:rsidR="00F00DF1" w:rsidRDefault="00F00DF1" w:rsidP="00F00DF1">
            <w:pPr>
              <w:pStyle w:val="Default"/>
              <w:rPr>
                <w:sz w:val="22"/>
                <w:szCs w:val="22"/>
              </w:rPr>
            </w:pPr>
          </w:p>
          <w:p w14:paraId="38AB260E" w14:textId="77777777" w:rsidR="00F00DF1" w:rsidRPr="008D6997" w:rsidRDefault="00F00DF1" w:rsidP="00F00DF1">
            <w:pPr>
              <w:pStyle w:val="Default"/>
              <w:rPr>
                <w:rFonts w:asciiTheme="minorHAnsi" w:hAnsiTheme="minorHAnsi" w:cstheme="minorHAnsi"/>
                <w:sz w:val="22"/>
                <w:szCs w:val="22"/>
              </w:rPr>
            </w:pPr>
            <w:r w:rsidRPr="008D6997">
              <w:rPr>
                <w:rFonts w:asciiTheme="minorHAnsi" w:hAnsiTheme="minorHAnsi" w:cstheme="minorHAnsi"/>
                <w:sz w:val="22"/>
                <w:szCs w:val="22"/>
              </w:rPr>
              <w:t>The revised drawings would also alleviate the requirement of the use of permeable surface course materials for the proposed hardstanding as the ACO drainage channels would intercept any surface water run-off from entering the public highway from the driveway, without causing any highway safety concerns and therefore an ordinary bound surface material would be fine.</w:t>
            </w:r>
          </w:p>
          <w:p w14:paraId="4BAB9E57" w14:textId="5D6F17D7" w:rsidR="00F00DF1" w:rsidRDefault="00F00DF1" w:rsidP="00FC046F">
            <w:pPr>
              <w:jc w:val="both"/>
              <w:rPr>
                <w:rFonts w:ascii="Calibri" w:hAnsi="Calibri"/>
                <w:szCs w:val="22"/>
              </w:rPr>
            </w:pPr>
          </w:p>
          <w:p w14:paraId="146B30BD" w14:textId="715297FF" w:rsidR="00287143" w:rsidRDefault="00287143" w:rsidP="00287143">
            <w:pPr>
              <w:rPr>
                <w:rFonts w:asciiTheme="minorHAnsi" w:hAnsiTheme="minorHAnsi" w:cstheme="minorHAnsi"/>
                <w:szCs w:val="22"/>
              </w:rPr>
            </w:pPr>
            <w:r>
              <w:rPr>
                <w:rFonts w:asciiTheme="minorHAnsi" w:hAnsiTheme="minorHAnsi" w:cstheme="minorHAnsi"/>
                <w:i/>
                <w:iCs/>
                <w:szCs w:val="22"/>
              </w:rPr>
              <w:lastRenderedPageBreak/>
              <w:t xml:space="preserve">(23/9/2021) </w:t>
            </w:r>
            <w:r>
              <w:rPr>
                <w:rFonts w:asciiTheme="minorHAnsi" w:hAnsiTheme="minorHAnsi" w:cstheme="minorHAnsi"/>
                <w:szCs w:val="22"/>
              </w:rPr>
              <w:t xml:space="preserve">reviewed both applications. Suggest that the gatepost condition is not required. Drainage condition </w:t>
            </w:r>
            <w:r w:rsidR="00DC1946">
              <w:rPr>
                <w:rFonts w:asciiTheme="minorHAnsi" w:hAnsiTheme="minorHAnsi" w:cstheme="minorHAnsi"/>
                <w:szCs w:val="22"/>
              </w:rPr>
              <w:t xml:space="preserve">(timing) </w:t>
            </w:r>
            <w:r>
              <w:rPr>
                <w:rFonts w:asciiTheme="minorHAnsi" w:hAnsiTheme="minorHAnsi" w:cstheme="minorHAnsi"/>
                <w:szCs w:val="22"/>
              </w:rPr>
              <w:t>suggested.</w:t>
            </w:r>
          </w:p>
          <w:p w14:paraId="76B19532" w14:textId="15B5921B" w:rsidR="00DC1946" w:rsidRDefault="00DC1946" w:rsidP="00287143">
            <w:pPr>
              <w:rPr>
                <w:rFonts w:asciiTheme="minorHAnsi" w:hAnsiTheme="minorHAnsi" w:cstheme="minorHAnsi"/>
                <w:szCs w:val="22"/>
              </w:rPr>
            </w:pPr>
          </w:p>
          <w:p w14:paraId="751FF064" w14:textId="000ECBFA" w:rsidR="00DC1946" w:rsidRPr="0033288C" w:rsidRDefault="00DC1946" w:rsidP="00DC1946">
            <w:pPr>
              <w:rPr>
                <w:rFonts w:asciiTheme="minorHAnsi" w:hAnsiTheme="minorHAnsi" w:cstheme="minorHAnsi"/>
                <w:szCs w:val="22"/>
              </w:rPr>
            </w:pPr>
            <w:r w:rsidRPr="0033288C">
              <w:rPr>
                <w:rFonts w:asciiTheme="minorHAnsi" w:hAnsiTheme="minorHAnsi" w:cstheme="minorHAnsi"/>
                <w:i/>
                <w:iCs/>
                <w:szCs w:val="22"/>
              </w:rPr>
              <w:t>(24/9/2021)</w:t>
            </w:r>
            <w:r>
              <w:rPr>
                <w:rFonts w:asciiTheme="minorHAnsi" w:hAnsiTheme="minorHAnsi" w:cstheme="minorHAnsi"/>
                <w:i/>
                <w:iCs/>
                <w:szCs w:val="22"/>
              </w:rPr>
              <w:t xml:space="preserve"> </w:t>
            </w:r>
            <w:r>
              <w:rPr>
                <w:rFonts w:asciiTheme="minorHAnsi" w:hAnsiTheme="minorHAnsi" w:cstheme="minorHAnsi"/>
                <w:szCs w:val="22"/>
              </w:rPr>
              <w:t xml:space="preserve">Confirmed acceptance re: gatepost/visibility splay condition deletion, addition of a note concerning possible planning permission requirements for gates etc and suggested drainage works implementation condition. </w:t>
            </w:r>
          </w:p>
          <w:p w14:paraId="71B2E1DC" w14:textId="77777777" w:rsidR="00DC1946" w:rsidRDefault="00DC1946" w:rsidP="00287143">
            <w:pPr>
              <w:rPr>
                <w:rFonts w:asciiTheme="minorHAnsi" w:hAnsiTheme="minorHAnsi" w:cstheme="minorHAnsi"/>
                <w:szCs w:val="22"/>
              </w:rPr>
            </w:pPr>
          </w:p>
          <w:p w14:paraId="5C6E9DDE" w14:textId="77777777" w:rsidR="00287143" w:rsidRDefault="00287143" w:rsidP="00FC046F">
            <w:pPr>
              <w:jc w:val="both"/>
              <w:rPr>
                <w:rFonts w:ascii="Calibri" w:hAnsi="Calibri"/>
                <w:szCs w:val="22"/>
              </w:rPr>
            </w:pPr>
          </w:p>
          <w:p w14:paraId="715BFB3F" w14:textId="701AFE88" w:rsidR="00F11E91" w:rsidRPr="00F11E91" w:rsidRDefault="00F11E91" w:rsidP="00FC046F">
            <w:pPr>
              <w:jc w:val="both"/>
              <w:rPr>
                <w:rFonts w:ascii="Calibri" w:hAnsi="Calibri"/>
                <w:b/>
                <w:bCs/>
                <w:szCs w:val="22"/>
              </w:rPr>
            </w:pPr>
            <w:r w:rsidRPr="00F11E91">
              <w:rPr>
                <w:rFonts w:ascii="Calibri" w:hAnsi="Calibri"/>
                <w:b/>
                <w:bCs/>
                <w:szCs w:val="22"/>
              </w:rPr>
              <w:t>RVBC Countryside:</w:t>
            </w:r>
          </w:p>
          <w:p w14:paraId="5F1A00BA" w14:textId="77777777" w:rsidR="00F11E91" w:rsidRPr="009A41D7" w:rsidRDefault="00F11E91" w:rsidP="00F11E91">
            <w:pPr>
              <w:rPr>
                <w:rFonts w:asciiTheme="minorHAnsi" w:hAnsiTheme="minorHAnsi" w:cstheme="minorHAnsi"/>
              </w:rPr>
            </w:pPr>
            <w:r w:rsidRPr="009A41D7">
              <w:rPr>
                <w:rFonts w:asciiTheme="minorHAnsi" w:hAnsiTheme="minorHAnsi" w:cstheme="minorHAnsi"/>
              </w:rPr>
              <w:t>Deodar Cedar [</w:t>
            </w:r>
            <w:proofErr w:type="spellStart"/>
            <w:r w:rsidRPr="009A41D7">
              <w:rPr>
                <w:rFonts w:asciiTheme="minorHAnsi" w:hAnsiTheme="minorHAnsi" w:cstheme="minorHAnsi"/>
              </w:rPr>
              <w:t>Cedrus</w:t>
            </w:r>
            <w:proofErr w:type="spellEnd"/>
            <w:r w:rsidRPr="009A41D7">
              <w:rPr>
                <w:rFonts w:asciiTheme="minorHAnsi" w:hAnsiTheme="minorHAnsi" w:cstheme="minorHAnsi"/>
              </w:rPr>
              <w:t xml:space="preserve"> deodara] not TPO d. </w:t>
            </w:r>
            <w:proofErr w:type="gramStart"/>
            <w:r w:rsidRPr="009A41D7">
              <w:rPr>
                <w:rFonts w:asciiTheme="minorHAnsi" w:hAnsiTheme="minorHAnsi" w:cstheme="minorHAnsi"/>
              </w:rPr>
              <w:t>Nice</w:t>
            </w:r>
            <w:proofErr w:type="gramEnd"/>
            <w:r w:rsidRPr="009A41D7">
              <w:rPr>
                <w:rFonts w:asciiTheme="minorHAnsi" w:hAnsiTheme="minorHAnsi" w:cstheme="minorHAnsi"/>
              </w:rPr>
              <w:t xml:space="preserve"> specimen, the root protection area of which will be compromised by any excavations. In my opinion, not of sufficient visual amenity value to warrant a TPO.</w:t>
            </w:r>
          </w:p>
          <w:p w14:paraId="56A3A5BC" w14:textId="77777777" w:rsidR="00F11E91" w:rsidRDefault="00F11E91" w:rsidP="00FC046F">
            <w:pPr>
              <w:jc w:val="both"/>
              <w:rPr>
                <w:rFonts w:ascii="Calibri" w:hAnsi="Calibri"/>
                <w:szCs w:val="22"/>
              </w:rPr>
            </w:pP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4689084E" w:rsidR="005878FE" w:rsidRPr="00435FC9" w:rsidRDefault="007A61D0"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DB97081" w14:textId="77777777" w:rsidTr="00504440">
        <w:trPr>
          <w:trHeight w:val="864"/>
          <w:jc w:val="center"/>
        </w:trPr>
        <w:tc>
          <w:tcPr>
            <w:tcW w:w="9555" w:type="dxa"/>
            <w:gridSpan w:val="14"/>
            <w:tcMar>
              <w:top w:w="57" w:type="dxa"/>
              <w:bottom w:w="57" w:type="dxa"/>
            </w:tcMar>
          </w:tcPr>
          <w:p w14:paraId="6F6E8C83" w14:textId="77777777" w:rsidR="007A61D0" w:rsidRDefault="007A61D0" w:rsidP="007A61D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7F1182CF" w14:textId="77777777" w:rsidR="007A61D0" w:rsidRPr="00AB48D4" w:rsidRDefault="007A61D0" w:rsidP="007A61D0">
            <w:pPr>
              <w:jc w:val="both"/>
              <w:rPr>
                <w:rFonts w:asciiTheme="minorHAnsi" w:hAnsiTheme="minorHAnsi" w:cstheme="minorHAnsi"/>
              </w:rPr>
            </w:pPr>
            <w:r w:rsidRPr="00AB48D4">
              <w:rPr>
                <w:rFonts w:asciiTheme="minorHAnsi" w:hAnsiTheme="minorHAnsi" w:cstheme="minorHAnsi"/>
              </w:rPr>
              <w:t>Key Statement EN5</w:t>
            </w:r>
            <w:r>
              <w:rPr>
                <w:rFonts w:asciiTheme="minorHAnsi" w:hAnsiTheme="minorHAnsi" w:cstheme="minorHAnsi"/>
              </w:rPr>
              <w:t xml:space="preserve"> – Heritage Assets</w:t>
            </w:r>
          </w:p>
          <w:p w14:paraId="5DD43DE7" w14:textId="77777777" w:rsidR="007A61D0" w:rsidRPr="00AB48D4" w:rsidRDefault="007A61D0" w:rsidP="007A61D0">
            <w:pPr>
              <w:jc w:val="both"/>
              <w:rPr>
                <w:rFonts w:asciiTheme="minorHAnsi" w:hAnsiTheme="minorHAnsi" w:cstheme="minorHAnsi"/>
              </w:rPr>
            </w:pPr>
            <w:r w:rsidRPr="00AB48D4">
              <w:rPr>
                <w:rFonts w:asciiTheme="minorHAnsi" w:hAnsiTheme="minorHAnsi" w:cstheme="minorHAnsi"/>
              </w:rPr>
              <w:t>Policy DMG1 – General Considerations.</w:t>
            </w:r>
          </w:p>
          <w:p w14:paraId="3257A6C1" w14:textId="77777777" w:rsidR="007A61D0" w:rsidRDefault="007A61D0" w:rsidP="007A61D0">
            <w:pPr>
              <w:jc w:val="both"/>
              <w:rPr>
                <w:rFonts w:asciiTheme="minorHAnsi" w:hAnsiTheme="minorHAnsi" w:cstheme="minorHAnsi"/>
              </w:rPr>
            </w:pPr>
            <w:r w:rsidRPr="00AB48D4">
              <w:rPr>
                <w:rFonts w:asciiTheme="minorHAnsi" w:hAnsiTheme="minorHAnsi" w:cstheme="minorHAnsi"/>
              </w:rPr>
              <w:t>Policy DMH</w:t>
            </w:r>
            <w:r>
              <w:rPr>
                <w:rFonts w:asciiTheme="minorHAnsi" w:hAnsiTheme="minorHAnsi" w:cstheme="minorHAnsi"/>
              </w:rPr>
              <w:t>5</w:t>
            </w:r>
            <w:r w:rsidRPr="00AB48D4">
              <w:rPr>
                <w:rFonts w:asciiTheme="minorHAnsi" w:hAnsiTheme="minorHAnsi" w:cstheme="minorHAnsi"/>
              </w:rPr>
              <w:t xml:space="preserve"> – </w:t>
            </w:r>
            <w:r>
              <w:rPr>
                <w:rFonts w:asciiTheme="minorHAnsi" w:hAnsiTheme="minorHAnsi" w:cstheme="minorHAnsi"/>
              </w:rPr>
              <w:t>Residential and Curtilage Extension</w:t>
            </w:r>
            <w:r w:rsidRPr="00AB48D4">
              <w:rPr>
                <w:rFonts w:asciiTheme="minorHAnsi" w:hAnsiTheme="minorHAnsi" w:cstheme="minorHAnsi"/>
              </w:rPr>
              <w:t>.</w:t>
            </w:r>
          </w:p>
          <w:p w14:paraId="67A4F9CD" w14:textId="77777777" w:rsidR="007A61D0" w:rsidRPr="00AB48D4" w:rsidRDefault="007A61D0" w:rsidP="007A61D0">
            <w:pPr>
              <w:jc w:val="both"/>
              <w:rPr>
                <w:rFonts w:asciiTheme="minorHAnsi" w:hAnsiTheme="minorHAnsi" w:cstheme="minorHAnsi"/>
              </w:rPr>
            </w:pPr>
            <w:r w:rsidRPr="00AB48D4">
              <w:rPr>
                <w:rFonts w:asciiTheme="minorHAnsi" w:hAnsiTheme="minorHAnsi" w:cstheme="minorHAnsi"/>
              </w:rPr>
              <w:t>Policy DME4 – Protecting Heritage Assets.</w:t>
            </w:r>
          </w:p>
          <w:p w14:paraId="3F101673" w14:textId="77777777" w:rsidR="007A61D0" w:rsidRDefault="007A61D0" w:rsidP="007A61D0">
            <w:pPr>
              <w:jc w:val="both"/>
              <w:rPr>
                <w:rFonts w:ascii="Calibri" w:hAnsi="Calibri"/>
                <w:b/>
                <w:szCs w:val="22"/>
              </w:rPr>
            </w:pPr>
          </w:p>
          <w:p w14:paraId="6739FF9C" w14:textId="77777777" w:rsidR="007A61D0" w:rsidRDefault="007A61D0" w:rsidP="007A61D0">
            <w:pPr>
              <w:jc w:val="both"/>
              <w:rPr>
                <w:rFonts w:asciiTheme="minorHAnsi" w:hAnsiTheme="minorHAnsi" w:cstheme="minorHAnsi"/>
              </w:rPr>
            </w:pPr>
            <w:r>
              <w:rPr>
                <w:rFonts w:asciiTheme="minorHAnsi" w:hAnsiTheme="minorHAnsi" w:cstheme="minorHAnsi"/>
              </w:rPr>
              <w:t>NPPF</w:t>
            </w:r>
          </w:p>
          <w:p w14:paraId="370FE89A" w14:textId="77777777" w:rsidR="007A61D0" w:rsidRPr="00AB48D4" w:rsidRDefault="007A61D0" w:rsidP="007A61D0">
            <w:pPr>
              <w:jc w:val="both"/>
              <w:rPr>
                <w:rFonts w:asciiTheme="minorHAnsi" w:hAnsiTheme="minorHAnsi" w:cstheme="minorHAnsi"/>
              </w:rPr>
            </w:pPr>
            <w:r>
              <w:rPr>
                <w:rFonts w:asciiTheme="minorHAnsi" w:hAnsiTheme="minorHAnsi" w:cstheme="minorHAnsi"/>
              </w:rPr>
              <w:t>NPPG</w:t>
            </w:r>
          </w:p>
          <w:p w14:paraId="6C57C1F9" w14:textId="77777777" w:rsidR="001946E0" w:rsidRPr="008C75E4" w:rsidRDefault="001946E0" w:rsidP="006126D1">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B7EF103" w14:textId="2605B803" w:rsidR="007A61D0" w:rsidRDefault="007A61D0" w:rsidP="007A61D0">
            <w:pPr>
              <w:pStyle w:val="PLANNING"/>
              <w:rPr>
                <w:rFonts w:ascii="Calibri" w:hAnsi="Calibri"/>
                <w:szCs w:val="22"/>
              </w:rPr>
            </w:pPr>
            <w:r w:rsidRPr="009E681D">
              <w:rPr>
                <w:rFonts w:ascii="Calibri" w:hAnsi="Calibri"/>
                <w:szCs w:val="22"/>
              </w:rPr>
              <w:t>No Pre-application advice sought.</w:t>
            </w:r>
          </w:p>
          <w:p w14:paraId="44710D67" w14:textId="77777777" w:rsidR="007A61D0" w:rsidRPr="009E681D" w:rsidRDefault="007A61D0" w:rsidP="007A61D0">
            <w:pPr>
              <w:pStyle w:val="PLANNING"/>
              <w:rPr>
                <w:rFonts w:ascii="Calibri" w:hAnsi="Calibri"/>
                <w:szCs w:val="22"/>
              </w:rPr>
            </w:pPr>
          </w:p>
          <w:p w14:paraId="7165FC71" w14:textId="0710D4A7" w:rsidR="007A61D0" w:rsidRDefault="007A61D0" w:rsidP="00454754">
            <w:pPr>
              <w:pStyle w:val="PLANNING"/>
              <w:rPr>
                <w:rFonts w:ascii="Calibri" w:hAnsi="Calibri"/>
                <w:bCs/>
                <w:szCs w:val="22"/>
              </w:rPr>
            </w:pPr>
            <w:r>
              <w:rPr>
                <w:rFonts w:ascii="Calibri" w:hAnsi="Calibri"/>
                <w:bCs/>
                <w:szCs w:val="22"/>
              </w:rPr>
              <w:t xml:space="preserve">3/2021/0116 - </w:t>
            </w:r>
            <w:r w:rsidRPr="00CA6628">
              <w:rPr>
                <w:rFonts w:asciiTheme="minorHAnsi" w:hAnsiTheme="minorHAnsi" w:cstheme="minorHAnsi"/>
                <w:szCs w:val="22"/>
                <w:lang w:val="en"/>
              </w:rPr>
              <w:t xml:space="preserve">Proposed new porch and vehicle </w:t>
            </w:r>
            <w:proofErr w:type="spellStart"/>
            <w:r w:rsidRPr="00CA6628">
              <w:rPr>
                <w:rFonts w:asciiTheme="minorHAnsi" w:hAnsiTheme="minorHAnsi" w:cstheme="minorHAnsi"/>
                <w:szCs w:val="22"/>
                <w:lang w:val="en"/>
              </w:rPr>
              <w:t>hardstanding</w:t>
            </w:r>
            <w:proofErr w:type="spellEnd"/>
            <w:r w:rsidRPr="00CA6628">
              <w:rPr>
                <w:rFonts w:asciiTheme="minorHAnsi" w:hAnsiTheme="minorHAnsi" w:cstheme="minorHAnsi"/>
                <w:szCs w:val="22"/>
                <w:lang w:val="en"/>
              </w:rPr>
              <w:t>.</w:t>
            </w:r>
            <w:r>
              <w:rPr>
                <w:rFonts w:asciiTheme="minorHAnsi" w:hAnsiTheme="minorHAnsi" w:cstheme="minorHAnsi"/>
                <w:szCs w:val="22"/>
                <w:lang w:val="en"/>
              </w:rPr>
              <w:t xml:space="preserve"> </w:t>
            </w:r>
            <w:r w:rsidRPr="00CA6628">
              <w:rPr>
                <w:rStyle w:val="Strong"/>
                <w:rFonts w:asciiTheme="minorHAnsi" w:hAnsiTheme="minorHAnsi" w:cstheme="minorHAnsi"/>
                <w:b w:val="0"/>
                <w:bCs w:val="0"/>
                <w:szCs w:val="22"/>
              </w:rPr>
              <w:t>Brackley</w:t>
            </w:r>
            <w:r>
              <w:rPr>
                <w:rStyle w:val="Strong"/>
                <w:rFonts w:asciiTheme="minorHAnsi" w:hAnsiTheme="minorHAnsi" w:cstheme="minorHAnsi"/>
                <w:b w:val="0"/>
                <w:bCs w:val="0"/>
                <w:szCs w:val="22"/>
              </w:rPr>
              <w:t xml:space="preserve"> </w:t>
            </w:r>
            <w:r>
              <w:rPr>
                <w:rFonts w:ascii="Calibri" w:hAnsi="Calibri"/>
                <w:bCs/>
                <w:szCs w:val="22"/>
              </w:rPr>
              <w:t>(adjoining property in semi-detached building). Under consideration.</w:t>
            </w:r>
          </w:p>
          <w:p w14:paraId="3ED9FAFF" w14:textId="77777777" w:rsidR="007A61D0" w:rsidRDefault="007A61D0" w:rsidP="00454754">
            <w:pPr>
              <w:pStyle w:val="PLANNING"/>
              <w:rPr>
                <w:rFonts w:ascii="Calibri" w:hAnsi="Calibri"/>
                <w:bCs/>
                <w:szCs w:val="22"/>
              </w:rPr>
            </w:pPr>
          </w:p>
          <w:p w14:paraId="6EEF035A" w14:textId="24E669A4" w:rsidR="00101855" w:rsidRPr="001946E0" w:rsidRDefault="007A61D0" w:rsidP="00454754">
            <w:pPr>
              <w:pStyle w:val="PLANNING"/>
              <w:rPr>
                <w:rFonts w:ascii="Calibri" w:hAnsi="Calibri"/>
                <w:bCs/>
                <w:szCs w:val="22"/>
              </w:rPr>
            </w:pPr>
            <w:r>
              <w:rPr>
                <w:rFonts w:ascii="Calibri" w:hAnsi="Calibri"/>
                <w:bCs/>
                <w:szCs w:val="22"/>
              </w:rPr>
              <w:t xml:space="preserve">3/2004/0132 - </w:t>
            </w:r>
            <w:r w:rsidR="007D2557">
              <w:rPr>
                <w:rFonts w:ascii="Calibri" w:hAnsi="Calibri"/>
                <w:bCs/>
                <w:szCs w:val="22"/>
              </w:rPr>
              <w:t>T</w:t>
            </w:r>
            <w:r w:rsidR="007D2557" w:rsidRPr="007D2557">
              <w:rPr>
                <w:rFonts w:asciiTheme="minorHAnsi" w:hAnsiTheme="minorHAnsi" w:cstheme="minorHAnsi"/>
                <w:szCs w:val="22"/>
                <w:lang w:val="en"/>
              </w:rPr>
              <w:t xml:space="preserve">wo </w:t>
            </w:r>
            <w:proofErr w:type="spellStart"/>
            <w:r w:rsidR="007D2557" w:rsidRPr="007D2557">
              <w:rPr>
                <w:rFonts w:asciiTheme="minorHAnsi" w:hAnsiTheme="minorHAnsi" w:cstheme="minorHAnsi"/>
                <w:szCs w:val="22"/>
                <w:lang w:val="en"/>
              </w:rPr>
              <w:t>storey</w:t>
            </w:r>
            <w:proofErr w:type="spellEnd"/>
            <w:r w:rsidR="007D2557" w:rsidRPr="007D2557">
              <w:rPr>
                <w:rFonts w:asciiTheme="minorHAnsi" w:hAnsiTheme="minorHAnsi" w:cstheme="minorHAnsi"/>
                <w:szCs w:val="22"/>
                <w:lang w:val="en"/>
              </w:rPr>
              <w:t xml:space="preserve"> extension to rear. </w:t>
            </w:r>
            <w:r w:rsidR="007D2557">
              <w:rPr>
                <w:rFonts w:asciiTheme="minorHAnsi" w:hAnsiTheme="minorHAnsi" w:cstheme="minorHAnsi"/>
                <w:szCs w:val="22"/>
                <w:lang w:val="en"/>
              </w:rPr>
              <w:t xml:space="preserve">PP granted </w:t>
            </w:r>
            <w:r w:rsidR="007D2557" w:rsidRPr="007D2557">
              <w:rPr>
                <w:rFonts w:asciiTheme="minorHAnsi" w:hAnsiTheme="minorHAnsi" w:cstheme="minorHAnsi"/>
                <w:szCs w:val="22"/>
                <w:lang w:val="en"/>
              </w:rPr>
              <w:t>31/3/2004.</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8D5594A"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EB3536" w14:textId="68CF76E2" w:rsidR="004B5DBC" w:rsidRDefault="004B5DBC" w:rsidP="004B5DBC">
            <w:pPr>
              <w:pStyle w:val="Header"/>
              <w:tabs>
                <w:tab w:val="clear" w:pos="4153"/>
                <w:tab w:val="clear" w:pos="8306"/>
              </w:tabs>
              <w:contextualSpacing/>
              <w:jc w:val="both"/>
              <w:rPr>
                <w:rFonts w:asciiTheme="minorHAnsi" w:hAnsiTheme="minorHAnsi" w:cstheme="minorHAnsi"/>
                <w:szCs w:val="22"/>
                <w:lang w:val="en"/>
              </w:rPr>
            </w:pPr>
            <w:proofErr w:type="spellStart"/>
            <w:r>
              <w:rPr>
                <w:rFonts w:ascii="Calibri" w:hAnsi="Calibri"/>
                <w:bCs/>
                <w:szCs w:val="22"/>
              </w:rPr>
              <w:t>Raydale</w:t>
            </w:r>
            <w:proofErr w:type="spellEnd"/>
            <w:r>
              <w:rPr>
                <w:rFonts w:ascii="Calibri" w:hAnsi="Calibri"/>
                <w:bCs/>
                <w:szCs w:val="22"/>
              </w:rPr>
              <w:t xml:space="preserve"> </w:t>
            </w:r>
            <w:r w:rsidRPr="00C60657">
              <w:rPr>
                <w:rFonts w:ascii="Calibri" w:hAnsi="Calibri"/>
                <w:bCs/>
                <w:szCs w:val="22"/>
              </w:rPr>
              <w:t xml:space="preserve">is a mid-C20 semi-detached house (adjoined to </w:t>
            </w:r>
            <w:proofErr w:type="spellStart"/>
            <w:r w:rsidRPr="00C60657">
              <w:rPr>
                <w:rFonts w:ascii="Calibri" w:hAnsi="Calibri"/>
                <w:bCs/>
                <w:szCs w:val="22"/>
              </w:rPr>
              <w:t>Raydale</w:t>
            </w:r>
            <w:proofErr w:type="spellEnd"/>
            <w:r w:rsidRPr="00C60657">
              <w:rPr>
                <w:rFonts w:ascii="Calibri" w:hAnsi="Calibri"/>
                <w:bCs/>
                <w:szCs w:val="22"/>
              </w:rPr>
              <w:t>)</w:t>
            </w:r>
            <w:r>
              <w:rPr>
                <w:rFonts w:ascii="Calibri" w:hAnsi="Calibri"/>
                <w:bCs/>
                <w:szCs w:val="22"/>
              </w:rPr>
              <w:t xml:space="preserve"> within the settlement boundary of Simonstone [part of a salient of built development surrounded by Open Countryside (EN2) and Green Belt (EN1)]. The site is within the immediate setting of ‘Starkie Farmhouse’, ‘Wilkinson’s Farmhouse’ and ‘P</w:t>
            </w:r>
            <w:proofErr w:type="spellStart"/>
            <w:r w:rsidRPr="00005CFC">
              <w:rPr>
                <w:rFonts w:asciiTheme="minorHAnsi" w:hAnsiTheme="minorHAnsi" w:cstheme="minorHAnsi"/>
                <w:szCs w:val="22"/>
                <w:lang w:val="en"/>
              </w:rPr>
              <w:t>igsties</w:t>
            </w:r>
            <w:proofErr w:type="spellEnd"/>
            <w:r w:rsidRPr="00005CFC">
              <w:rPr>
                <w:rFonts w:asciiTheme="minorHAnsi" w:hAnsiTheme="minorHAnsi" w:cstheme="minorHAnsi"/>
                <w:szCs w:val="22"/>
                <w:lang w:val="en"/>
              </w:rPr>
              <w:t xml:space="preserve"> with poultry loft, circa 15 </w:t>
            </w:r>
            <w:proofErr w:type="spellStart"/>
            <w:r w:rsidRPr="00005CFC">
              <w:rPr>
                <w:rFonts w:asciiTheme="minorHAnsi" w:hAnsiTheme="minorHAnsi" w:cstheme="minorHAnsi"/>
                <w:szCs w:val="22"/>
                <w:lang w:val="en"/>
              </w:rPr>
              <w:t>metres</w:t>
            </w:r>
            <w:proofErr w:type="spellEnd"/>
            <w:r w:rsidRPr="00005CFC">
              <w:rPr>
                <w:rFonts w:asciiTheme="minorHAnsi" w:hAnsiTheme="minorHAnsi" w:cstheme="minorHAnsi"/>
                <w:szCs w:val="22"/>
                <w:lang w:val="en"/>
              </w:rPr>
              <w:t xml:space="preserve"> </w:t>
            </w:r>
            <w:proofErr w:type="gramStart"/>
            <w:r w:rsidRPr="00005CFC">
              <w:rPr>
                <w:rFonts w:asciiTheme="minorHAnsi" w:hAnsiTheme="minorHAnsi" w:cstheme="minorHAnsi"/>
                <w:szCs w:val="22"/>
                <w:lang w:val="en"/>
              </w:rPr>
              <w:t>north west</w:t>
            </w:r>
            <w:proofErr w:type="gramEnd"/>
            <w:r w:rsidRPr="00005CFC">
              <w:rPr>
                <w:rFonts w:asciiTheme="minorHAnsi" w:hAnsiTheme="minorHAnsi" w:cstheme="minorHAnsi"/>
                <w:szCs w:val="22"/>
                <w:lang w:val="en"/>
              </w:rPr>
              <w:t xml:space="preserve"> of </w:t>
            </w:r>
            <w:proofErr w:type="spellStart"/>
            <w:r>
              <w:rPr>
                <w:rFonts w:asciiTheme="minorHAnsi" w:hAnsiTheme="minorHAnsi" w:cstheme="minorHAnsi"/>
                <w:szCs w:val="22"/>
                <w:lang w:val="en"/>
              </w:rPr>
              <w:t>W</w:t>
            </w:r>
            <w:r w:rsidRPr="00005CFC">
              <w:rPr>
                <w:rFonts w:asciiTheme="minorHAnsi" w:hAnsiTheme="minorHAnsi" w:cstheme="minorHAnsi"/>
                <w:szCs w:val="22"/>
                <w:lang w:val="en"/>
              </w:rPr>
              <w:t>ilkinsons</w:t>
            </w:r>
            <w:proofErr w:type="spellEnd"/>
            <w:r w:rsidRPr="00005CFC">
              <w:rPr>
                <w:rFonts w:asciiTheme="minorHAnsi" w:hAnsiTheme="minorHAnsi" w:cstheme="minorHAnsi"/>
                <w:szCs w:val="22"/>
                <w:lang w:val="en"/>
              </w:rPr>
              <w:t xml:space="preserve"> </w:t>
            </w:r>
            <w:r>
              <w:rPr>
                <w:rFonts w:asciiTheme="minorHAnsi" w:hAnsiTheme="minorHAnsi" w:cstheme="minorHAnsi"/>
                <w:szCs w:val="22"/>
                <w:lang w:val="en"/>
              </w:rPr>
              <w:t>F</w:t>
            </w:r>
            <w:r w:rsidRPr="00005CFC">
              <w:rPr>
                <w:rFonts w:asciiTheme="minorHAnsi" w:hAnsiTheme="minorHAnsi" w:cstheme="minorHAnsi"/>
                <w:szCs w:val="22"/>
                <w:lang w:val="en"/>
              </w:rPr>
              <w:t>armhouse</w:t>
            </w:r>
            <w:r>
              <w:rPr>
                <w:rFonts w:asciiTheme="minorHAnsi" w:hAnsiTheme="minorHAnsi" w:cstheme="minorHAnsi"/>
                <w:szCs w:val="22"/>
                <w:lang w:val="en"/>
              </w:rPr>
              <w:t>’ (all Grade II).</w:t>
            </w:r>
          </w:p>
          <w:p w14:paraId="1D6522B9" w14:textId="77777777" w:rsidR="004B5DBC" w:rsidRDefault="004B5DBC" w:rsidP="004B5DBC">
            <w:pPr>
              <w:pStyle w:val="Header"/>
              <w:tabs>
                <w:tab w:val="clear" w:pos="4153"/>
                <w:tab w:val="clear" w:pos="8306"/>
              </w:tabs>
              <w:contextualSpacing/>
              <w:jc w:val="both"/>
              <w:rPr>
                <w:rFonts w:asciiTheme="minorHAnsi" w:hAnsiTheme="minorHAnsi" w:cstheme="minorHAnsi"/>
                <w:bCs/>
                <w:szCs w:val="22"/>
                <w:lang w:val="en"/>
              </w:rPr>
            </w:pPr>
          </w:p>
          <w:p w14:paraId="6EDEDD1A" w14:textId="4BF1DF55" w:rsidR="007A61D0" w:rsidRPr="00D102D9" w:rsidRDefault="004B5DBC" w:rsidP="004B5DBC">
            <w:pPr>
              <w:pStyle w:val="Header"/>
              <w:tabs>
                <w:tab w:val="clear" w:pos="4153"/>
                <w:tab w:val="clear" w:pos="8306"/>
              </w:tabs>
              <w:contextualSpacing/>
              <w:jc w:val="both"/>
              <w:rPr>
                <w:rFonts w:ascii="Calibri" w:hAnsi="Calibri"/>
                <w:b/>
                <w:szCs w:val="22"/>
              </w:rPr>
            </w:pPr>
            <w:r>
              <w:rPr>
                <w:rFonts w:asciiTheme="minorHAnsi" w:hAnsiTheme="minorHAnsi" w:cstheme="minorHAnsi"/>
                <w:bCs/>
                <w:szCs w:val="22"/>
                <w:lang w:val="en"/>
              </w:rPr>
              <w:t>The property appears to have garaging to the rear of the site.</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149747E" w14:textId="1A0A6894" w:rsidR="00107D02" w:rsidRDefault="00107D02" w:rsidP="00107D02">
            <w:pPr>
              <w:pStyle w:val="Header"/>
              <w:tabs>
                <w:tab w:val="clear" w:pos="4153"/>
                <w:tab w:val="clear" w:pos="8306"/>
              </w:tabs>
              <w:jc w:val="both"/>
              <w:rPr>
                <w:rFonts w:ascii="Calibri" w:hAnsi="Calibri"/>
                <w:szCs w:val="22"/>
              </w:rPr>
            </w:pPr>
            <w:r>
              <w:rPr>
                <w:rFonts w:ascii="Calibri" w:hAnsi="Calibri"/>
                <w:szCs w:val="22"/>
              </w:rPr>
              <w:t>Planning permission is sought for replacement of the wall enclosed front lawn with a vehicle hardstanding.</w:t>
            </w:r>
          </w:p>
          <w:p w14:paraId="50A86FCD" w14:textId="77777777" w:rsidR="00107D02" w:rsidRDefault="00107D02" w:rsidP="00107D02">
            <w:pPr>
              <w:pStyle w:val="Header"/>
              <w:tabs>
                <w:tab w:val="clear" w:pos="4153"/>
                <w:tab w:val="clear" w:pos="8306"/>
              </w:tabs>
              <w:jc w:val="both"/>
              <w:rPr>
                <w:rFonts w:ascii="Calibri" w:hAnsi="Calibri"/>
                <w:szCs w:val="22"/>
              </w:rPr>
            </w:pPr>
          </w:p>
          <w:p w14:paraId="68D5E469" w14:textId="220020FA" w:rsidR="00107D02" w:rsidRDefault="00107D02" w:rsidP="00107D02">
            <w:pPr>
              <w:pStyle w:val="Header"/>
              <w:tabs>
                <w:tab w:val="clear" w:pos="4153"/>
                <w:tab w:val="clear" w:pos="8306"/>
              </w:tabs>
              <w:jc w:val="both"/>
              <w:rPr>
                <w:rFonts w:ascii="Calibri" w:hAnsi="Calibri"/>
                <w:szCs w:val="22"/>
              </w:rPr>
            </w:pPr>
            <w:r>
              <w:rPr>
                <w:rFonts w:ascii="Calibri" w:hAnsi="Calibri"/>
                <w:szCs w:val="22"/>
              </w:rPr>
              <w:t xml:space="preserve">Vegetation (including trees) and most existing walling is to be removed. However, most of the </w:t>
            </w:r>
            <w:proofErr w:type="gramStart"/>
            <w:r>
              <w:rPr>
                <w:rFonts w:ascii="Calibri" w:hAnsi="Calibri"/>
                <w:szCs w:val="22"/>
              </w:rPr>
              <w:t>roadside  walling</w:t>
            </w:r>
            <w:proofErr w:type="gramEnd"/>
            <w:r>
              <w:rPr>
                <w:rFonts w:ascii="Calibri" w:hAnsi="Calibri"/>
                <w:szCs w:val="22"/>
              </w:rPr>
              <w:t xml:space="preserve"> (with a small garden behind this) is shown to be retained. Side elevation drawings show excavation from the garden space but little overall change to site levels.</w:t>
            </w:r>
          </w:p>
          <w:p w14:paraId="79FDCD37" w14:textId="18B6B23E" w:rsidR="00F65182" w:rsidRDefault="00F65182" w:rsidP="00107D02">
            <w:pPr>
              <w:pStyle w:val="Header"/>
              <w:tabs>
                <w:tab w:val="clear" w:pos="4153"/>
                <w:tab w:val="clear" w:pos="8306"/>
              </w:tabs>
              <w:jc w:val="both"/>
              <w:rPr>
                <w:rFonts w:ascii="Calibri" w:hAnsi="Calibri"/>
                <w:szCs w:val="22"/>
              </w:rPr>
            </w:pPr>
          </w:p>
          <w:p w14:paraId="6CCEFC96" w14:textId="7EDD724A" w:rsidR="00260D7F" w:rsidRPr="00260D7F" w:rsidRDefault="00F65182" w:rsidP="00260D7F">
            <w:pPr>
              <w:pStyle w:val="Default"/>
              <w:rPr>
                <w:rFonts w:asciiTheme="minorHAnsi" w:hAnsiTheme="minorHAnsi" w:cstheme="minorHAnsi"/>
                <w:color w:val="auto"/>
                <w:sz w:val="22"/>
                <w:szCs w:val="22"/>
              </w:rPr>
            </w:pPr>
            <w:r w:rsidRPr="00A06EE7">
              <w:rPr>
                <w:rFonts w:ascii="Calibri" w:hAnsi="Calibri"/>
                <w:sz w:val="22"/>
                <w:szCs w:val="22"/>
              </w:rPr>
              <w:t xml:space="preserve">New hardstanding </w:t>
            </w:r>
            <w:r w:rsidR="00260D7F" w:rsidRPr="00A06EE7">
              <w:rPr>
                <w:rFonts w:ascii="Calibri" w:hAnsi="Calibri"/>
                <w:sz w:val="22"/>
                <w:szCs w:val="22"/>
              </w:rPr>
              <w:t xml:space="preserve">shown </w:t>
            </w:r>
            <w:r w:rsidRPr="00A06EE7">
              <w:rPr>
                <w:rFonts w:ascii="Calibri" w:hAnsi="Calibri"/>
                <w:sz w:val="22"/>
                <w:szCs w:val="22"/>
              </w:rPr>
              <w:t>to be finished in Resin Bound Gravel “porous and SUDS compliant”.</w:t>
            </w:r>
            <w:r w:rsidR="00260D7F">
              <w:rPr>
                <w:rFonts w:ascii="Calibri" w:hAnsi="Calibri"/>
                <w:szCs w:val="22"/>
              </w:rPr>
              <w:t xml:space="preserve"> </w:t>
            </w:r>
            <w:r w:rsidR="00260D7F" w:rsidRPr="00260D7F">
              <w:rPr>
                <w:rFonts w:asciiTheme="minorHAnsi" w:hAnsiTheme="minorHAnsi" w:cstheme="minorHAnsi"/>
                <w:color w:val="auto"/>
                <w:sz w:val="22"/>
                <w:szCs w:val="22"/>
              </w:rPr>
              <w:t xml:space="preserve">However, LCC Highways letter of 21/5/2021 advises the applicant “The revised drawings would also alleviate the </w:t>
            </w:r>
            <w:r w:rsidR="00260D7F" w:rsidRPr="00260D7F">
              <w:rPr>
                <w:rFonts w:asciiTheme="minorHAnsi" w:hAnsiTheme="minorHAnsi" w:cstheme="minorHAnsi"/>
                <w:color w:val="auto"/>
                <w:sz w:val="22"/>
                <w:szCs w:val="22"/>
              </w:rPr>
              <w:lastRenderedPageBreak/>
              <w:t>requirement of the use of permeable surface course materials for the proposed hardstanding as the ACO drainage channels would intercept any surface water run-off from entering the public highway from the driveway, without causing any highway safety concerns and therefore an ordinary bound surface material would be fine”.</w:t>
            </w:r>
          </w:p>
          <w:p w14:paraId="33E0A05C" w14:textId="5BBCF9F5" w:rsidR="00F65182" w:rsidRDefault="00F65182" w:rsidP="00107D02">
            <w:pPr>
              <w:pStyle w:val="Header"/>
              <w:tabs>
                <w:tab w:val="clear" w:pos="4153"/>
                <w:tab w:val="clear" w:pos="8306"/>
              </w:tabs>
              <w:jc w:val="both"/>
              <w:rPr>
                <w:rFonts w:ascii="Calibri" w:hAnsi="Calibri"/>
                <w:szCs w:val="22"/>
              </w:rPr>
            </w:pPr>
          </w:p>
          <w:p w14:paraId="70A88CBF" w14:textId="77777777" w:rsidR="00107D02" w:rsidRDefault="00107D02" w:rsidP="00107D02">
            <w:pPr>
              <w:pStyle w:val="Header"/>
              <w:tabs>
                <w:tab w:val="clear" w:pos="4153"/>
                <w:tab w:val="clear" w:pos="8306"/>
              </w:tabs>
              <w:jc w:val="both"/>
              <w:rPr>
                <w:rFonts w:ascii="Calibri" w:hAnsi="Calibri"/>
                <w:szCs w:val="22"/>
              </w:rPr>
            </w:pPr>
          </w:p>
          <w:p w14:paraId="010B1F22" w14:textId="3FF6697A" w:rsidR="00454754" w:rsidRPr="00F012FA" w:rsidRDefault="00107D02" w:rsidP="00454754">
            <w:pPr>
              <w:pStyle w:val="Header"/>
              <w:tabs>
                <w:tab w:val="clear" w:pos="4153"/>
                <w:tab w:val="clear" w:pos="8306"/>
              </w:tabs>
              <w:jc w:val="both"/>
              <w:rPr>
                <w:rFonts w:ascii="Calibri" w:hAnsi="Calibri"/>
                <w:szCs w:val="22"/>
              </w:rPr>
            </w:pPr>
            <w:r>
              <w:rPr>
                <w:rFonts w:ascii="Calibri" w:hAnsi="Calibri"/>
                <w:szCs w:val="22"/>
              </w:rPr>
              <w:t>Following LCC Highways request for further details of site drainage, revised plans submitted.</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50BAD2C1" w:rsidR="006D7624" w:rsidRPr="006D7624" w:rsidRDefault="00561AF8" w:rsidP="006D7624">
            <w:pPr>
              <w:pStyle w:val="Header"/>
              <w:jc w:val="both"/>
              <w:rPr>
                <w:rFonts w:ascii="Calibri" w:hAnsi="Calibri"/>
                <w:b/>
                <w:szCs w:val="22"/>
              </w:rPr>
            </w:pPr>
            <w:r>
              <w:rPr>
                <w:rFonts w:ascii="Calibri" w:hAnsi="Calibri"/>
                <w:b/>
                <w:szCs w:val="22"/>
              </w:rPr>
              <w:lastRenderedPageBreak/>
              <w:t>Impact upon the setting of listed buildings</w:t>
            </w:r>
            <w:r w:rsidR="006D7624" w:rsidRPr="006D7624">
              <w:rPr>
                <w:rFonts w:ascii="Calibri" w:hAnsi="Calibri"/>
                <w:b/>
                <w:szCs w:val="22"/>
              </w:rPr>
              <w:t>:</w:t>
            </w:r>
          </w:p>
          <w:p w14:paraId="5ED46032" w14:textId="12466C77" w:rsidR="00D102D9" w:rsidRPr="006D7624" w:rsidRDefault="00561AF8" w:rsidP="00454754">
            <w:pPr>
              <w:pStyle w:val="Header"/>
              <w:tabs>
                <w:tab w:val="clear" w:pos="4153"/>
                <w:tab w:val="clear" w:pos="8306"/>
              </w:tabs>
              <w:jc w:val="both"/>
              <w:rPr>
                <w:rFonts w:ascii="Calibri" w:hAnsi="Calibri"/>
                <w:szCs w:val="22"/>
              </w:rPr>
            </w:pPr>
            <w:r>
              <w:rPr>
                <w:rFonts w:ascii="Calibri" w:hAnsi="Calibri"/>
                <w:szCs w:val="22"/>
              </w:rPr>
              <w:t>The proposals have an acceptable impact in this regard.</w:t>
            </w: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8B25B16" w14:textId="55E13C14" w:rsidR="00C6456D" w:rsidRPr="00D23470" w:rsidRDefault="00561AF8" w:rsidP="00454754">
            <w:pPr>
              <w:contextualSpacing/>
              <w:jc w:val="both"/>
              <w:rPr>
                <w:rFonts w:ascii="Calibri" w:hAnsi="Calibri"/>
                <w:szCs w:val="22"/>
              </w:rPr>
            </w:pPr>
            <w:r>
              <w:rPr>
                <w:rFonts w:ascii="Calibri" w:hAnsi="Calibri"/>
                <w:szCs w:val="22"/>
              </w:rPr>
              <w:t>The proposals have an acceptable impact in this regard.</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0E9CDE2A" w14:textId="2867101A" w:rsidR="00C50517" w:rsidRPr="00545D8C" w:rsidRDefault="00561AF8" w:rsidP="00454754">
            <w:pPr>
              <w:contextualSpacing/>
              <w:jc w:val="both"/>
              <w:rPr>
                <w:rFonts w:ascii="Calibri" w:hAnsi="Calibri"/>
                <w:szCs w:val="22"/>
              </w:rPr>
            </w:pPr>
            <w:r>
              <w:rPr>
                <w:rFonts w:ascii="Calibri" w:hAnsi="Calibri"/>
                <w:szCs w:val="22"/>
              </w:rPr>
              <w:t xml:space="preserve">The hardstanding design (with retention of most roadside walling) has an acceptable impact upon the </w:t>
            </w:r>
            <w:proofErr w:type="spellStart"/>
            <w:r>
              <w:rPr>
                <w:rFonts w:ascii="Calibri" w:hAnsi="Calibri"/>
                <w:szCs w:val="22"/>
              </w:rPr>
              <w:t>streetscene</w:t>
            </w:r>
            <w:proofErr w:type="spellEnd"/>
            <w:r>
              <w:rPr>
                <w:rFonts w:ascii="Calibri" w:hAnsi="Calibri"/>
                <w:szCs w:val="22"/>
              </w:rPr>
              <w:t>/townscape.</w:t>
            </w: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07E059A6"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4DBDAEB" w14:textId="416A4A41" w:rsidR="003462F5" w:rsidRDefault="003462F5" w:rsidP="006126D1">
            <w:pPr>
              <w:pStyle w:val="Header"/>
              <w:tabs>
                <w:tab w:val="clear" w:pos="4153"/>
                <w:tab w:val="clear" w:pos="8306"/>
              </w:tabs>
              <w:contextualSpacing/>
              <w:jc w:val="both"/>
              <w:rPr>
                <w:rFonts w:ascii="Calibri" w:hAnsi="Calibri"/>
                <w:b/>
                <w:szCs w:val="22"/>
              </w:rPr>
            </w:pPr>
          </w:p>
          <w:p w14:paraId="49EEFC78" w14:textId="77777777" w:rsidR="003462F5" w:rsidRPr="000A55EC" w:rsidRDefault="003462F5" w:rsidP="003462F5">
            <w:pPr>
              <w:rPr>
                <w:rFonts w:asciiTheme="minorHAnsi" w:hAnsiTheme="minorHAnsi" w:cstheme="minorHAnsi"/>
              </w:rPr>
            </w:pPr>
            <w:r w:rsidRPr="000A55EC">
              <w:rPr>
                <w:rFonts w:asciiTheme="minorHAnsi" w:hAnsiTheme="minorHAnsi" w:cstheme="minorHAnsi"/>
                <w:lang w:val="en-US"/>
              </w:rPr>
              <w:t>On 20/9/2021 the case officer enquired “In writing-up both applications, I note that the LCC Highway’s suggested condition re: location of fence posts and associated visibility splays would appear to be suggesting a re-siting of proposed gateposts and removal/re-siting of the existing roadside walling (whether a gate is proposed or not) – is this the case?”.</w:t>
            </w:r>
          </w:p>
          <w:p w14:paraId="25AF7422" w14:textId="570711FE" w:rsidR="003462F5" w:rsidRDefault="003462F5" w:rsidP="006126D1">
            <w:pPr>
              <w:pStyle w:val="Header"/>
              <w:tabs>
                <w:tab w:val="clear" w:pos="4153"/>
                <w:tab w:val="clear" w:pos="8306"/>
              </w:tabs>
              <w:contextualSpacing/>
              <w:jc w:val="both"/>
              <w:rPr>
                <w:rFonts w:ascii="Calibri" w:hAnsi="Calibri"/>
                <w:b/>
                <w:szCs w:val="22"/>
              </w:rPr>
            </w:pPr>
          </w:p>
          <w:p w14:paraId="454A2EB7" w14:textId="77777777" w:rsidR="003462F5" w:rsidRDefault="003462F5" w:rsidP="006126D1">
            <w:pPr>
              <w:pStyle w:val="Header"/>
              <w:tabs>
                <w:tab w:val="clear" w:pos="4153"/>
                <w:tab w:val="clear" w:pos="8306"/>
              </w:tabs>
              <w:contextualSpacing/>
              <w:jc w:val="both"/>
              <w:rPr>
                <w:rFonts w:ascii="Calibri" w:hAnsi="Calibri"/>
                <w:b/>
                <w:szCs w:val="22"/>
              </w:rPr>
            </w:pPr>
          </w:p>
          <w:p w14:paraId="4FB5835F" w14:textId="77777777" w:rsidR="00561AF8" w:rsidRPr="005C5132" w:rsidRDefault="00561AF8" w:rsidP="00561AF8">
            <w:pPr>
              <w:pStyle w:val="Header"/>
              <w:tabs>
                <w:tab w:val="clear" w:pos="4153"/>
                <w:tab w:val="clear" w:pos="8306"/>
              </w:tabs>
              <w:contextualSpacing/>
              <w:jc w:val="both"/>
              <w:rPr>
                <w:rFonts w:ascii="Calibri" w:hAnsi="Calibri"/>
                <w:bCs/>
                <w:szCs w:val="22"/>
              </w:rPr>
            </w:pPr>
            <w:r w:rsidRPr="005C5132">
              <w:rPr>
                <w:rFonts w:ascii="Calibri" w:hAnsi="Calibri"/>
                <w:bCs/>
                <w:szCs w:val="22"/>
              </w:rPr>
              <w:t>The comments and recommendations of LCC Highways have been considered.</w:t>
            </w:r>
          </w:p>
          <w:p w14:paraId="38A49CBE"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13B6BDC9" w:rsidR="00C44E40" w:rsidRPr="00BA2247" w:rsidRDefault="00561AF8" w:rsidP="00454754">
            <w:pPr>
              <w:pStyle w:val="Header"/>
              <w:tabs>
                <w:tab w:val="clear" w:pos="4153"/>
                <w:tab w:val="clear" w:pos="8306"/>
              </w:tabs>
              <w:contextualSpacing/>
              <w:jc w:val="both"/>
              <w:rPr>
                <w:rFonts w:ascii="Calibri" w:hAnsi="Calibri"/>
                <w:szCs w:val="22"/>
              </w:rPr>
            </w:pPr>
            <w:r w:rsidRPr="002B203C">
              <w:rPr>
                <w:rFonts w:ascii="Calibri" w:hAnsi="Calibri"/>
                <w:szCs w:val="22"/>
              </w:rPr>
              <w:t>Therefore, in giving considerable importance and weight to the dut</w:t>
            </w:r>
            <w:r>
              <w:rPr>
                <w:rFonts w:ascii="Calibri" w:hAnsi="Calibri"/>
                <w:szCs w:val="22"/>
              </w:rPr>
              <w:t>y</w:t>
            </w:r>
            <w:r w:rsidRPr="002B203C">
              <w:rPr>
                <w:rFonts w:ascii="Calibri" w:hAnsi="Calibri"/>
                <w:szCs w:val="22"/>
              </w:rPr>
              <w:t xml:space="preserve"> at section 16</w:t>
            </w:r>
            <w:r>
              <w:rPr>
                <w:rFonts w:ascii="Calibri" w:hAnsi="Calibri"/>
                <w:szCs w:val="22"/>
              </w:rPr>
              <w:t xml:space="preserve"> </w:t>
            </w:r>
            <w:r w:rsidRPr="002B203C">
              <w:rPr>
                <w:rFonts w:ascii="Calibri" w:hAnsi="Calibri"/>
                <w:szCs w:val="22"/>
              </w:rPr>
              <w:t>of the Planning (Listed Buildings and Conservation Areas) Act 1990 and in consideration to NPPF and Key Statement EN5 and Policies DMG1</w:t>
            </w:r>
            <w:r>
              <w:rPr>
                <w:rFonts w:ascii="Calibri" w:hAnsi="Calibri"/>
                <w:szCs w:val="22"/>
              </w:rPr>
              <w:t>, DMH5 and DME4</w:t>
            </w:r>
            <w:r w:rsidRPr="002B203C">
              <w:rPr>
                <w:rFonts w:ascii="Calibri" w:hAnsi="Calibri"/>
                <w:szCs w:val="22"/>
              </w:rPr>
              <w:t xml:space="preserve"> of the </w:t>
            </w:r>
            <w:proofErr w:type="spellStart"/>
            <w:r w:rsidRPr="002B203C">
              <w:rPr>
                <w:rFonts w:ascii="Calibri" w:hAnsi="Calibri"/>
                <w:szCs w:val="22"/>
              </w:rPr>
              <w:t>Ribble</w:t>
            </w:r>
            <w:proofErr w:type="spellEnd"/>
            <w:r w:rsidRPr="002B203C">
              <w:rPr>
                <w:rFonts w:ascii="Calibri" w:hAnsi="Calibri"/>
                <w:szCs w:val="22"/>
              </w:rPr>
              <w:t xml:space="preserve"> Valley Core Strategy</w:t>
            </w:r>
            <w:r>
              <w:rPr>
                <w:rFonts w:ascii="Calibri" w:hAnsi="Calibri"/>
                <w:szCs w:val="22"/>
              </w:rPr>
              <w:t>, it is recommended that</w:t>
            </w:r>
            <w:r w:rsidRPr="002B203C">
              <w:rPr>
                <w:rFonts w:ascii="Calibri" w:hAnsi="Calibri"/>
                <w:szCs w:val="22"/>
              </w:rPr>
              <w:t xml:space="preserve"> </w:t>
            </w:r>
            <w:r>
              <w:rPr>
                <w:rFonts w:ascii="Calibri" w:hAnsi="Calibri"/>
                <w:szCs w:val="22"/>
              </w:rPr>
              <w:t>planning permission is granted with conditions.</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0A786F3B" w:rsidR="00C0704D" w:rsidRPr="008C75E4" w:rsidRDefault="00561AF8" w:rsidP="006126D1">
            <w:pPr>
              <w:jc w:val="both"/>
              <w:rPr>
                <w:rFonts w:ascii="Calibri" w:hAnsi="Calibri"/>
                <w:bCs/>
                <w:szCs w:val="22"/>
              </w:rPr>
            </w:pPr>
            <w:r>
              <w:rPr>
                <w:rFonts w:ascii="Calibri" w:hAnsi="Calibri"/>
                <w:bCs/>
                <w:szCs w:val="22"/>
              </w:rPr>
              <w:t>That planning permission is granted with conditions.</w:t>
            </w:r>
          </w:p>
        </w:tc>
      </w:tr>
    </w:tbl>
    <w:p w14:paraId="58DD66DA" w14:textId="77777777" w:rsidR="0031197A" w:rsidRPr="008C75E4" w:rsidRDefault="006E666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F376" w14:textId="77777777" w:rsidR="003B6320" w:rsidRDefault="003B6320" w:rsidP="006D0B5F">
      <w:r>
        <w:separator/>
      </w:r>
    </w:p>
  </w:endnote>
  <w:endnote w:type="continuationSeparator" w:id="0">
    <w:p w14:paraId="6CFFF2A6" w14:textId="77777777" w:rsidR="003B6320" w:rsidRDefault="003B632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8B8" w14:textId="77777777" w:rsidR="003B6320" w:rsidRDefault="003B6320" w:rsidP="006D0B5F">
      <w:r>
        <w:separator/>
      </w:r>
    </w:p>
  </w:footnote>
  <w:footnote w:type="continuationSeparator" w:id="0">
    <w:p w14:paraId="6241A2AE" w14:textId="77777777" w:rsidR="003B6320" w:rsidRDefault="003B632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8638E"/>
    <w:rsid w:val="000B5CB5"/>
    <w:rsid w:val="000C7A57"/>
    <w:rsid w:val="00101855"/>
    <w:rsid w:val="0010371E"/>
    <w:rsid w:val="00106932"/>
    <w:rsid w:val="00107D0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0D7F"/>
    <w:rsid w:val="00284480"/>
    <w:rsid w:val="00287143"/>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62F5"/>
    <w:rsid w:val="00347F5E"/>
    <w:rsid w:val="003634D9"/>
    <w:rsid w:val="0036759A"/>
    <w:rsid w:val="003825D5"/>
    <w:rsid w:val="003A4376"/>
    <w:rsid w:val="003B6320"/>
    <w:rsid w:val="003C28E1"/>
    <w:rsid w:val="003E2151"/>
    <w:rsid w:val="003F16AA"/>
    <w:rsid w:val="003F16B4"/>
    <w:rsid w:val="003F3DB5"/>
    <w:rsid w:val="003F481A"/>
    <w:rsid w:val="00404C72"/>
    <w:rsid w:val="00435FC9"/>
    <w:rsid w:val="00437581"/>
    <w:rsid w:val="0044039F"/>
    <w:rsid w:val="00440CB6"/>
    <w:rsid w:val="00454754"/>
    <w:rsid w:val="004557B9"/>
    <w:rsid w:val="004654DD"/>
    <w:rsid w:val="004854EC"/>
    <w:rsid w:val="004936A6"/>
    <w:rsid w:val="004947BB"/>
    <w:rsid w:val="004A5EA9"/>
    <w:rsid w:val="004B5DBC"/>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1AF8"/>
    <w:rsid w:val="005631B3"/>
    <w:rsid w:val="005633B0"/>
    <w:rsid w:val="005635FF"/>
    <w:rsid w:val="00573B90"/>
    <w:rsid w:val="005878FE"/>
    <w:rsid w:val="00593040"/>
    <w:rsid w:val="005B0A0E"/>
    <w:rsid w:val="005C5335"/>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E666C"/>
    <w:rsid w:val="006F137D"/>
    <w:rsid w:val="006F4D38"/>
    <w:rsid w:val="0070054B"/>
    <w:rsid w:val="00706480"/>
    <w:rsid w:val="00710DBB"/>
    <w:rsid w:val="0072424B"/>
    <w:rsid w:val="00725F1C"/>
    <w:rsid w:val="007430C8"/>
    <w:rsid w:val="00755FCC"/>
    <w:rsid w:val="00776AE2"/>
    <w:rsid w:val="00786D4F"/>
    <w:rsid w:val="007921CD"/>
    <w:rsid w:val="007A3446"/>
    <w:rsid w:val="007A61D0"/>
    <w:rsid w:val="007C5713"/>
    <w:rsid w:val="007C791C"/>
    <w:rsid w:val="007D2557"/>
    <w:rsid w:val="007D6D02"/>
    <w:rsid w:val="007D7DF4"/>
    <w:rsid w:val="007E0D23"/>
    <w:rsid w:val="007F196D"/>
    <w:rsid w:val="00805895"/>
    <w:rsid w:val="008075CB"/>
    <w:rsid w:val="00811771"/>
    <w:rsid w:val="008154DD"/>
    <w:rsid w:val="00823743"/>
    <w:rsid w:val="0083105A"/>
    <w:rsid w:val="008422F9"/>
    <w:rsid w:val="008542DE"/>
    <w:rsid w:val="008638DE"/>
    <w:rsid w:val="0088544A"/>
    <w:rsid w:val="00891182"/>
    <w:rsid w:val="008A28C8"/>
    <w:rsid w:val="008C75E4"/>
    <w:rsid w:val="008D5A3A"/>
    <w:rsid w:val="008F6B58"/>
    <w:rsid w:val="0090282C"/>
    <w:rsid w:val="00906D0C"/>
    <w:rsid w:val="00934B34"/>
    <w:rsid w:val="009565F5"/>
    <w:rsid w:val="009825FF"/>
    <w:rsid w:val="00985097"/>
    <w:rsid w:val="00994EF1"/>
    <w:rsid w:val="009C4BCF"/>
    <w:rsid w:val="009C7F61"/>
    <w:rsid w:val="009E6A8B"/>
    <w:rsid w:val="009E6B8D"/>
    <w:rsid w:val="00A04A96"/>
    <w:rsid w:val="00A06EE7"/>
    <w:rsid w:val="00A40070"/>
    <w:rsid w:val="00A42E82"/>
    <w:rsid w:val="00A46EE9"/>
    <w:rsid w:val="00A55E83"/>
    <w:rsid w:val="00A579BB"/>
    <w:rsid w:val="00A63D55"/>
    <w:rsid w:val="00A67086"/>
    <w:rsid w:val="00A8441B"/>
    <w:rsid w:val="00A9088C"/>
    <w:rsid w:val="00A9168C"/>
    <w:rsid w:val="00A95D89"/>
    <w:rsid w:val="00AA2753"/>
    <w:rsid w:val="00AB3243"/>
    <w:rsid w:val="00AB5232"/>
    <w:rsid w:val="00B14DDC"/>
    <w:rsid w:val="00B30A5E"/>
    <w:rsid w:val="00B31505"/>
    <w:rsid w:val="00B45282"/>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02272"/>
    <w:rsid w:val="00D06B8B"/>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C1946"/>
    <w:rsid w:val="00DC3C8A"/>
    <w:rsid w:val="00DD62F6"/>
    <w:rsid w:val="00DD7E97"/>
    <w:rsid w:val="00DE740E"/>
    <w:rsid w:val="00DF42DA"/>
    <w:rsid w:val="00E03AFD"/>
    <w:rsid w:val="00E0485E"/>
    <w:rsid w:val="00E06DFC"/>
    <w:rsid w:val="00E16113"/>
    <w:rsid w:val="00E23FB0"/>
    <w:rsid w:val="00E46243"/>
    <w:rsid w:val="00E47762"/>
    <w:rsid w:val="00E66534"/>
    <w:rsid w:val="00E719D1"/>
    <w:rsid w:val="00E71A35"/>
    <w:rsid w:val="00E72F6C"/>
    <w:rsid w:val="00E80113"/>
    <w:rsid w:val="00EA09F9"/>
    <w:rsid w:val="00EA1673"/>
    <w:rsid w:val="00EB7D74"/>
    <w:rsid w:val="00EC23C7"/>
    <w:rsid w:val="00ED00B7"/>
    <w:rsid w:val="00EF1341"/>
    <w:rsid w:val="00EF44E6"/>
    <w:rsid w:val="00F00DF1"/>
    <w:rsid w:val="00F012FA"/>
    <w:rsid w:val="00F055D3"/>
    <w:rsid w:val="00F11E91"/>
    <w:rsid w:val="00F129DD"/>
    <w:rsid w:val="00F16D0F"/>
    <w:rsid w:val="00F32789"/>
    <w:rsid w:val="00F65182"/>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F00D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0236">
      <w:bodyDiv w:val="1"/>
      <w:marLeft w:val="0"/>
      <w:marRight w:val="0"/>
      <w:marTop w:val="0"/>
      <w:marBottom w:val="0"/>
      <w:divBdr>
        <w:top w:val="none" w:sz="0" w:space="0" w:color="auto"/>
        <w:left w:val="none" w:sz="0" w:space="0" w:color="auto"/>
        <w:bottom w:val="none" w:sz="0" w:space="0" w:color="auto"/>
        <w:right w:val="none" w:sz="0" w:space="0" w:color="auto"/>
      </w:divBdr>
    </w:div>
    <w:div w:id="123766927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2021-09-28T14:18:00Z</dcterms:created>
  <dcterms:modified xsi:type="dcterms:W3CDTF">2021-09-28T14:18:00Z</dcterms:modified>
</cp:coreProperties>
</file>