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D04892" w:rsidP="008F6B58">
            <w:pPr>
              <w:rPr>
                <w:rFonts w:ascii="Calibri" w:hAnsi="Calibri"/>
                <w:szCs w:val="22"/>
              </w:rPr>
            </w:pPr>
            <w:r>
              <w:rPr>
                <w:rFonts w:ascii="Calibri" w:hAnsi="Calibri"/>
                <w:szCs w:val="22"/>
              </w:rPr>
              <w:t>3/202</w:t>
            </w:r>
            <w:r w:rsidR="000124F8">
              <w:rPr>
                <w:rFonts w:ascii="Calibri" w:hAnsi="Calibri"/>
                <w:szCs w:val="22"/>
              </w:rPr>
              <w:t>1</w:t>
            </w:r>
            <w:r>
              <w:rPr>
                <w:rFonts w:ascii="Calibri" w:hAnsi="Calibri"/>
                <w:szCs w:val="22"/>
              </w:rPr>
              <w:t>/0</w:t>
            </w:r>
            <w:r w:rsidR="000124F8">
              <w:rPr>
                <w:rFonts w:ascii="Calibri" w:hAnsi="Calibri"/>
                <w:szCs w:val="22"/>
              </w:rPr>
              <w:t>185</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6916F1" w:rsidP="002C6277">
            <w:pPr>
              <w:rPr>
                <w:rFonts w:ascii="Calibri" w:hAnsi="Calibri"/>
                <w:szCs w:val="22"/>
              </w:rPr>
            </w:pPr>
            <w:r>
              <w:rPr>
                <w:rFonts w:ascii="Calibri" w:hAnsi="Calibri"/>
                <w:szCs w:val="22"/>
              </w:rPr>
              <w:t>Numerous</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54754" w:rsidRDefault="00D04892" w:rsidP="00811771">
            <w:pPr>
              <w:rPr>
                <w:rFonts w:ascii="Calibri" w:hAnsi="Calibri"/>
                <w:b/>
                <w:szCs w:val="22"/>
              </w:rPr>
            </w:pPr>
            <w:r>
              <w:rPr>
                <w:rFonts w:ascii="Calibri" w:hAnsi="Calibri"/>
                <w:b/>
                <w:szCs w:val="22"/>
              </w:rPr>
              <w:t>AD</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570439" w:rsidP="00FD334A">
            <w:pPr>
              <w:rPr>
                <w:rFonts w:ascii="Calibri" w:hAnsi="Calibri"/>
                <w:b/>
                <w:szCs w:val="22"/>
              </w:rPr>
            </w:pPr>
            <w:r>
              <w:rPr>
                <w:rFonts w:ascii="Calibri" w:hAnsi="Calibri"/>
                <w:b/>
                <w:szCs w:val="22"/>
              </w:rPr>
              <w:t>Approval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1F2018" w:rsidRDefault="001F2018">
            <w:pPr>
              <w:rPr>
                <w:rFonts w:asciiTheme="minorHAnsi" w:hAnsiTheme="minorHAnsi" w:cstheme="minorHAnsi"/>
                <w:szCs w:val="22"/>
              </w:rPr>
            </w:pPr>
            <w:r w:rsidRPr="001F2018">
              <w:rPr>
                <w:rFonts w:asciiTheme="minorHAnsi" w:hAnsiTheme="minorHAnsi" w:cstheme="minorHAnsi"/>
                <w:szCs w:val="22"/>
                <w:shd w:val="clear" w:color="auto" w:fill="FFFFFF"/>
              </w:rPr>
              <w:t>Discharge of materials condition 5 on application 3/2018/0468 (granted on re-determination of appeal 22 December 2020).</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1F2018" w:rsidRDefault="001F2018" w:rsidP="00A42E82">
            <w:pPr>
              <w:rPr>
                <w:rFonts w:asciiTheme="minorHAnsi" w:hAnsiTheme="minorHAnsi" w:cstheme="minorHAnsi"/>
                <w:b/>
                <w:szCs w:val="22"/>
              </w:rPr>
            </w:pPr>
            <w:r w:rsidRPr="001F2018">
              <w:rPr>
                <w:rStyle w:val="Strong"/>
                <w:rFonts w:asciiTheme="minorHAnsi" w:hAnsiTheme="minorHAnsi" w:cstheme="minorHAnsi"/>
                <w:b w:val="0"/>
                <w:szCs w:val="22"/>
                <w:bdr w:val="none" w:sz="0" w:space="0" w:color="auto" w:frame="1"/>
                <w:shd w:val="clear" w:color="auto" w:fill="FFFFFF"/>
              </w:rPr>
              <w:t>Great Mitton Hall Mitton Road Mitton BB7 9PQ</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3A4376" w:rsidP="009825FF">
            <w:pPr>
              <w:jc w:val="both"/>
              <w:rPr>
                <w:rFonts w:ascii="Calibri" w:hAnsi="Calibri"/>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w:t>
            </w:r>
          </w:p>
        </w:tc>
      </w:tr>
      <w:tr w:rsidR="008C75E4" w:rsidRPr="008C75E4" w:rsidTr="00504440">
        <w:trPr>
          <w:trHeight w:val="864"/>
          <w:jc w:val="center"/>
        </w:trPr>
        <w:tc>
          <w:tcPr>
            <w:tcW w:w="9555" w:type="dxa"/>
            <w:gridSpan w:val="14"/>
            <w:tcMar>
              <w:top w:w="57" w:type="dxa"/>
              <w:bottom w:w="57" w:type="dxa"/>
            </w:tcMar>
          </w:tcPr>
          <w:p w:rsidR="00E76EA1" w:rsidRDefault="00E76EA1" w:rsidP="00E76EA1">
            <w:pPr>
              <w:pStyle w:val="PLANNING"/>
              <w:rPr>
                <w:rFonts w:ascii="Calibri" w:hAnsi="Calibri"/>
                <w:szCs w:val="22"/>
              </w:rPr>
            </w:pPr>
            <w:r>
              <w:rPr>
                <w:rFonts w:ascii="Calibri" w:hAnsi="Calibri"/>
                <w:szCs w:val="22"/>
              </w:rPr>
              <w:t>Planning (Listed Buildings and Conservation Areas) Act 1990. ‘Preservation’ in the duties at sections 16 and 66 of the Act means “doing no harm to” (</w:t>
            </w:r>
            <w:r>
              <w:rPr>
                <w:rFonts w:ascii="Calibri" w:hAnsi="Calibri"/>
                <w:i/>
                <w:iCs/>
                <w:szCs w:val="22"/>
              </w:rPr>
              <w:t xml:space="preserve">South Lakeland DC v. Secretary of State for the Environment </w:t>
            </w:r>
            <w:r>
              <w:rPr>
                <w:rFonts w:ascii="Calibri" w:hAnsi="Calibri"/>
                <w:szCs w:val="22"/>
              </w:rPr>
              <w:t>[1992]).</w:t>
            </w:r>
          </w:p>
          <w:p w:rsidR="00E76EA1" w:rsidRDefault="00E76EA1" w:rsidP="00E76EA1">
            <w:pPr>
              <w:pStyle w:val="PLANNING"/>
              <w:rPr>
                <w:rFonts w:ascii="Calibri" w:hAnsi="Calibri"/>
                <w:bCs/>
                <w:szCs w:val="22"/>
              </w:rPr>
            </w:pPr>
          </w:p>
          <w:p w:rsidR="00E76EA1" w:rsidRDefault="00E76EA1" w:rsidP="00E76EA1">
            <w:pPr>
              <w:pStyle w:val="PLANNING"/>
              <w:rPr>
                <w:rFonts w:ascii="Calibri" w:hAnsi="Calibri"/>
                <w:bCs/>
                <w:szCs w:val="22"/>
              </w:rPr>
            </w:pPr>
            <w:r>
              <w:rPr>
                <w:rFonts w:ascii="Calibri" w:hAnsi="Calibri"/>
                <w:bCs/>
                <w:szCs w:val="22"/>
              </w:rPr>
              <w:t>Ribble Valley Core Strategy:</w:t>
            </w:r>
          </w:p>
          <w:p w:rsidR="00E76EA1" w:rsidRDefault="00E76EA1" w:rsidP="00E76EA1">
            <w:pPr>
              <w:pStyle w:val="PLANNING"/>
              <w:rPr>
                <w:rFonts w:ascii="Calibri" w:hAnsi="Calibri"/>
                <w:bCs/>
                <w:szCs w:val="22"/>
              </w:rPr>
            </w:pPr>
            <w:r>
              <w:rPr>
                <w:rFonts w:ascii="Calibri" w:hAnsi="Calibri"/>
                <w:bCs/>
                <w:szCs w:val="22"/>
              </w:rPr>
              <w:t>Key Statement EN5 – Heritage Assets</w:t>
            </w:r>
          </w:p>
          <w:p w:rsidR="00E76EA1" w:rsidRDefault="00E76EA1" w:rsidP="00E76EA1">
            <w:pPr>
              <w:pStyle w:val="PLANNING"/>
              <w:rPr>
                <w:rFonts w:ascii="Calibri" w:hAnsi="Calibri"/>
                <w:bCs/>
                <w:szCs w:val="22"/>
              </w:rPr>
            </w:pPr>
            <w:r>
              <w:rPr>
                <w:rFonts w:ascii="Calibri" w:hAnsi="Calibri"/>
                <w:bCs/>
                <w:szCs w:val="22"/>
              </w:rPr>
              <w:t>Key Statement EN2 – Landscape</w:t>
            </w:r>
          </w:p>
          <w:p w:rsidR="00E76EA1" w:rsidRDefault="00E76EA1" w:rsidP="00E76EA1">
            <w:pPr>
              <w:pStyle w:val="PLANNING"/>
              <w:rPr>
                <w:rFonts w:ascii="Calibri" w:hAnsi="Calibri"/>
                <w:szCs w:val="22"/>
              </w:rPr>
            </w:pPr>
            <w:r>
              <w:rPr>
                <w:rFonts w:ascii="Calibri" w:hAnsi="Calibri"/>
                <w:szCs w:val="22"/>
              </w:rPr>
              <w:t>Policy DMG1 – General Considerations</w:t>
            </w:r>
          </w:p>
          <w:p w:rsidR="00E76EA1" w:rsidRDefault="00E76EA1" w:rsidP="00E76EA1">
            <w:pPr>
              <w:pStyle w:val="PLANNING"/>
              <w:rPr>
                <w:rFonts w:ascii="Calibri" w:hAnsi="Calibri"/>
                <w:szCs w:val="22"/>
              </w:rPr>
            </w:pPr>
            <w:r>
              <w:rPr>
                <w:rFonts w:ascii="Calibri" w:hAnsi="Calibri"/>
                <w:szCs w:val="22"/>
              </w:rPr>
              <w:t>Policy DME4 – Protecting Heritage Assets</w:t>
            </w:r>
          </w:p>
          <w:p w:rsidR="00E76EA1" w:rsidRDefault="00E76EA1" w:rsidP="00E76EA1">
            <w:pPr>
              <w:pStyle w:val="PLANNING"/>
              <w:rPr>
                <w:rFonts w:ascii="Calibri" w:hAnsi="Calibri"/>
                <w:szCs w:val="22"/>
              </w:rPr>
            </w:pPr>
            <w:r>
              <w:rPr>
                <w:rFonts w:ascii="Calibri" w:hAnsi="Calibri"/>
                <w:szCs w:val="22"/>
              </w:rPr>
              <w:t>Policy DMG2 – Strategic Considerations</w:t>
            </w:r>
          </w:p>
          <w:p w:rsidR="00E76EA1" w:rsidRDefault="00E76EA1" w:rsidP="00E76EA1">
            <w:pPr>
              <w:pStyle w:val="PLANNING"/>
              <w:rPr>
                <w:rFonts w:ascii="Calibri" w:hAnsi="Calibri"/>
                <w:b/>
                <w:bCs/>
                <w:szCs w:val="22"/>
              </w:rPr>
            </w:pPr>
          </w:p>
          <w:p w:rsidR="00E76EA1" w:rsidRDefault="00E76EA1" w:rsidP="00E76EA1">
            <w:pPr>
              <w:rPr>
                <w:rFonts w:ascii="Calibri" w:hAnsi="Calibri"/>
                <w:szCs w:val="22"/>
              </w:rPr>
            </w:pPr>
            <w:r>
              <w:rPr>
                <w:rFonts w:ascii="Calibri" w:hAnsi="Calibri"/>
                <w:szCs w:val="22"/>
              </w:rPr>
              <w:t>National Planning Policy Framework</w:t>
            </w:r>
          </w:p>
          <w:p w:rsidR="001946E0" w:rsidRPr="008C75E4" w:rsidRDefault="00E76EA1" w:rsidP="00E76EA1">
            <w:pPr>
              <w:rPr>
                <w:rFonts w:ascii="Calibri" w:hAnsi="Calibri"/>
                <w:b/>
                <w:szCs w:val="22"/>
              </w:rPr>
            </w:pPr>
            <w:r>
              <w:rPr>
                <w:rFonts w:ascii="Calibri" w:hAnsi="Calibri"/>
                <w:szCs w:val="22"/>
              </w:rPr>
              <w:t xml:space="preserve">National Planning Policy Guidance </w:t>
            </w: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101855" w:rsidRPr="001946E0" w:rsidRDefault="00101855" w:rsidP="001010A9">
            <w:pPr>
              <w:pStyle w:val="PLANNING"/>
              <w:rPr>
                <w:rFonts w:ascii="Calibri" w:hAnsi="Calibri"/>
                <w:bCs/>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1F2018" w:rsidP="00454754">
            <w:pPr>
              <w:pStyle w:val="Header"/>
              <w:tabs>
                <w:tab w:val="clear" w:pos="4153"/>
                <w:tab w:val="clear" w:pos="8306"/>
              </w:tabs>
              <w:contextualSpacing/>
              <w:jc w:val="both"/>
              <w:rPr>
                <w:rFonts w:ascii="Calibri" w:hAnsi="Calibri"/>
                <w:b/>
                <w:szCs w:val="22"/>
              </w:rPr>
            </w:pPr>
            <w:r>
              <w:rPr>
                <w:rFonts w:ascii="Calibri" w:hAnsi="Calibri"/>
                <w:b/>
                <w:szCs w:val="22"/>
              </w:rPr>
              <w:t>The Planning Inspector’s appeal decision states:</w:t>
            </w:r>
          </w:p>
          <w:p w:rsidR="001F2018" w:rsidRDefault="001F2018" w:rsidP="00454754">
            <w:pPr>
              <w:pStyle w:val="Header"/>
              <w:tabs>
                <w:tab w:val="clear" w:pos="4153"/>
                <w:tab w:val="clear" w:pos="8306"/>
              </w:tabs>
              <w:contextualSpacing/>
              <w:jc w:val="both"/>
              <w:rPr>
                <w:rFonts w:ascii="Calibri" w:hAnsi="Calibri"/>
                <w:b/>
                <w:szCs w:val="22"/>
              </w:rPr>
            </w:pPr>
          </w:p>
          <w:p w:rsidR="00544F95" w:rsidRPr="00E30E38" w:rsidRDefault="00E76EA1" w:rsidP="00454754">
            <w:pPr>
              <w:pStyle w:val="Header"/>
              <w:tabs>
                <w:tab w:val="clear" w:pos="4153"/>
                <w:tab w:val="clear" w:pos="8306"/>
              </w:tabs>
              <w:contextualSpacing/>
              <w:jc w:val="both"/>
              <w:rPr>
                <w:rFonts w:asciiTheme="minorHAnsi" w:hAnsiTheme="minorHAnsi" w:cstheme="minorHAnsi"/>
                <w:i/>
              </w:rPr>
            </w:pPr>
            <w:r w:rsidRPr="00E76EA1">
              <w:rPr>
                <w:rFonts w:asciiTheme="minorHAnsi" w:hAnsiTheme="minorHAnsi" w:cstheme="minorHAnsi"/>
              </w:rPr>
              <w:t>“</w:t>
            </w:r>
            <w:r w:rsidR="001F2018" w:rsidRPr="00E30E38">
              <w:rPr>
                <w:rFonts w:asciiTheme="minorHAnsi" w:hAnsiTheme="minorHAnsi" w:cstheme="minorHAnsi"/>
                <w:i/>
                <w:u w:val="single"/>
              </w:rPr>
              <w:t>Conditions</w:t>
            </w:r>
            <w:r w:rsidR="001F2018" w:rsidRPr="00E30E38">
              <w:rPr>
                <w:rFonts w:asciiTheme="minorHAnsi" w:hAnsiTheme="minorHAnsi" w:cstheme="minorHAnsi"/>
                <w:i/>
              </w:rPr>
              <w:t xml:space="preserve"> </w:t>
            </w:r>
          </w:p>
          <w:p w:rsidR="00DA0150" w:rsidRPr="00E76EA1" w:rsidRDefault="001F2018" w:rsidP="00454754">
            <w:pPr>
              <w:pStyle w:val="Header"/>
              <w:tabs>
                <w:tab w:val="clear" w:pos="4153"/>
                <w:tab w:val="clear" w:pos="8306"/>
              </w:tabs>
              <w:contextualSpacing/>
              <w:jc w:val="both"/>
              <w:rPr>
                <w:rFonts w:asciiTheme="minorHAnsi" w:hAnsiTheme="minorHAnsi" w:cstheme="minorHAnsi"/>
                <w:sz w:val="24"/>
                <w:szCs w:val="24"/>
                <w:u w:val="single"/>
              </w:rPr>
            </w:pPr>
            <w:r w:rsidRPr="00E30E38">
              <w:rPr>
                <w:rFonts w:asciiTheme="minorHAnsi" w:hAnsiTheme="minorHAnsi" w:cstheme="minorHAnsi"/>
                <w:i/>
              </w:rPr>
              <w:t>32. In order to safeguard the heritage value of the Hall, details of the materials, paint colour and railings should be submitted to the Council and approved in writing. However, I am not satisfied that an archaeological investigation is needed as the disturbance of anything other than made-up ground is likely to be minimal, and I have insufficient evidence to show that the work would be likely to affect bats</w:t>
            </w:r>
            <w:r w:rsidR="00E76EA1" w:rsidRPr="00E76EA1">
              <w:rPr>
                <w:rFonts w:asciiTheme="minorHAnsi" w:hAnsiTheme="minorHAnsi" w:cstheme="minorHAnsi"/>
              </w:rPr>
              <w:t>”</w:t>
            </w:r>
            <w:r w:rsidRPr="00E76EA1">
              <w:rPr>
                <w:rFonts w:asciiTheme="minorHAnsi" w:hAnsiTheme="minorHAnsi" w:cstheme="minorHAnsi"/>
              </w:rPr>
              <w:t>.</w:t>
            </w:r>
          </w:p>
          <w:p w:rsidR="00B50339" w:rsidRDefault="00B50339" w:rsidP="00454754">
            <w:pPr>
              <w:pStyle w:val="Header"/>
              <w:tabs>
                <w:tab w:val="clear" w:pos="4153"/>
                <w:tab w:val="clear" w:pos="8306"/>
              </w:tabs>
              <w:contextualSpacing/>
              <w:jc w:val="both"/>
              <w:rPr>
                <w:rFonts w:ascii="Calibri" w:hAnsi="Calibri"/>
                <w:bCs/>
                <w:sz w:val="24"/>
                <w:szCs w:val="24"/>
              </w:rPr>
            </w:pPr>
          </w:p>
          <w:p w:rsidR="00F31483" w:rsidRDefault="00086F49" w:rsidP="00454754">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t>“</w:t>
            </w:r>
            <w:r w:rsidRPr="00E30E38">
              <w:rPr>
                <w:rFonts w:asciiTheme="minorHAnsi" w:hAnsiTheme="minorHAnsi" w:cstheme="minorHAnsi"/>
                <w:i/>
              </w:rPr>
              <w:t xml:space="preserve">5) No works above ground shall take place until precise specifications and samples of walling, roofing and window stone surrounds and the details of any surface materials to be used in the scheme, including </w:t>
            </w:r>
            <w:r w:rsidRPr="00E30E38">
              <w:rPr>
                <w:rFonts w:asciiTheme="minorHAnsi" w:hAnsiTheme="minorHAnsi" w:cstheme="minorHAnsi"/>
                <w:i/>
              </w:rPr>
              <w:lastRenderedPageBreak/>
              <w:t>their colour and texture shall have been submitted to and approved by the local planning authority. The works shall be carried out in accordance with the approved details and samples</w:t>
            </w:r>
            <w:r>
              <w:rPr>
                <w:rFonts w:asciiTheme="minorHAnsi" w:hAnsiTheme="minorHAnsi" w:cstheme="minorHAnsi"/>
              </w:rPr>
              <w:t>”</w:t>
            </w:r>
            <w:r w:rsidRPr="00086F49">
              <w:rPr>
                <w:rFonts w:asciiTheme="minorHAnsi" w:hAnsiTheme="minorHAnsi" w:cstheme="minorHAnsi"/>
              </w:rPr>
              <w:t>.</w:t>
            </w:r>
          </w:p>
          <w:p w:rsidR="00544F95" w:rsidRPr="00086F49" w:rsidRDefault="00544F95" w:rsidP="00454754">
            <w:pPr>
              <w:pStyle w:val="Header"/>
              <w:tabs>
                <w:tab w:val="clear" w:pos="4153"/>
                <w:tab w:val="clear" w:pos="8306"/>
              </w:tabs>
              <w:contextualSpacing/>
              <w:jc w:val="both"/>
              <w:rPr>
                <w:rFonts w:asciiTheme="minorHAnsi" w:hAnsiTheme="minorHAnsi" w:cstheme="minorHAnsi"/>
                <w:b/>
                <w:szCs w:val="22"/>
              </w:rPr>
            </w:pPr>
          </w:p>
          <w:p w:rsidR="00AE3E53" w:rsidRPr="00933A1F" w:rsidRDefault="00ED2CD6" w:rsidP="000124F8">
            <w:pPr>
              <w:pStyle w:val="Header"/>
              <w:tabs>
                <w:tab w:val="clear" w:pos="4153"/>
                <w:tab w:val="clear" w:pos="8306"/>
              </w:tabs>
              <w:contextualSpacing/>
              <w:jc w:val="both"/>
              <w:rPr>
                <w:rFonts w:ascii="Calibri" w:hAnsi="Calibri"/>
                <w:szCs w:val="22"/>
              </w:rPr>
            </w:pPr>
            <w:r w:rsidRPr="00933A1F">
              <w:rPr>
                <w:rFonts w:ascii="Calibri" w:hAnsi="Calibri"/>
                <w:szCs w:val="22"/>
              </w:rPr>
              <w:t>‘</w:t>
            </w:r>
            <w:r w:rsidRPr="00E30E38">
              <w:rPr>
                <w:rFonts w:ascii="Calibri" w:hAnsi="Calibri"/>
                <w:i/>
                <w:szCs w:val="22"/>
              </w:rPr>
              <w:t>Surface materials’</w:t>
            </w:r>
            <w:r w:rsidRPr="00933A1F">
              <w:rPr>
                <w:rFonts w:ascii="Calibri" w:hAnsi="Calibri"/>
                <w:szCs w:val="22"/>
              </w:rPr>
              <w:t xml:space="preserve"> would not appear to include paint which the Inspector considers at Condition 4:</w:t>
            </w:r>
          </w:p>
          <w:p w:rsidR="00ED2CD6" w:rsidRDefault="00ED2CD6" w:rsidP="000124F8">
            <w:pPr>
              <w:pStyle w:val="Header"/>
              <w:tabs>
                <w:tab w:val="clear" w:pos="4153"/>
                <w:tab w:val="clear" w:pos="8306"/>
              </w:tabs>
              <w:contextualSpacing/>
              <w:jc w:val="both"/>
              <w:rPr>
                <w:rFonts w:ascii="Calibri" w:hAnsi="Calibri"/>
                <w:sz w:val="24"/>
                <w:szCs w:val="24"/>
              </w:rPr>
            </w:pPr>
          </w:p>
          <w:p w:rsidR="00ED2CD6" w:rsidRDefault="00ED2CD6" w:rsidP="000124F8">
            <w:pPr>
              <w:pStyle w:val="Header"/>
              <w:tabs>
                <w:tab w:val="clear" w:pos="4153"/>
                <w:tab w:val="clear" w:pos="8306"/>
              </w:tabs>
              <w:contextualSpacing/>
              <w:jc w:val="both"/>
              <w:rPr>
                <w:rFonts w:asciiTheme="minorHAnsi" w:hAnsiTheme="minorHAnsi" w:cstheme="minorHAnsi"/>
              </w:rPr>
            </w:pPr>
            <w:r w:rsidRPr="00ED2CD6">
              <w:rPr>
                <w:rFonts w:asciiTheme="minorHAnsi" w:hAnsiTheme="minorHAnsi" w:cstheme="minorHAnsi"/>
                <w:sz w:val="24"/>
                <w:szCs w:val="24"/>
              </w:rPr>
              <w:t>“</w:t>
            </w:r>
            <w:r w:rsidRPr="00E30E38">
              <w:rPr>
                <w:rFonts w:asciiTheme="minorHAnsi" w:hAnsiTheme="minorHAnsi" w:cstheme="minorHAnsi"/>
                <w:i/>
              </w:rPr>
              <w:t>4) No external painting hereby permitted shall be undertaken until details of the paint finish including its colour have been submitted to and approved in writing by the local planning authority. The works shall be carried out in accordance with the approved details</w:t>
            </w:r>
            <w:r w:rsidRPr="00ED2CD6">
              <w:rPr>
                <w:rFonts w:asciiTheme="minorHAnsi" w:hAnsiTheme="minorHAnsi" w:cstheme="minorHAnsi"/>
              </w:rPr>
              <w:t>”.</w:t>
            </w:r>
          </w:p>
          <w:p w:rsidR="00933A1F" w:rsidRDefault="00933A1F" w:rsidP="000124F8">
            <w:pPr>
              <w:pStyle w:val="Header"/>
              <w:tabs>
                <w:tab w:val="clear" w:pos="4153"/>
                <w:tab w:val="clear" w:pos="8306"/>
              </w:tabs>
              <w:contextualSpacing/>
              <w:jc w:val="both"/>
              <w:rPr>
                <w:rFonts w:asciiTheme="minorHAnsi" w:hAnsiTheme="minorHAnsi" w:cstheme="minorHAnsi"/>
                <w:sz w:val="24"/>
                <w:szCs w:val="24"/>
              </w:rPr>
            </w:pPr>
          </w:p>
          <w:p w:rsidR="00933A1F" w:rsidRPr="00933A1F" w:rsidRDefault="00933A1F" w:rsidP="000124F8">
            <w:pPr>
              <w:pStyle w:val="Header"/>
              <w:tabs>
                <w:tab w:val="clear" w:pos="4153"/>
                <w:tab w:val="clear" w:pos="8306"/>
              </w:tabs>
              <w:contextualSpacing/>
              <w:jc w:val="both"/>
              <w:rPr>
                <w:rFonts w:asciiTheme="minorHAnsi" w:hAnsiTheme="minorHAnsi" w:cstheme="minorHAnsi"/>
                <w:szCs w:val="22"/>
              </w:rPr>
            </w:pPr>
            <w:r w:rsidRPr="00933A1F">
              <w:rPr>
                <w:rFonts w:asciiTheme="minorHAnsi" w:hAnsiTheme="minorHAnsi" w:cstheme="minorHAnsi"/>
                <w:szCs w:val="22"/>
              </w:rPr>
              <w:t xml:space="preserve">The submitted information appears to </w:t>
            </w:r>
            <w:r w:rsidR="00544F95">
              <w:rPr>
                <w:rFonts w:asciiTheme="minorHAnsi" w:hAnsiTheme="minorHAnsi" w:cstheme="minorHAnsi"/>
                <w:szCs w:val="22"/>
              </w:rPr>
              <w:t xml:space="preserve">be </w:t>
            </w:r>
            <w:r w:rsidRPr="00933A1F">
              <w:rPr>
                <w:rFonts w:asciiTheme="minorHAnsi" w:hAnsiTheme="minorHAnsi" w:cstheme="minorHAnsi"/>
                <w:szCs w:val="22"/>
              </w:rPr>
              <w:t>photos of the existing modern extension. Materials to match would appear to meet the Inspector’s requirements and expectations</w:t>
            </w:r>
            <w:r w:rsidR="001B6FB9">
              <w:rPr>
                <w:rFonts w:asciiTheme="minorHAnsi" w:hAnsiTheme="minorHAnsi" w:cstheme="minorHAnsi"/>
                <w:szCs w:val="22"/>
              </w:rPr>
              <w:t xml:space="preserve"> </w:t>
            </w:r>
            <w:r w:rsidR="001B6FB9" w:rsidRPr="00D931EC">
              <w:rPr>
                <w:rFonts w:asciiTheme="minorHAnsi" w:hAnsiTheme="minorHAnsi" w:cstheme="minorHAnsi"/>
                <w:szCs w:val="22"/>
              </w:rPr>
              <w:t>(</w:t>
            </w:r>
            <w:r w:rsidR="001B6FB9" w:rsidRPr="00D931EC">
              <w:rPr>
                <w:rFonts w:asciiTheme="minorHAnsi" w:hAnsiTheme="minorHAnsi" w:cstheme="minorHAnsi"/>
              </w:rPr>
              <w:t>“</w:t>
            </w:r>
            <w:r w:rsidR="001B6FB9" w:rsidRPr="00E30E38">
              <w:rPr>
                <w:rFonts w:asciiTheme="minorHAnsi" w:hAnsiTheme="minorHAnsi" w:cstheme="minorHAnsi"/>
                <w:i/>
              </w:rPr>
              <w:t>its integration into the existing extension means it would not aggravate any impact that element might already have as a result of its incongruity and conspicuousness</w:t>
            </w:r>
            <w:r w:rsidR="00D931EC" w:rsidRPr="00D931EC">
              <w:rPr>
                <w:rFonts w:asciiTheme="minorHAnsi" w:hAnsiTheme="minorHAnsi" w:cstheme="minorHAnsi"/>
              </w:rPr>
              <w:t>” – paragraph 10).</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718" w:type="dxa"/>
            <w:gridSpan w:val="10"/>
          </w:tcPr>
          <w:p w:rsidR="00C0704D" w:rsidRPr="00B4494B" w:rsidRDefault="008E337E" w:rsidP="006126D1">
            <w:pPr>
              <w:jc w:val="both"/>
              <w:rPr>
                <w:rFonts w:ascii="Calibri" w:hAnsi="Calibri"/>
                <w:bCs/>
                <w:sz w:val="24"/>
                <w:szCs w:val="24"/>
              </w:rPr>
            </w:pPr>
            <w:r>
              <w:rPr>
                <w:rFonts w:ascii="Calibri" w:hAnsi="Calibri"/>
                <w:sz w:val="24"/>
                <w:szCs w:val="24"/>
              </w:rPr>
              <w:t xml:space="preserve"> </w:t>
            </w:r>
            <w:r w:rsidR="00933A1F">
              <w:rPr>
                <w:rFonts w:ascii="Calibri" w:hAnsi="Calibri"/>
                <w:sz w:val="24"/>
                <w:szCs w:val="24"/>
              </w:rPr>
              <w:t>D</w:t>
            </w:r>
            <w:r w:rsidR="00990CCD">
              <w:rPr>
                <w:rFonts w:ascii="Calibri" w:hAnsi="Calibri"/>
                <w:bCs/>
                <w:sz w:val="24"/>
                <w:szCs w:val="24"/>
              </w:rPr>
              <w:t xml:space="preserve">ischarge </w:t>
            </w:r>
            <w:r w:rsidR="00933A1F">
              <w:rPr>
                <w:rFonts w:ascii="Calibri" w:hAnsi="Calibri"/>
                <w:bCs/>
                <w:sz w:val="24"/>
                <w:szCs w:val="24"/>
              </w:rPr>
              <w:t>C</w:t>
            </w:r>
            <w:r w:rsidR="00990CCD">
              <w:rPr>
                <w:rFonts w:ascii="Calibri" w:hAnsi="Calibri"/>
                <w:bCs/>
                <w:sz w:val="24"/>
                <w:szCs w:val="24"/>
              </w:rPr>
              <w:t>ondition</w:t>
            </w:r>
            <w:r w:rsidR="00933A1F">
              <w:rPr>
                <w:rFonts w:ascii="Calibri" w:hAnsi="Calibri"/>
                <w:bCs/>
                <w:sz w:val="24"/>
                <w:szCs w:val="24"/>
              </w:rPr>
              <w:t xml:space="preserve"> 5.</w:t>
            </w:r>
            <w:r w:rsidR="00990CCD">
              <w:rPr>
                <w:rFonts w:ascii="Calibri" w:hAnsi="Calibri"/>
                <w:bCs/>
                <w:sz w:val="24"/>
                <w:szCs w:val="24"/>
              </w:rPr>
              <w:t xml:space="preserve"> </w:t>
            </w:r>
          </w:p>
        </w:tc>
      </w:tr>
    </w:tbl>
    <w:p w:rsidR="0031197A" w:rsidRPr="008C75E4" w:rsidRDefault="00467FE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E99" w:rsidRDefault="00233E99" w:rsidP="006D0B5F">
      <w:r>
        <w:separator/>
      </w:r>
    </w:p>
  </w:endnote>
  <w:endnote w:type="continuationSeparator" w:id="0">
    <w:p w:rsidR="00233E99" w:rsidRDefault="00233E9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E99" w:rsidRDefault="00233E99" w:rsidP="006D0B5F">
      <w:r>
        <w:separator/>
      </w:r>
    </w:p>
  </w:footnote>
  <w:footnote w:type="continuationSeparator" w:id="0">
    <w:p w:rsidR="00233E99" w:rsidRDefault="00233E9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24F8"/>
    <w:rsid w:val="00016A73"/>
    <w:rsid w:val="000279A8"/>
    <w:rsid w:val="00041FBF"/>
    <w:rsid w:val="00055B13"/>
    <w:rsid w:val="00070B45"/>
    <w:rsid w:val="000808DF"/>
    <w:rsid w:val="0008638E"/>
    <w:rsid w:val="00086F49"/>
    <w:rsid w:val="00092A39"/>
    <w:rsid w:val="00097796"/>
    <w:rsid w:val="000B5CB5"/>
    <w:rsid w:val="000C7A57"/>
    <w:rsid w:val="001010A9"/>
    <w:rsid w:val="00101855"/>
    <w:rsid w:val="0010371E"/>
    <w:rsid w:val="00106932"/>
    <w:rsid w:val="0012018D"/>
    <w:rsid w:val="00130035"/>
    <w:rsid w:val="00130D16"/>
    <w:rsid w:val="00141512"/>
    <w:rsid w:val="0016428F"/>
    <w:rsid w:val="00174004"/>
    <w:rsid w:val="001946E0"/>
    <w:rsid w:val="00196722"/>
    <w:rsid w:val="001B6FB9"/>
    <w:rsid w:val="001B769B"/>
    <w:rsid w:val="001C1453"/>
    <w:rsid w:val="001D4F7A"/>
    <w:rsid w:val="001D5ADD"/>
    <w:rsid w:val="001F2018"/>
    <w:rsid w:val="00203F50"/>
    <w:rsid w:val="00206E24"/>
    <w:rsid w:val="002205B7"/>
    <w:rsid w:val="00233E99"/>
    <w:rsid w:val="00237A60"/>
    <w:rsid w:val="00237DA1"/>
    <w:rsid w:val="00250879"/>
    <w:rsid w:val="002656A9"/>
    <w:rsid w:val="00284480"/>
    <w:rsid w:val="0028751A"/>
    <w:rsid w:val="0029334A"/>
    <w:rsid w:val="00295506"/>
    <w:rsid w:val="002A01CF"/>
    <w:rsid w:val="002A297A"/>
    <w:rsid w:val="002A2C88"/>
    <w:rsid w:val="002A7BA8"/>
    <w:rsid w:val="002A7DF7"/>
    <w:rsid w:val="002B7854"/>
    <w:rsid w:val="002C6277"/>
    <w:rsid w:val="002C705A"/>
    <w:rsid w:val="002D4346"/>
    <w:rsid w:val="002E0915"/>
    <w:rsid w:val="002E2952"/>
    <w:rsid w:val="002E7CC1"/>
    <w:rsid w:val="002F041D"/>
    <w:rsid w:val="002F2580"/>
    <w:rsid w:val="002F7502"/>
    <w:rsid w:val="0030777B"/>
    <w:rsid w:val="00312F93"/>
    <w:rsid w:val="003137E0"/>
    <w:rsid w:val="00320A6F"/>
    <w:rsid w:val="00321B6E"/>
    <w:rsid w:val="003359D0"/>
    <w:rsid w:val="00341E8D"/>
    <w:rsid w:val="00347F5E"/>
    <w:rsid w:val="003634D9"/>
    <w:rsid w:val="00364FE7"/>
    <w:rsid w:val="0036759A"/>
    <w:rsid w:val="003825D5"/>
    <w:rsid w:val="00384BAB"/>
    <w:rsid w:val="003A0BD7"/>
    <w:rsid w:val="003A4376"/>
    <w:rsid w:val="003C28E1"/>
    <w:rsid w:val="003E2151"/>
    <w:rsid w:val="003F16AA"/>
    <w:rsid w:val="003F16B4"/>
    <w:rsid w:val="003F3DB5"/>
    <w:rsid w:val="003F481A"/>
    <w:rsid w:val="00404443"/>
    <w:rsid w:val="00404C72"/>
    <w:rsid w:val="00413F89"/>
    <w:rsid w:val="00435FC9"/>
    <w:rsid w:val="0043726F"/>
    <w:rsid w:val="0044039F"/>
    <w:rsid w:val="00440CB6"/>
    <w:rsid w:val="00454754"/>
    <w:rsid w:val="004654DD"/>
    <w:rsid w:val="00467FE8"/>
    <w:rsid w:val="004854EC"/>
    <w:rsid w:val="00491666"/>
    <w:rsid w:val="004936A6"/>
    <w:rsid w:val="004947BB"/>
    <w:rsid w:val="004A5EA9"/>
    <w:rsid w:val="004B0B88"/>
    <w:rsid w:val="004B1343"/>
    <w:rsid w:val="004C2434"/>
    <w:rsid w:val="004D6FC7"/>
    <w:rsid w:val="004E58E3"/>
    <w:rsid w:val="004E670A"/>
    <w:rsid w:val="004F0649"/>
    <w:rsid w:val="004F1043"/>
    <w:rsid w:val="004F1E99"/>
    <w:rsid w:val="0050273C"/>
    <w:rsid w:val="0050432D"/>
    <w:rsid w:val="00504440"/>
    <w:rsid w:val="00504676"/>
    <w:rsid w:val="00507AE9"/>
    <w:rsid w:val="00510DBF"/>
    <w:rsid w:val="00510FA2"/>
    <w:rsid w:val="00510FE3"/>
    <w:rsid w:val="00521ABA"/>
    <w:rsid w:val="0052303A"/>
    <w:rsid w:val="00525341"/>
    <w:rsid w:val="00527A31"/>
    <w:rsid w:val="00534611"/>
    <w:rsid w:val="005400C3"/>
    <w:rsid w:val="00544F95"/>
    <w:rsid w:val="00545D8C"/>
    <w:rsid w:val="005500DE"/>
    <w:rsid w:val="005508B4"/>
    <w:rsid w:val="00556ECD"/>
    <w:rsid w:val="005631B3"/>
    <w:rsid w:val="005633B0"/>
    <w:rsid w:val="005635FF"/>
    <w:rsid w:val="00570439"/>
    <w:rsid w:val="00573B90"/>
    <w:rsid w:val="005878FE"/>
    <w:rsid w:val="00593040"/>
    <w:rsid w:val="005B0A0E"/>
    <w:rsid w:val="005B59EE"/>
    <w:rsid w:val="005D3432"/>
    <w:rsid w:val="005E1C6C"/>
    <w:rsid w:val="005E65DF"/>
    <w:rsid w:val="005F79FB"/>
    <w:rsid w:val="0060414C"/>
    <w:rsid w:val="006126D1"/>
    <w:rsid w:val="00614191"/>
    <w:rsid w:val="00621967"/>
    <w:rsid w:val="006326A2"/>
    <w:rsid w:val="00633BA9"/>
    <w:rsid w:val="00665C24"/>
    <w:rsid w:val="00690EC3"/>
    <w:rsid w:val="006916F1"/>
    <w:rsid w:val="00692B60"/>
    <w:rsid w:val="00695F88"/>
    <w:rsid w:val="00697785"/>
    <w:rsid w:val="006A71AD"/>
    <w:rsid w:val="006C126E"/>
    <w:rsid w:val="006C2BFA"/>
    <w:rsid w:val="006D0B5F"/>
    <w:rsid w:val="006D4E58"/>
    <w:rsid w:val="006D7624"/>
    <w:rsid w:val="006E4670"/>
    <w:rsid w:val="006F137D"/>
    <w:rsid w:val="006F4D38"/>
    <w:rsid w:val="0070054B"/>
    <w:rsid w:val="0070116F"/>
    <w:rsid w:val="00706480"/>
    <w:rsid w:val="00710DBB"/>
    <w:rsid w:val="00713E0B"/>
    <w:rsid w:val="00725F1C"/>
    <w:rsid w:val="0073649F"/>
    <w:rsid w:val="00740D15"/>
    <w:rsid w:val="007424C0"/>
    <w:rsid w:val="007430C8"/>
    <w:rsid w:val="00746859"/>
    <w:rsid w:val="00755FCC"/>
    <w:rsid w:val="00772A15"/>
    <w:rsid w:val="00776AE2"/>
    <w:rsid w:val="00787B83"/>
    <w:rsid w:val="007921CD"/>
    <w:rsid w:val="0079522E"/>
    <w:rsid w:val="007C5713"/>
    <w:rsid w:val="007C791C"/>
    <w:rsid w:val="007D6D02"/>
    <w:rsid w:val="007D7DF4"/>
    <w:rsid w:val="007E0D23"/>
    <w:rsid w:val="007F196D"/>
    <w:rsid w:val="00805895"/>
    <w:rsid w:val="008075CB"/>
    <w:rsid w:val="00811771"/>
    <w:rsid w:val="008153C3"/>
    <w:rsid w:val="008154DD"/>
    <w:rsid w:val="008455D2"/>
    <w:rsid w:val="008542DE"/>
    <w:rsid w:val="00861F22"/>
    <w:rsid w:val="00862D66"/>
    <w:rsid w:val="008638DE"/>
    <w:rsid w:val="00891182"/>
    <w:rsid w:val="00895D34"/>
    <w:rsid w:val="008A28C8"/>
    <w:rsid w:val="008B612B"/>
    <w:rsid w:val="008C75E4"/>
    <w:rsid w:val="008E337E"/>
    <w:rsid w:val="008E76E8"/>
    <w:rsid w:val="008F6B58"/>
    <w:rsid w:val="009012DD"/>
    <w:rsid w:val="0090282C"/>
    <w:rsid w:val="00906D0C"/>
    <w:rsid w:val="009160DD"/>
    <w:rsid w:val="009208C4"/>
    <w:rsid w:val="00933A1F"/>
    <w:rsid w:val="00934B34"/>
    <w:rsid w:val="009423F4"/>
    <w:rsid w:val="009565F5"/>
    <w:rsid w:val="009825FF"/>
    <w:rsid w:val="00985097"/>
    <w:rsid w:val="00990CCD"/>
    <w:rsid w:val="00994EF1"/>
    <w:rsid w:val="009976E7"/>
    <w:rsid w:val="009A33DB"/>
    <w:rsid w:val="009C4BCF"/>
    <w:rsid w:val="009C4CBC"/>
    <w:rsid w:val="009C7F61"/>
    <w:rsid w:val="009E359E"/>
    <w:rsid w:val="009E6A8B"/>
    <w:rsid w:val="009F5ABF"/>
    <w:rsid w:val="009F60E1"/>
    <w:rsid w:val="00A04A96"/>
    <w:rsid w:val="00A40070"/>
    <w:rsid w:val="00A42E82"/>
    <w:rsid w:val="00A439FE"/>
    <w:rsid w:val="00A46EE9"/>
    <w:rsid w:val="00A55E83"/>
    <w:rsid w:val="00A579BB"/>
    <w:rsid w:val="00A63D55"/>
    <w:rsid w:val="00A6595C"/>
    <w:rsid w:val="00A725ED"/>
    <w:rsid w:val="00A8441B"/>
    <w:rsid w:val="00A9088C"/>
    <w:rsid w:val="00A9168C"/>
    <w:rsid w:val="00A95D89"/>
    <w:rsid w:val="00AB026A"/>
    <w:rsid w:val="00AB2BB3"/>
    <w:rsid w:val="00AB3243"/>
    <w:rsid w:val="00AB4C7A"/>
    <w:rsid w:val="00AB5232"/>
    <w:rsid w:val="00AC0A48"/>
    <w:rsid w:val="00AC7CDD"/>
    <w:rsid w:val="00AD5A98"/>
    <w:rsid w:val="00AE3E53"/>
    <w:rsid w:val="00AF3159"/>
    <w:rsid w:val="00B07DC2"/>
    <w:rsid w:val="00B14DDC"/>
    <w:rsid w:val="00B30A5E"/>
    <w:rsid w:val="00B31505"/>
    <w:rsid w:val="00B4494B"/>
    <w:rsid w:val="00B50339"/>
    <w:rsid w:val="00B52DB6"/>
    <w:rsid w:val="00B57D9D"/>
    <w:rsid w:val="00B6269C"/>
    <w:rsid w:val="00B74C73"/>
    <w:rsid w:val="00B81EBA"/>
    <w:rsid w:val="00B93EB5"/>
    <w:rsid w:val="00B96F5A"/>
    <w:rsid w:val="00BA2247"/>
    <w:rsid w:val="00BA3DED"/>
    <w:rsid w:val="00BA5D97"/>
    <w:rsid w:val="00BA6B19"/>
    <w:rsid w:val="00BB1C52"/>
    <w:rsid w:val="00BB2A50"/>
    <w:rsid w:val="00BC1E48"/>
    <w:rsid w:val="00BD1C40"/>
    <w:rsid w:val="00BD3F03"/>
    <w:rsid w:val="00C0704D"/>
    <w:rsid w:val="00C214A6"/>
    <w:rsid w:val="00C24A51"/>
    <w:rsid w:val="00C25722"/>
    <w:rsid w:val="00C43EF6"/>
    <w:rsid w:val="00C44E40"/>
    <w:rsid w:val="00C50517"/>
    <w:rsid w:val="00C618DB"/>
    <w:rsid w:val="00C6456D"/>
    <w:rsid w:val="00C93384"/>
    <w:rsid w:val="00CA28BA"/>
    <w:rsid w:val="00CD1729"/>
    <w:rsid w:val="00CD2E03"/>
    <w:rsid w:val="00CD38B1"/>
    <w:rsid w:val="00D04892"/>
    <w:rsid w:val="00D102D9"/>
    <w:rsid w:val="00D1063F"/>
    <w:rsid w:val="00D11007"/>
    <w:rsid w:val="00D1420C"/>
    <w:rsid w:val="00D15566"/>
    <w:rsid w:val="00D23470"/>
    <w:rsid w:val="00D2449B"/>
    <w:rsid w:val="00D54384"/>
    <w:rsid w:val="00D54E67"/>
    <w:rsid w:val="00D54F48"/>
    <w:rsid w:val="00D55A65"/>
    <w:rsid w:val="00D57195"/>
    <w:rsid w:val="00D632BB"/>
    <w:rsid w:val="00D80310"/>
    <w:rsid w:val="00D931EC"/>
    <w:rsid w:val="00D955C4"/>
    <w:rsid w:val="00D9608A"/>
    <w:rsid w:val="00D96304"/>
    <w:rsid w:val="00D96DF7"/>
    <w:rsid w:val="00D97AA3"/>
    <w:rsid w:val="00DA0150"/>
    <w:rsid w:val="00DA27B6"/>
    <w:rsid w:val="00DB0C72"/>
    <w:rsid w:val="00DB1448"/>
    <w:rsid w:val="00DC3C8A"/>
    <w:rsid w:val="00DD62F6"/>
    <w:rsid w:val="00DD7E97"/>
    <w:rsid w:val="00DE740E"/>
    <w:rsid w:val="00DF42DA"/>
    <w:rsid w:val="00E03AFD"/>
    <w:rsid w:val="00E0485E"/>
    <w:rsid w:val="00E06DFC"/>
    <w:rsid w:val="00E1482D"/>
    <w:rsid w:val="00E23FB0"/>
    <w:rsid w:val="00E30E38"/>
    <w:rsid w:val="00E3669D"/>
    <w:rsid w:val="00E43828"/>
    <w:rsid w:val="00E46243"/>
    <w:rsid w:val="00E66534"/>
    <w:rsid w:val="00E719D1"/>
    <w:rsid w:val="00E71A35"/>
    <w:rsid w:val="00E72F6C"/>
    <w:rsid w:val="00E76EA1"/>
    <w:rsid w:val="00E80113"/>
    <w:rsid w:val="00E80B18"/>
    <w:rsid w:val="00E80D5D"/>
    <w:rsid w:val="00EA09F9"/>
    <w:rsid w:val="00EA1673"/>
    <w:rsid w:val="00EB7D74"/>
    <w:rsid w:val="00EC23C7"/>
    <w:rsid w:val="00ED00B7"/>
    <w:rsid w:val="00ED2CD6"/>
    <w:rsid w:val="00EF1341"/>
    <w:rsid w:val="00EF44E6"/>
    <w:rsid w:val="00F012FA"/>
    <w:rsid w:val="00F0156F"/>
    <w:rsid w:val="00F055D3"/>
    <w:rsid w:val="00F05833"/>
    <w:rsid w:val="00F129DD"/>
    <w:rsid w:val="00F16D0F"/>
    <w:rsid w:val="00F21DE0"/>
    <w:rsid w:val="00F31483"/>
    <w:rsid w:val="00F32789"/>
    <w:rsid w:val="00F71D53"/>
    <w:rsid w:val="00F731F5"/>
    <w:rsid w:val="00F75F59"/>
    <w:rsid w:val="00F8201E"/>
    <w:rsid w:val="00F84DEE"/>
    <w:rsid w:val="00F91089"/>
    <w:rsid w:val="00FA2805"/>
    <w:rsid w:val="00FB03DA"/>
    <w:rsid w:val="00FB7F9D"/>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E3669D"/>
    <w:rPr>
      <w:b/>
      <w:bCs/>
    </w:rPr>
  </w:style>
  <w:style w:type="paragraph" w:customStyle="1" w:styleId="TableText">
    <w:name w:val="Table Text"/>
    <w:basedOn w:val="Normal"/>
    <w:rsid w:val="00B81EBA"/>
    <w:pPr>
      <w:jc w:val="both"/>
    </w:pPr>
    <w:rPr>
      <w:rFonts w:ascii="Times New Roman" w:hAnsi="Times New Roman"/>
    </w:rPr>
  </w:style>
  <w:style w:type="paragraph" w:customStyle="1" w:styleId="Default">
    <w:name w:val="Default"/>
    <w:rsid w:val="009208C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4966">
      <w:bodyDiv w:val="1"/>
      <w:marLeft w:val="0"/>
      <w:marRight w:val="0"/>
      <w:marTop w:val="0"/>
      <w:marBottom w:val="0"/>
      <w:divBdr>
        <w:top w:val="none" w:sz="0" w:space="0" w:color="auto"/>
        <w:left w:val="none" w:sz="0" w:space="0" w:color="auto"/>
        <w:bottom w:val="none" w:sz="0" w:space="0" w:color="auto"/>
        <w:right w:val="none" w:sz="0" w:space="0" w:color="auto"/>
      </w:divBdr>
    </w:div>
    <w:div w:id="166361525">
      <w:bodyDiv w:val="1"/>
      <w:marLeft w:val="0"/>
      <w:marRight w:val="0"/>
      <w:marTop w:val="0"/>
      <w:marBottom w:val="0"/>
      <w:divBdr>
        <w:top w:val="none" w:sz="0" w:space="0" w:color="auto"/>
        <w:left w:val="none" w:sz="0" w:space="0" w:color="auto"/>
        <w:bottom w:val="none" w:sz="0" w:space="0" w:color="auto"/>
        <w:right w:val="none" w:sz="0" w:space="0" w:color="auto"/>
      </w:divBdr>
    </w:div>
    <w:div w:id="215314648">
      <w:bodyDiv w:val="1"/>
      <w:marLeft w:val="0"/>
      <w:marRight w:val="0"/>
      <w:marTop w:val="0"/>
      <w:marBottom w:val="0"/>
      <w:divBdr>
        <w:top w:val="none" w:sz="0" w:space="0" w:color="auto"/>
        <w:left w:val="none" w:sz="0" w:space="0" w:color="auto"/>
        <w:bottom w:val="none" w:sz="0" w:space="0" w:color="auto"/>
        <w:right w:val="none" w:sz="0" w:space="0" w:color="auto"/>
      </w:divBdr>
    </w:div>
    <w:div w:id="451024678">
      <w:bodyDiv w:val="1"/>
      <w:marLeft w:val="0"/>
      <w:marRight w:val="0"/>
      <w:marTop w:val="0"/>
      <w:marBottom w:val="0"/>
      <w:divBdr>
        <w:top w:val="none" w:sz="0" w:space="0" w:color="auto"/>
        <w:left w:val="none" w:sz="0" w:space="0" w:color="auto"/>
        <w:bottom w:val="none" w:sz="0" w:space="0" w:color="auto"/>
        <w:right w:val="none" w:sz="0" w:space="0" w:color="auto"/>
      </w:divBdr>
    </w:div>
    <w:div w:id="559246323">
      <w:bodyDiv w:val="1"/>
      <w:marLeft w:val="0"/>
      <w:marRight w:val="0"/>
      <w:marTop w:val="0"/>
      <w:marBottom w:val="0"/>
      <w:divBdr>
        <w:top w:val="none" w:sz="0" w:space="0" w:color="auto"/>
        <w:left w:val="none" w:sz="0" w:space="0" w:color="auto"/>
        <w:bottom w:val="none" w:sz="0" w:space="0" w:color="auto"/>
        <w:right w:val="none" w:sz="0" w:space="0" w:color="auto"/>
      </w:divBdr>
    </w:div>
    <w:div w:id="869755932">
      <w:bodyDiv w:val="1"/>
      <w:marLeft w:val="0"/>
      <w:marRight w:val="0"/>
      <w:marTop w:val="0"/>
      <w:marBottom w:val="0"/>
      <w:divBdr>
        <w:top w:val="none" w:sz="0" w:space="0" w:color="auto"/>
        <w:left w:val="none" w:sz="0" w:space="0" w:color="auto"/>
        <w:bottom w:val="none" w:sz="0" w:space="0" w:color="auto"/>
        <w:right w:val="none" w:sz="0" w:space="0" w:color="auto"/>
      </w:divBdr>
    </w:div>
    <w:div w:id="906956916">
      <w:bodyDiv w:val="1"/>
      <w:marLeft w:val="0"/>
      <w:marRight w:val="0"/>
      <w:marTop w:val="0"/>
      <w:marBottom w:val="0"/>
      <w:divBdr>
        <w:top w:val="none" w:sz="0" w:space="0" w:color="auto"/>
        <w:left w:val="none" w:sz="0" w:space="0" w:color="auto"/>
        <w:bottom w:val="none" w:sz="0" w:space="0" w:color="auto"/>
        <w:right w:val="none" w:sz="0" w:space="0" w:color="auto"/>
      </w:divBdr>
    </w:div>
    <w:div w:id="985626119">
      <w:bodyDiv w:val="1"/>
      <w:marLeft w:val="0"/>
      <w:marRight w:val="0"/>
      <w:marTop w:val="0"/>
      <w:marBottom w:val="0"/>
      <w:divBdr>
        <w:top w:val="none" w:sz="0" w:space="0" w:color="auto"/>
        <w:left w:val="none" w:sz="0" w:space="0" w:color="auto"/>
        <w:bottom w:val="none" w:sz="0" w:space="0" w:color="auto"/>
        <w:right w:val="none" w:sz="0" w:space="0" w:color="auto"/>
      </w:divBdr>
    </w:div>
    <w:div w:id="1191843312">
      <w:bodyDiv w:val="1"/>
      <w:marLeft w:val="0"/>
      <w:marRight w:val="0"/>
      <w:marTop w:val="0"/>
      <w:marBottom w:val="0"/>
      <w:divBdr>
        <w:top w:val="none" w:sz="0" w:space="0" w:color="auto"/>
        <w:left w:val="none" w:sz="0" w:space="0" w:color="auto"/>
        <w:bottom w:val="none" w:sz="0" w:space="0" w:color="auto"/>
        <w:right w:val="none" w:sz="0" w:space="0" w:color="auto"/>
      </w:divBdr>
    </w:div>
    <w:div w:id="1220171023">
      <w:bodyDiv w:val="1"/>
      <w:marLeft w:val="0"/>
      <w:marRight w:val="0"/>
      <w:marTop w:val="0"/>
      <w:marBottom w:val="0"/>
      <w:divBdr>
        <w:top w:val="none" w:sz="0" w:space="0" w:color="auto"/>
        <w:left w:val="none" w:sz="0" w:space="0" w:color="auto"/>
        <w:bottom w:val="none" w:sz="0" w:space="0" w:color="auto"/>
        <w:right w:val="none" w:sz="0" w:space="0" w:color="auto"/>
      </w:divBdr>
    </w:div>
    <w:div w:id="1492022335">
      <w:bodyDiv w:val="1"/>
      <w:marLeft w:val="0"/>
      <w:marRight w:val="0"/>
      <w:marTop w:val="0"/>
      <w:marBottom w:val="0"/>
      <w:divBdr>
        <w:top w:val="none" w:sz="0" w:space="0" w:color="auto"/>
        <w:left w:val="none" w:sz="0" w:space="0" w:color="auto"/>
        <w:bottom w:val="none" w:sz="0" w:space="0" w:color="auto"/>
        <w:right w:val="none" w:sz="0" w:space="0" w:color="auto"/>
      </w:divBdr>
    </w:div>
    <w:div w:id="1701975899">
      <w:bodyDiv w:val="1"/>
      <w:marLeft w:val="0"/>
      <w:marRight w:val="0"/>
      <w:marTop w:val="0"/>
      <w:marBottom w:val="0"/>
      <w:divBdr>
        <w:top w:val="none" w:sz="0" w:space="0" w:color="auto"/>
        <w:left w:val="none" w:sz="0" w:space="0" w:color="auto"/>
        <w:bottom w:val="none" w:sz="0" w:space="0" w:color="auto"/>
        <w:right w:val="none" w:sz="0" w:space="0" w:color="auto"/>
      </w:divBdr>
    </w:div>
    <w:div w:id="1726224309">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014215950">
      <w:bodyDiv w:val="1"/>
      <w:marLeft w:val="0"/>
      <w:marRight w:val="0"/>
      <w:marTop w:val="0"/>
      <w:marBottom w:val="0"/>
      <w:divBdr>
        <w:top w:val="none" w:sz="0" w:space="0" w:color="auto"/>
        <w:left w:val="none" w:sz="0" w:space="0" w:color="auto"/>
        <w:bottom w:val="none" w:sz="0" w:space="0" w:color="auto"/>
        <w:right w:val="none" w:sz="0" w:space="0" w:color="auto"/>
      </w:divBdr>
    </w:div>
    <w:div w:id="203719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44AB7-E7F2-41D2-8C48-87C6CC97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2299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Adrian Dowd</cp:lastModifiedBy>
  <cp:revision>2</cp:revision>
  <cp:lastPrinted>2020-03-11T10:54:00Z</cp:lastPrinted>
  <dcterms:created xsi:type="dcterms:W3CDTF">2021-04-12T13:31:00Z</dcterms:created>
  <dcterms:modified xsi:type="dcterms:W3CDTF">2021-04-12T13:31:00Z</dcterms:modified>
</cp:coreProperties>
</file>