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E8D33" w14:textId="77777777" w:rsidR="005522D3" w:rsidRDefault="005522D3">
      <w:pPr>
        <w:pStyle w:val="PLANNING"/>
      </w:pPr>
    </w:p>
    <w:p w14:paraId="510BA0BD" w14:textId="3BE61764" w:rsidR="00441735" w:rsidRDefault="003C43B0" w:rsidP="000C3E7C">
      <w:pPr>
        <w:pStyle w:val="PLANNING"/>
        <w:jc w:val="center"/>
      </w:pPr>
      <w:r>
        <w:rPr>
          <w:noProof/>
        </w:rPr>
        <w:drawing>
          <wp:inline distT="0" distB="0" distL="0" distR="0" wp14:anchorId="2508B8B6" wp14:editId="569F64AD">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462249E0" w14:textId="77777777" w:rsidR="00441735" w:rsidRDefault="00441735">
      <w:pPr>
        <w:pStyle w:val="PLANNING"/>
      </w:pPr>
    </w:p>
    <w:p w14:paraId="2C7900B3"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391CA334"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1AADC302"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171ED149"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144FA1C8"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4DFE3B57" w14:textId="77777777" w:rsidR="000C3E7C" w:rsidRDefault="000C3E7C" w:rsidP="000C3E7C">
      <w:pPr>
        <w:jc w:val="right"/>
        <w:rPr>
          <w:rFonts w:ascii="Calibri" w:hAnsi="Calibri"/>
          <w:noProof/>
          <w:sz w:val="18"/>
        </w:rPr>
      </w:pPr>
    </w:p>
    <w:p w14:paraId="2D374F99" w14:textId="77777777" w:rsidR="000C3E7C" w:rsidRDefault="000C3E7C" w:rsidP="000C3E7C">
      <w:pPr>
        <w:jc w:val="right"/>
        <w:rPr>
          <w:rFonts w:ascii="Calibri" w:hAnsi="Calibri"/>
          <w:noProof/>
          <w:sz w:val="18"/>
        </w:rPr>
      </w:pPr>
    </w:p>
    <w:p w14:paraId="3DF57600" w14:textId="77777777" w:rsidR="000C3E7C" w:rsidRDefault="000C3E7C" w:rsidP="000C3E7C">
      <w:pPr>
        <w:jc w:val="right"/>
        <w:rPr>
          <w:rFonts w:ascii="Calibri" w:hAnsi="Calibri"/>
          <w:noProof/>
          <w:sz w:val="18"/>
        </w:rPr>
      </w:pPr>
    </w:p>
    <w:p w14:paraId="0CBCBA8A" w14:textId="77777777" w:rsidR="000C3E7C" w:rsidRDefault="000C3E7C" w:rsidP="000C3E7C">
      <w:pPr>
        <w:jc w:val="right"/>
        <w:rPr>
          <w:rFonts w:ascii="Calibri" w:hAnsi="Calibri"/>
          <w:noProof/>
          <w:sz w:val="18"/>
        </w:rPr>
      </w:pPr>
    </w:p>
    <w:p w14:paraId="3F4D001F" w14:textId="77777777" w:rsidR="000C3E7C" w:rsidRDefault="000C3E7C" w:rsidP="000C3E7C">
      <w:pPr>
        <w:jc w:val="right"/>
        <w:rPr>
          <w:rFonts w:ascii="Calibri" w:hAnsi="Calibri"/>
          <w:noProof/>
          <w:sz w:val="18"/>
        </w:rPr>
      </w:pPr>
    </w:p>
    <w:p w14:paraId="080A83C0" w14:textId="77777777" w:rsidR="000C3E7C" w:rsidRPr="00894ED2" w:rsidRDefault="000C3E7C" w:rsidP="000C3E7C">
      <w:pPr>
        <w:rPr>
          <w:rFonts w:ascii="Calibri" w:hAnsi="Calibri"/>
          <w:noProof/>
        </w:rPr>
      </w:pPr>
      <w:r w:rsidRPr="00894ED2">
        <w:rPr>
          <w:rFonts w:ascii="Calibri" w:hAnsi="Calibri"/>
          <w:noProof/>
        </w:rPr>
        <w:t xml:space="preserve">My reference: </w:t>
      </w:r>
      <w:r w:rsidR="003C43B0">
        <w:rPr>
          <w:rFonts w:ascii="Calibri" w:hAnsi="Calibri"/>
          <w:noProof/>
        </w:rPr>
        <w:t>3/2021/0203</w:t>
      </w:r>
    </w:p>
    <w:p w14:paraId="166D121A"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715C2F82" w14:textId="77777777" w:rsidR="000C3E7C" w:rsidRPr="00894ED2" w:rsidRDefault="00BB5956" w:rsidP="000C3E7C">
      <w:pPr>
        <w:rPr>
          <w:rFonts w:ascii="Calibri" w:hAnsi="Calibri"/>
          <w:noProof/>
        </w:rPr>
      </w:pPr>
      <w:r>
        <w:rPr>
          <w:rFonts w:ascii="Calibri" w:hAnsi="Calibri"/>
          <w:noProof/>
        </w:rPr>
        <w:t>www.ribblevalley.gov.uk</w:t>
      </w:r>
    </w:p>
    <w:p w14:paraId="789773AD"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653DB1F3" w14:textId="71E3F4BF"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FE3BD3">
        <w:rPr>
          <w:rFonts w:ascii="Calibri" w:hAnsi="Calibri"/>
          <w:noProof/>
        </w:rPr>
        <w:t>02 August 2021</w:t>
      </w:r>
      <w:r w:rsidRPr="00894ED2">
        <w:rPr>
          <w:rFonts w:ascii="Calibri" w:hAnsi="Calibri"/>
          <w:noProof/>
        </w:rPr>
        <w:fldChar w:fldCharType="end"/>
      </w:r>
    </w:p>
    <w:p w14:paraId="0AE0AC18" w14:textId="77777777" w:rsidR="000C3E7C" w:rsidRDefault="000C3E7C" w:rsidP="000C3E7C">
      <w:pPr>
        <w:rPr>
          <w:rFonts w:ascii="Arial" w:hAnsi="Arial"/>
          <w:noProof/>
          <w:sz w:val="16"/>
        </w:rPr>
      </w:pPr>
    </w:p>
    <w:p w14:paraId="6836CF03" w14:textId="77777777" w:rsidR="00441735" w:rsidRDefault="00441735">
      <w:pPr>
        <w:pStyle w:val="PLANNING"/>
      </w:pPr>
    </w:p>
    <w:p w14:paraId="19B08C12" w14:textId="77777777" w:rsidR="00441735" w:rsidRDefault="00441735">
      <w:pPr>
        <w:pStyle w:val="PLANNING"/>
      </w:pPr>
    </w:p>
    <w:p w14:paraId="24FA4A2F" w14:textId="77777777" w:rsidR="000C3E7C" w:rsidRDefault="000C3E7C" w:rsidP="000C3E7C">
      <w:pPr>
        <w:rPr>
          <w:rFonts w:ascii="Calibri" w:hAnsi="Calibri" w:cs="Calibri"/>
          <w:color w:val="000000"/>
        </w:rPr>
      </w:pPr>
      <w:r w:rsidRPr="00344823">
        <w:rPr>
          <w:rFonts w:ascii="Calibri" w:hAnsi="Calibri" w:cs="Calibri"/>
          <w:color w:val="000000"/>
        </w:rPr>
        <w:t xml:space="preserve">Location: </w:t>
      </w:r>
      <w:r w:rsidR="003C43B0">
        <w:rPr>
          <w:rFonts w:ascii="Calibri" w:hAnsi="Calibri"/>
          <w:sz w:val="24"/>
          <w:szCs w:val="24"/>
        </w:rPr>
        <w:t>Old Row Whalley Road Barrow BB7 9AZ</w:t>
      </w:r>
    </w:p>
    <w:p w14:paraId="30FCB708" w14:textId="77777777"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3C43B0">
        <w:rPr>
          <w:rFonts w:ascii="Calibri" w:hAnsi="Calibri"/>
          <w:sz w:val="24"/>
          <w:szCs w:val="24"/>
        </w:rPr>
        <w:t>Discharge of condition 4 (S104 Plan), 5, 6, 7 (Drainage Strategy), 11 (Surface Water Drainage Scheme), 12 (S104 Adoption plan), 15 (Demolition Drawings), 16 (Energy Scheme), 25 (On Site construction works), 26 (Highway condition survey), 27 (CEMP), 28 (Phasing Plan), 29 (Section 38 drawing) and 30 (Road Engineering Plan). from planning permission 3/2016/0146.</w:t>
      </w:r>
    </w:p>
    <w:p w14:paraId="6A066C18" w14:textId="77777777" w:rsidR="000C3E7C" w:rsidRDefault="000C3E7C" w:rsidP="000C3E7C">
      <w:pPr>
        <w:rPr>
          <w:rFonts w:ascii="Calibri" w:hAnsi="Calibri" w:cs="Calibri"/>
          <w:color w:val="000000"/>
        </w:rPr>
      </w:pPr>
    </w:p>
    <w:p w14:paraId="136DCBC8"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762F832E"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566288DA" w14:textId="77777777">
        <w:trPr>
          <w:cantSplit/>
        </w:trPr>
        <w:tc>
          <w:tcPr>
            <w:tcW w:w="9414" w:type="dxa"/>
            <w:tcBorders>
              <w:left w:val="nil"/>
            </w:tcBorders>
          </w:tcPr>
          <w:p w14:paraId="17C87F83" w14:textId="77777777" w:rsidR="003C43B0" w:rsidRDefault="003C43B0">
            <w:pPr>
              <w:pStyle w:val="TableText"/>
              <w:rPr>
                <w:rFonts w:ascii="Calibri" w:hAnsi="Calibri"/>
                <w:sz w:val="24"/>
                <w:szCs w:val="24"/>
              </w:rPr>
            </w:pPr>
            <w:r>
              <w:rPr>
                <w:rFonts w:ascii="Calibri" w:hAnsi="Calibri"/>
                <w:sz w:val="24"/>
                <w:szCs w:val="24"/>
              </w:rPr>
              <w:t>Condition 04 cannot be discharged as it requires that the development does not exceed 23 dwellings.</w:t>
            </w:r>
          </w:p>
          <w:p w14:paraId="01D08B8D" w14:textId="77777777" w:rsidR="003C43B0" w:rsidRDefault="003C43B0">
            <w:pPr>
              <w:pStyle w:val="TableText"/>
              <w:rPr>
                <w:rFonts w:ascii="Calibri" w:hAnsi="Calibri"/>
                <w:sz w:val="24"/>
                <w:szCs w:val="24"/>
              </w:rPr>
            </w:pPr>
          </w:p>
          <w:p w14:paraId="38865439" w14:textId="77777777" w:rsidR="003C43B0" w:rsidRDefault="003C43B0">
            <w:pPr>
              <w:pStyle w:val="TableText"/>
              <w:rPr>
                <w:rFonts w:ascii="Calibri" w:hAnsi="Calibri"/>
                <w:sz w:val="24"/>
                <w:szCs w:val="24"/>
              </w:rPr>
            </w:pPr>
            <w:r>
              <w:rPr>
                <w:rFonts w:ascii="Calibri" w:hAnsi="Calibri"/>
                <w:sz w:val="24"/>
                <w:szCs w:val="24"/>
              </w:rPr>
              <w:t>Upon the development having been completed in strict accordance with the approved plans/details this condition shall be considered fully discharged.</w:t>
            </w:r>
          </w:p>
          <w:p w14:paraId="1459EACD" w14:textId="77777777" w:rsidR="003C43B0" w:rsidRDefault="003C43B0">
            <w:pPr>
              <w:pStyle w:val="TableText"/>
              <w:rPr>
                <w:rFonts w:ascii="Calibri" w:hAnsi="Calibri"/>
                <w:sz w:val="24"/>
                <w:szCs w:val="24"/>
              </w:rPr>
            </w:pPr>
          </w:p>
          <w:p w14:paraId="589167A7" w14:textId="77777777" w:rsidR="003C43B0" w:rsidRDefault="003C43B0">
            <w:pPr>
              <w:pStyle w:val="TableText"/>
              <w:rPr>
                <w:rFonts w:ascii="Calibri" w:hAnsi="Calibri"/>
                <w:sz w:val="24"/>
                <w:szCs w:val="24"/>
              </w:rPr>
            </w:pPr>
            <w:r>
              <w:rPr>
                <w:rFonts w:ascii="Calibri" w:hAnsi="Calibri"/>
                <w:sz w:val="24"/>
                <w:szCs w:val="24"/>
              </w:rPr>
              <w:t>Full discharge of this condition at this time would be premature given the development is not complete.</w:t>
            </w:r>
          </w:p>
          <w:p w14:paraId="5D425FD0" w14:textId="77777777" w:rsidR="005F71C3" w:rsidRPr="00641E0F" w:rsidRDefault="005F71C3">
            <w:pPr>
              <w:pStyle w:val="TableText"/>
              <w:rPr>
                <w:rFonts w:ascii="Calibri" w:hAnsi="Calibri"/>
                <w:sz w:val="24"/>
                <w:szCs w:val="24"/>
              </w:rPr>
            </w:pPr>
          </w:p>
        </w:tc>
      </w:tr>
      <w:tr w:rsidR="005F71C3" w:rsidRPr="00641E0F" w14:paraId="55593ED4" w14:textId="77777777">
        <w:trPr>
          <w:cantSplit/>
        </w:trPr>
        <w:tc>
          <w:tcPr>
            <w:tcW w:w="9414" w:type="dxa"/>
            <w:tcBorders>
              <w:left w:val="nil"/>
            </w:tcBorders>
          </w:tcPr>
          <w:p w14:paraId="1D28E851" w14:textId="77777777" w:rsidR="003C43B0" w:rsidRDefault="003C43B0">
            <w:pPr>
              <w:pStyle w:val="TableText"/>
              <w:rPr>
                <w:rFonts w:ascii="Calibri" w:hAnsi="Calibri"/>
                <w:sz w:val="24"/>
                <w:szCs w:val="24"/>
              </w:rPr>
            </w:pPr>
            <w:r>
              <w:rPr>
                <w:rFonts w:ascii="Calibri" w:hAnsi="Calibri"/>
                <w:sz w:val="24"/>
                <w:szCs w:val="24"/>
              </w:rPr>
              <w:t>Conditions 05, 06 and 07 (drainage strategy) cannot be discharged as the submitted information is not considered to be acceptable by United Utilities and the Lead Local Flood Authority.</w:t>
            </w:r>
          </w:p>
          <w:p w14:paraId="45652C17" w14:textId="5993F209" w:rsidR="005F71C3" w:rsidRPr="00641E0F" w:rsidRDefault="009236DD" w:rsidP="009236DD">
            <w:pPr>
              <w:pStyle w:val="TableText"/>
              <w:jc w:val="right"/>
              <w:rPr>
                <w:rFonts w:ascii="Calibri" w:hAnsi="Calibri"/>
                <w:sz w:val="24"/>
                <w:szCs w:val="24"/>
              </w:rPr>
            </w:pPr>
            <w:r>
              <w:rPr>
                <w:rFonts w:ascii="Calibri" w:hAnsi="Calibri"/>
                <w:sz w:val="24"/>
                <w:szCs w:val="24"/>
              </w:rPr>
              <w:t>P.T.O.</w:t>
            </w:r>
          </w:p>
        </w:tc>
      </w:tr>
      <w:tr w:rsidR="005F71C3" w:rsidRPr="00641E0F" w14:paraId="7E458B3A" w14:textId="77777777">
        <w:trPr>
          <w:cantSplit/>
        </w:trPr>
        <w:tc>
          <w:tcPr>
            <w:tcW w:w="9414" w:type="dxa"/>
            <w:tcBorders>
              <w:left w:val="nil"/>
            </w:tcBorders>
          </w:tcPr>
          <w:p w14:paraId="5BCC2800" w14:textId="77777777" w:rsidR="003C43B0" w:rsidRDefault="003C43B0">
            <w:pPr>
              <w:pStyle w:val="TableText"/>
              <w:rPr>
                <w:rFonts w:ascii="Calibri" w:hAnsi="Calibri"/>
                <w:sz w:val="24"/>
                <w:szCs w:val="24"/>
              </w:rPr>
            </w:pPr>
            <w:r>
              <w:rPr>
                <w:rFonts w:ascii="Calibri" w:hAnsi="Calibri"/>
                <w:sz w:val="24"/>
                <w:szCs w:val="24"/>
              </w:rPr>
              <w:lastRenderedPageBreak/>
              <w:t>The applicant has failed to provide sufficient information to discharge conditions 11 (surface water drainage) and 12 (drainage management and maintenance plan).</w:t>
            </w:r>
          </w:p>
          <w:p w14:paraId="422771CD" w14:textId="77777777" w:rsidR="005F71C3" w:rsidRPr="00641E0F" w:rsidRDefault="005F71C3">
            <w:pPr>
              <w:pStyle w:val="TableText"/>
              <w:rPr>
                <w:rFonts w:ascii="Calibri" w:hAnsi="Calibri"/>
                <w:sz w:val="24"/>
                <w:szCs w:val="24"/>
              </w:rPr>
            </w:pPr>
          </w:p>
        </w:tc>
      </w:tr>
      <w:tr w:rsidR="005F71C3" w:rsidRPr="00641E0F" w14:paraId="4D11A190" w14:textId="77777777">
        <w:trPr>
          <w:cantSplit/>
        </w:trPr>
        <w:tc>
          <w:tcPr>
            <w:tcW w:w="9414" w:type="dxa"/>
            <w:tcBorders>
              <w:left w:val="nil"/>
            </w:tcBorders>
          </w:tcPr>
          <w:p w14:paraId="4CFB3465" w14:textId="77777777" w:rsidR="003C43B0" w:rsidRDefault="003C43B0">
            <w:pPr>
              <w:pStyle w:val="TableText"/>
              <w:rPr>
                <w:rFonts w:ascii="Calibri" w:hAnsi="Calibri"/>
                <w:sz w:val="24"/>
                <w:szCs w:val="24"/>
              </w:rPr>
            </w:pPr>
            <w:r>
              <w:rPr>
                <w:rFonts w:ascii="Calibri" w:hAnsi="Calibri"/>
                <w:sz w:val="24"/>
                <w:szCs w:val="24"/>
              </w:rPr>
              <w:t>Condition 15 is partially discharged insofar that the submitted details (Party Wall Agreement Details 19014/02B) are agreed by the Local Planning Authority. There remains the requirement to provide timescales for implementation of the agreed works and for the development to be completed in accordance with the agreed details and timescales.</w:t>
            </w:r>
          </w:p>
          <w:p w14:paraId="5C15D823" w14:textId="77777777" w:rsidR="005F71C3" w:rsidRPr="00641E0F" w:rsidRDefault="005F71C3">
            <w:pPr>
              <w:pStyle w:val="TableText"/>
              <w:rPr>
                <w:rFonts w:ascii="Calibri" w:hAnsi="Calibri"/>
                <w:sz w:val="24"/>
                <w:szCs w:val="24"/>
              </w:rPr>
            </w:pPr>
          </w:p>
        </w:tc>
      </w:tr>
      <w:tr w:rsidR="005F71C3" w14:paraId="4A291C67" w14:textId="77777777">
        <w:trPr>
          <w:cantSplit/>
        </w:trPr>
        <w:tc>
          <w:tcPr>
            <w:tcW w:w="9414" w:type="dxa"/>
            <w:tcBorders>
              <w:left w:val="nil"/>
            </w:tcBorders>
          </w:tcPr>
          <w:p w14:paraId="386FEBE7" w14:textId="77777777" w:rsidR="003C43B0" w:rsidRPr="003C43B0" w:rsidRDefault="003C43B0">
            <w:pPr>
              <w:pStyle w:val="TableText"/>
              <w:rPr>
                <w:rFonts w:ascii="Calibri" w:hAnsi="Calibri"/>
                <w:sz w:val="24"/>
                <w:szCs w:val="24"/>
              </w:rPr>
            </w:pPr>
            <w:bookmarkStart w:id="0" w:name="Informatives_table"/>
            <w:bookmarkEnd w:id="0"/>
            <w:r w:rsidRPr="003C43B0">
              <w:rPr>
                <w:rFonts w:ascii="Calibri" w:hAnsi="Calibri"/>
                <w:sz w:val="24"/>
                <w:szCs w:val="24"/>
              </w:rPr>
              <w:t xml:space="preserve">Condition 16 can be partially discharged insofar that the submitted Energy Statement (ref PBS/19/1627) </w:t>
            </w:r>
            <w:proofErr w:type="gramStart"/>
            <w:r w:rsidRPr="003C43B0">
              <w:rPr>
                <w:rFonts w:ascii="Calibri" w:hAnsi="Calibri"/>
                <w:sz w:val="24"/>
                <w:szCs w:val="24"/>
              </w:rPr>
              <w:t>is considered to be</w:t>
            </w:r>
            <w:proofErr w:type="gramEnd"/>
            <w:r w:rsidRPr="003C43B0">
              <w:rPr>
                <w:rFonts w:ascii="Calibri" w:hAnsi="Calibri"/>
                <w:sz w:val="24"/>
                <w:szCs w:val="24"/>
              </w:rPr>
              <w:t xml:space="preserve"> acceptable. There remains the requirement for the development to be completed in strict accordance with the agreed details and retained as such thereafter.</w:t>
            </w:r>
          </w:p>
          <w:p w14:paraId="38B9C78C" w14:textId="77777777" w:rsidR="005F71C3" w:rsidRPr="00641E0F" w:rsidRDefault="005F71C3">
            <w:pPr>
              <w:pStyle w:val="TableText"/>
              <w:rPr>
                <w:rFonts w:ascii="Calibri" w:hAnsi="Calibri"/>
                <w:b/>
                <w:bCs/>
                <w:sz w:val="24"/>
                <w:szCs w:val="24"/>
              </w:rPr>
            </w:pPr>
          </w:p>
        </w:tc>
      </w:tr>
      <w:tr w:rsidR="005F71C3" w14:paraId="5D29E92C" w14:textId="77777777">
        <w:trPr>
          <w:cantSplit/>
        </w:trPr>
        <w:tc>
          <w:tcPr>
            <w:tcW w:w="9414" w:type="dxa"/>
            <w:tcBorders>
              <w:left w:val="nil"/>
            </w:tcBorders>
          </w:tcPr>
          <w:p w14:paraId="26336D64" w14:textId="77777777" w:rsidR="003C43B0" w:rsidRDefault="003C43B0">
            <w:pPr>
              <w:pStyle w:val="TableText"/>
              <w:rPr>
                <w:rFonts w:ascii="Calibri" w:hAnsi="Calibri"/>
                <w:sz w:val="24"/>
                <w:szCs w:val="24"/>
              </w:rPr>
            </w:pPr>
            <w:r>
              <w:rPr>
                <w:rFonts w:ascii="Calibri" w:hAnsi="Calibri"/>
                <w:sz w:val="24"/>
                <w:szCs w:val="24"/>
              </w:rPr>
              <w:t>Condition 25 (site access and highway improvements) cannot be discharged in accordance with the recommendation of LCC Highways.</w:t>
            </w:r>
          </w:p>
          <w:p w14:paraId="1DF8643B" w14:textId="77777777" w:rsidR="005F71C3" w:rsidRPr="00641E0F" w:rsidRDefault="005F71C3">
            <w:pPr>
              <w:pStyle w:val="TableText"/>
              <w:rPr>
                <w:rFonts w:ascii="Calibri" w:hAnsi="Calibri"/>
                <w:sz w:val="24"/>
                <w:szCs w:val="24"/>
              </w:rPr>
            </w:pPr>
          </w:p>
        </w:tc>
      </w:tr>
      <w:tr w:rsidR="005F71C3" w14:paraId="3DE64B79" w14:textId="77777777">
        <w:trPr>
          <w:cantSplit/>
        </w:trPr>
        <w:tc>
          <w:tcPr>
            <w:tcW w:w="9414" w:type="dxa"/>
            <w:tcBorders>
              <w:left w:val="nil"/>
            </w:tcBorders>
          </w:tcPr>
          <w:p w14:paraId="2BE3309A" w14:textId="77777777" w:rsidR="003C43B0" w:rsidRDefault="003C43B0">
            <w:pPr>
              <w:pStyle w:val="TableText"/>
              <w:rPr>
                <w:rFonts w:ascii="Calibri" w:hAnsi="Calibri"/>
                <w:sz w:val="24"/>
                <w:szCs w:val="24"/>
              </w:rPr>
            </w:pPr>
            <w:r>
              <w:rPr>
                <w:rFonts w:ascii="Calibri" w:hAnsi="Calibri"/>
                <w:sz w:val="24"/>
                <w:szCs w:val="24"/>
              </w:rPr>
              <w:t>Conditions 26 (highway condition survey) and 27 (construction management plan) cannot be discharged as the applicant has provided insufficient information.</w:t>
            </w:r>
          </w:p>
          <w:p w14:paraId="45CC41D6" w14:textId="77777777" w:rsidR="003C43B0" w:rsidRDefault="003C43B0">
            <w:pPr>
              <w:pStyle w:val="TableText"/>
              <w:rPr>
                <w:rFonts w:ascii="Calibri" w:hAnsi="Calibri"/>
                <w:sz w:val="24"/>
                <w:szCs w:val="24"/>
              </w:rPr>
            </w:pPr>
          </w:p>
          <w:p w14:paraId="480689EE" w14:textId="77777777" w:rsidR="005F71C3" w:rsidRPr="00641E0F" w:rsidRDefault="005F71C3">
            <w:pPr>
              <w:pStyle w:val="TableText"/>
              <w:rPr>
                <w:rFonts w:ascii="Calibri" w:hAnsi="Calibri"/>
                <w:sz w:val="24"/>
                <w:szCs w:val="24"/>
              </w:rPr>
            </w:pPr>
          </w:p>
        </w:tc>
      </w:tr>
      <w:tr w:rsidR="005F71C3" w14:paraId="5B0CE7FC" w14:textId="77777777">
        <w:trPr>
          <w:cantSplit/>
        </w:trPr>
        <w:tc>
          <w:tcPr>
            <w:tcW w:w="9414" w:type="dxa"/>
            <w:tcBorders>
              <w:left w:val="nil"/>
            </w:tcBorders>
          </w:tcPr>
          <w:p w14:paraId="46EA3CE5" w14:textId="77777777" w:rsidR="003C43B0" w:rsidRDefault="003C43B0">
            <w:pPr>
              <w:pStyle w:val="TableText"/>
              <w:rPr>
                <w:rFonts w:ascii="Calibri" w:hAnsi="Calibri"/>
                <w:sz w:val="24"/>
                <w:szCs w:val="24"/>
              </w:rPr>
            </w:pPr>
            <w:r>
              <w:rPr>
                <w:rFonts w:ascii="Calibri" w:hAnsi="Calibri"/>
                <w:sz w:val="24"/>
                <w:szCs w:val="24"/>
              </w:rPr>
              <w:t>Condition 28 can be partially discharged insofar that submitted plan ENG12-P5 indicates that the estate road would be constructed to an adoptable standard. There remains the requirement to provide a Phasing and Completion plan including dates for the entering of the section 38 agreement or the establishment of a private management and maintenance company as specified in the condition.</w:t>
            </w:r>
          </w:p>
          <w:p w14:paraId="232EF22A" w14:textId="77777777" w:rsidR="005F71C3" w:rsidRPr="00641E0F" w:rsidRDefault="005F71C3">
            <w:pPr>
              <w:pStyle w:val="TableText"/>
              <w:rPr>
                <w:rFonts w:ascii="Calibri" w:hAnsi="Calibri"/>
                <w:sz w:val="24"/>
                <w:szCs w:val="24"/>
              </w:rPr>
            </w:pPr>
          </w:p>
        </w:tc>
      </w:tr>
      <w:tr w:rsidR="005F71C3" w14:paraId="3539853F" w14:textId="77777777">
        <w:trPr>
          <w:cantSplit/>
        </w:trPr>
        <w:tc>
          <w:tcPr>
            <w:tcW w:w="9414" w:type="dxa"/>
            <w:tcBorders>
              <w:left w:val="nil"/>
            </w:tcBorders>
          </w:tcPr>
          <w:p w14:paraId="192C8744" w14:textId="77777777" w:rsidR="003C43B0" w:rsidRDefault="003C43B0">
            <w:pPr>
              <w:pStyle w:val="TableText"/>
              <w:rPr>
                <w:rFonts w:ascii="Calibri" w:hAnsi="Calibri"/>
                <w:sz w:val="24"/>
                <w:szCs w:val="24"/>
              </w:rPr>
            </w:pPr>
            <w:r>
              <w:rPr>
                <w:rFonts w:ascii="Calibri" w:hAnsi="Calibri"/>
                <w:sz w:val="24"/>
                <w:szCs w:val="24"/>
              </w:rPr>
              <w:t>Condition 29 (highways maintenance plan) cannot be discharged. Future adoption of the estate road cannot be determined until details of highway drainage are agreed.</w:t>
            </w:r>
          </w:p>
          <w:p w14:paraId="5C4DF193" w14:textId="77777777" w:rsidR="005F71C3" w:rsidRPr="00641E0F" w:rsidRDefault="005F71C3">
            <w:pPr>
              <w:pStyle w:val="TableText"/>
              <w:rPr>
                <w:rFonts w:ascii="Calibri" w:hAnsi="Calibri"/>
                <w:sz w:val="24"/>
                <w:szCs w:val="24"/>
              </w:rPr>
            </w:pPr>
          </w:p>
        </w:tc>
      </w:tr>
      <w:tr w:rsidR="005F71C3" w14:paraId="780B010F" w14:textId="77777777">
        <w:trPr>
          <w:cantSplit/>
        </w:trPr>
        <w:tc>
          <w:tcPr>
            <w:tcW w:w="9414" w:type="dxa"/>
            <w:tcBorders>
              <w:left w:val="nil"/>
            </w:tcBorders>
          </w:tcPr>
          <w:p w14:paraId="7AB98A7D" w14:textId="77777777" w:rsidR="003C43B0" w:rsidRDefault="003C43B0">
            <w:pPr>
              <w:pStyle w:val="TableText"/>
              <w:rPr>
                <w:rFonts w:ascii="Calibri" w:hAnsi="Calibri"/>
                <w:sz w:val="24"/>
                <w:szCs w:val="24"/>
              </w:rPr>
            </w:pPr>
            <w:r>
              <w:rPr>
                <w:rFonts w:ascii="Calibri" w:hAnsi="Calibri"/>
                <w:sz w:val="24"/>
                <w:szCs w:val="24"/>
              </w:rPr>
              <w:t>Condition 30 (engineering, drainage, street lighting and constructional details) cannot be discharged as insufficient details have been provided and there remains a drainage matter to be resolved.</w:t>
            </w:r>
          </w:p>
          <w:p w14:paraId="2C307836" w14:textId="77777777" w:rsidR="005F71C3" w:rsidRDefault="005F71C3">
            <w:pPr>
              <w:pStyle w:val="TableText"/>
              <w:rPr>
                <w:rFonts w:ascii="Calibri" w:hAnsi="Calibri"/>
                <w:sz w:val="24"/>
                <w:szCs w:val="24"/>
              </w:rPr>
            </w:pPr>
          </w:p>
          <w:p w14:paraId="3B02DDFD" w14:textId="01AC98A2" w:rsidR="009236DD" w:rsidRPr="00641E0F" w:rsidRDefault="009236DD" w:rsidP="009236DD">
            <w:pPr>
              <w:pStyle w:val="TableText"/>
              <w:jc w:val="right"/>
              <w:rPr>
                <w:rFonts w:ascii="Calibri" w:hAnsi="Calibri"/>
                <w:sz w:val="24"/>
                <w:szCs w:val="24"/>
              </w:rPr>
            </w:pPr>
          </w:p>
        </w:tc>
      </w:tr>
      <w:tr w:rsidR="005F71C3" w14:paraId="4F42C8D4" w14:textId="77777777">
        <w:trPr>
          <w:cantSplit/>
        </w:trPr>
        <w:tc>
          <w:tcPr>
            <w:tcW w:w="9414" w:type="dxa"/>
            <w:tcBorders>
              <w:left w:val="nil"/>
            </w:tcBorders>
          </w:tcPr>
          <w:p w14:paraId="59348798" w14:textId="77777777" w:rsidR="005F71C3" w:rsidRPr="00641E0F" w:rsidRDefault="005F71C3">
            <w:pPr>
              <w:pStyle w:val="TableText"/>
              <w:rPr>
                <w:rFonts w:ascii="Calibri" w:hAnsi="Calibri"/>
                <w:sz w:val="24"/>
                <w:szCs w:val="24"/>
              </w:rPr>
            </w:pPr>
          </w:p>
        </w:tc>
      </w:tr>
    </w:tbl>
    <w:p w14:paraId="246070A3" w14:textId="77777777" w:rsidR="003449FF" w:rsidRPr="0070667B" w:rsidRDefault="003449FF" w:rsidP="0070667B">
      <w:pPr>
        <w:pStyle w:val="BodySingle"/>
        <w:rPr>
          <w:rFonts w:ascii="Brush Script MT" w:hAnsi="Brush Script MT"/>
          <w:sz w:val="44"/>
          <w:szCs w:val="44"/>
        </w:rPr>
      </w:pPr>
      <w:r>
        <w:rPr>
          <w:rFonts w:ascii="Brush Script MT" w:hAnsi="Brush Script MT"/>
          <w:sz w:val="44"/>
          <w:szCs w:val="44"/>
        </w:rPr>
        <w:t xml:space="preserve">John Macholc  </w:t>
      </w:r>
    </w:p>
    <w:p w14:paraId="22CDDAF5" w14:textId="77777777" w:rsidR="003449FF" w:rsidRDefault="003449FF" w:rsidP="003449FF">
      <w:pPr>
        <w:rPr>
          <w:rFonts w:ascii="Calibri" w:hAnsi="Calibri"/>
          <w:b/>
          <w:sz w:val="24"/>
          <w:szCs w:val="24"/>
        </w:rPr>
      </w:pPr>
      <w:r>
        <w:rPr>
          <w:rFonts w:ascii="Calibri" w:hAnsi="Calibri"/>
          <w:b/>
          <w:sz w:val="24"/>
          <w:szCs w:val="24"/>
        </w:rPr>
        <w:t>pp NICOLA HOPKINS</w:t>
      </w:r>
    </w:p>
    <w:p w14:paraId="4E55B641" w14:textId="77777777" w:rsidR="003449FF" w:rsidRDefault="003449FF" w:rsidP="003449FF">
      <w:pPr>
        <w:rPr>
          <w:rFonts w:ascii="Calibri" w:hAnsi="Calibri"/>
          <w:b/>
          <w:sz w:val="24"/>
          <w:szCs w:val="24"/>
        </w:rPr>
      </w:pPr>
      <w:r>
        <w:rPr>
          <w:rFonts w:ascii="Calibri" w:hAnsi="Calibri"/>
          <w:b/>
          <w:sz w:val="24"/>
          <w:szCs w:val="24"/>
        </w:rPr>
        <w:t>DIRECTOR OF ECONOMIC DEVELOPMENT AND PLANNING</w:t>
      </w:r>
    </w:p>
    <w:p w14:paraId="493DBFDE" w14:textId="55683327" w:rsidR="00E92439" w:rsidRDefault="00E92439" w:rsidP="00EC3181">
      <w:pPr>
        <w:pStyle w:val="TableText"/>
        <w:rPr>
          <w:rFonts w:ascii="Arial" w:hAnsi="Arial" w:cs="Arial"/>
          <w:b/>
        </w:rPr>
      </w:pPr>
    </w:p>
    <w:p w14:paraId="197F30C5" w14:textId="3F7EB8A1" w:rsidR="009236DD" w:rsidRDefault="009236DD" w:rsidP="00EC3181">
      <w:pPr>
        <w:pStyle w:val="TableText"/>
        <w:rPr>
          <w:rFonts w:ascii="Arial" w:hAnsi="Arial" w:cs="Arial"/>
          <w:b/>
        </w:rPr>
      </w:pPr>
    </w:p>
    <w:p w14:paraId="7B7DC1C4" w14:textId="227F6EC5" w:rsidR="009236DD" w:rsidRDefault="009236DD" w:rsidP="009236DD">
      <w:pPr>
        <w:pStyle w:val="TableText"/>
        <w:jc w:val="right"/>
        <w:rPr>
          <w:rFonts w:ascii="Arial" w:hAnsi="Arial" w:cs="Arial"/>
          <w:b/>
        </w:rPr>
      </w:pPr>
      <w:r>
        <w:rPr>
          <w:rFonts w:ascii="Calibri" w:hAnsi="Calibri"/>
          <w:sz w:val="24"/>
          <w:szCs w:val="24"/>
        </w:rPr>
        <w:t>P.T.O.</w:t>
      </w:r>
    </w:p>
    <w:p w14:paraId="60F682D6" w14:textId="77777777" w:rsidR="009F3984" w:rsidRDefault="009F3984" w:rsidP="00EC3181">
      <w:pPr>
        <w:pStyle w:val="TableText"/>
        <w:rPr>
          <w:rFonts w:ascii="Arial" w:hAnsi="Arial" w:cs="Arial"/>
          <w:b/>
        </w:rPr>
      </w:pPr>
    </w:p>
    <w:p w14:paraId="7E519A4C" w14:textId="77777777" w:rsidR="009236DD" w:rsidRDefault="009236DD" w:rsidP="009F3984">
      <w:pPr>
        <w:rPr>
          <w:rFonts w:ascii="Calibri" w:hAnsi="Calibri"/>
          <w:sz w:val="24"/>
          <w:szCs w:val="24"/>
        </w:rPr>
      </w:pPr>
    </w:p>
    <w:p w14:paraId="6369EAB9" w14:textId="77777777" w:rsidR="009236DD" w:rsidRDefault="009236DD" w:rsidP="009F3984">
      <w:pPr>
        <w:rPr>
          <w:rFonts w:ascii="Calibri" w:hAnsi="Calibri"/>
          <w:sz w:val="24"/>
          <w:szCs w:val="24"/>
        </w:rPr>
      </w:pPr>
    </w:p>
    <w:p w14:paraId="574EBF16" w14:textId="77777777" w:rsidR="009236DD" w:rsidRDefault="009236DD" w:rsidP="009F3984">
      <w:pPr>
        <w:rPr>
          <w:rFonts w:ascii="Calibri" w:hAnsi="Calibri"/>
          <w:sz w:val="24"/>
          <w:szCs w:val="24"/>
        </w:rPr>
      </w:pPr>
    </w:p>
    <w:p w14:paraId="6C0627C0" w14:textId="715EA78D" w:rsidR="009F3984" w:rsidRPr="00DD62CA" w:rsidRDefault="003C43B0" w:rsidP="009F3984">
      <w:pPr>
        <w:rPr>
          <w:rFonts w:ascii="Calibri" w:hAnsi="Calibri"/>
          <w:sz w:val="24"/>
          <w:szCs w:val="24"/>
        </w:rPr>
      </w:pPr>
      <w:r>
        <w:rPr>
          <w:rFonts w:ascii="Calibri" w:hAnsi="Calibri"/>
          <w:sz w:val="24"/>
          <w:szCs w:val="24"/>
        </w:rPr>
        <w:lastRenderedPageBreak/>
        <w:t>Mr Neil Sharp</w:t>
      </w:r>
    </w:p>
    <w:p w14:paraId="432FF30D" w14:textId="77777777" w:rsidR="003C43B0" w:rsidRDefault="003C43B0" w:rsidP="009F3984">
      <w:pPr>
        <w:pStyle w:val="TableText"/>
        <w:rPr>
          <w:rFonts w:ascii="Calibri" w:hAnsi="Calibri"/>
          <w:sz w:val="24"/>
          <w:szCs w:val="24"/>
        </w:rPr>
      </w:pPr>
      <w:proofErr w:type="spellStart"/>
      <w:r>
        <w:rPr>
          <w:rFonts w:ascii="Calibri" w:hAnsi="Calibri"/>
          <w:sz w:val="24"/>
          <w:szCs w:val="24"/>
        </w:rPr>
        <w:t>Mulbury</w:t>
      </w:r>
      <w:proofErr w:type="spellEnd"/>
      <w:r>
        <w:rPr>
          <w:rFonts w:ascii="Calibri" w:hAnsi="Calibri"/>
          <w:sz w:val="24"/>
          <w:szCs w:val="24"/>
        </w:rPr>
        <w:t xml:space="preserve"> Homes Ltd</w:t>
      </w:r>
    </w:p>
    <w:p w14:paraId="218C0EC5" w14:textId="77777777" w:rsidR="003C43B0" w:rsidRDefault="003C43B0" w:rsidP="009F3984">
      <w:pPr>
        <w:pStyle w:val="TableText"/>
        <w:rPr>
          <w:rFonts w:ascii="Calibri" w:hAnsi="Calibri"/>
          <w:sz w:val="24"/>
          <w:szCs w:val="24"/>
        </w:rPr>
      </w:pPr>
      <w:r>
        <w:rPr>
          <w:rFonts w:ascii="Calibri" w:hAnsi="Calibri"/>
          <w:sz w:val="24"/>
          <w:szCs w:val="24"/>
        </w:rPr>
        <w:t>Great Oak Farm</w:t>
      </w:r>
    </w:p>
    <w:p w14:paraId="151F5544" w14:textId="77777777" w:rsidR="003C43B0" w:rsidRDefault="003C43B0" w:rsidP="009F3984">
      <w:pPr>
        <w:pStyle w:val="TableText"/>
        <w:rPr>
          <w:rFonts w:ascii="Calibri" w:hAnsi="Calibri"/>
          <w:sz w:val="24"/>
          <w:szCs w:val="24"/>
        </w:rPr>
      </w:pPr>
      <w:r>
        <w:rPr>
          <w:rFonts w:ascii="Calibri" w:hAnsi="Calibri"/>
          <w:sz w:val="24"/>
          <w:szCs w:val="24"/>
        </w:rPr>
        <w:t>High Legh</w:t>
      </w:r>
    </w:p>
    <w:p w14:paraId="6E16BFEE" w14:textId="77777777" w:rsidR="009F3984" w:rsidRDefault="003C43B0" w:rsidP="009F3984">
      <w:pPr>
        <w:pStyle w:val="TableText"/>
        <w:rPr>
          <w:rFonts w:ascii="Calibri" w:hAnsi="Calibri"/>
          <w:sz w:val="24"/>
          <w:szCs w:val="24"/>
        </w:rPr>
      </w:pPr>
      <w:r>
        <w:rPr>
          <w:rFonts w:ascii="Calibri" w:hAnsi="Calibri"/>
          <w:sz w:val="24"/>
          <w:szCs w:val="24"/>
        </w:rPr>
        <w:t>WA13 0TF</w:t>
      </w:r>
    </w:p>
    <w:p w14:paraId="79CE106F" w14:textId="77777777" w:rsidR="009F3984" w:rsidRDefault="009F3984" w:rsidP="009F3984">
      <w:pPr>
        <w:pStyle w:val="TableText"/>
        <w:rPr>
          <w:rFonts w:ascii="Calibri" w:hAnsi="Calibri"/>
          <w:sz w:val="24"/>
          <w:szCs w:val="24"/>
        </w:rPr>
      </w:pPr>
    </w:p>
    <w:p w14:paraId="71595FA4" w14:textId="77777777" w:rsidR="009F3984" w:rsidRDefault="009F3984" w:rsidP="009F3984">
      <w:pPr>
        <w:pStyle w:val="TableText"/>
        <w:rPr>
          <w:rFonts w:ascii="Calibri" w:hAnsi="Calibri"/>
          <w:sz w:val="24"/>
          <w:szCs w:val="24"/>
        </w:rPr>
      </w:pPr>
      <w:bookmarkStart w:id="1" w:name="Agent"/>
      <w:r>
        <w:rPr>
          <w:rFonts w:ascii="Calibri" w:hAnsi="Calibri"/>
          <w:sz w:val="24"/>
          <w:szCs w:val="24"/>
        </w:rPr>
        <w:t>Agent</w:t>
      </w:r>
    </w:p>
    <w:bookmarkEnd w:id="1"/>
    <w:p w14:paraId="0CB71762" w14:textId="77777777" w:rsidR="003C43B0" w:rsidRDefault="003C43B0" w:rsidP="009F3984">
      <w:pPr>
        <w:pStyle w:val="TableText"/>
        <w:rPr>
          <w:rFonts w:ascii="Calibri" w:hAnsi="Calibri"/>
          <w:sz w:val="24"/>
          <w:szCs w:val="24"/>
        </w:rPr>
      </w:pPr>
      <w:proofErr w:type="spellStart"/>
      <w:r>
        <w:rPr>
          <w:rFonts w:ascii="Calibri" w:hAnsi="Calibri"/>
          <w:sz w:val="24"/>
          <w:szCs w:val="24"/>
        </w:rPr>
        <w:t>Caldecotte</w:t>
      </w:r>
      <w:proofErr w:type="spellEnd"/>
      <w:r>
        <w:rPr>
          <w:rFonts w:ascii="Calibri" w:hAnsi="Calibri"/>
          <w:sz w:val="24"/>
          <w:szCs w:val="24"/>
        </w:rPr>
        <w:t xml:space="preserve"> Consultants</w:t>
      </w:r>
    </w:p>
    <w:p w14:paraId="6708C75E" w14:textId="77777777" w:rsidR="003C43B0" w:rsidRDefault="003C43B0" w:rsidP="009F3984">
      <w:pPr>
        <w:pStyle w:val="TableText"/>
        <w:rPr>
          <w:rFonts w:ascii="Calibri" w:hAnsi="Calibri"/>
          <w:sz w:val="24"/>
          <w:szCs w:val="24"/>
        </w:rPr>
      </w:pPr>
      <w:r>
        <w:rPr>
          <w:rFonts w:ascii="Calibri" w:hAnsi="Calibri"/>
          <w:sz w:val="24"/>
          <w:szCs w:val="24"/>
        </w:rPr>
        <w:t>15 London House</w:t>
      </w:r>
    </w:p>
    <w:p w14:paraId="56D546E6" w14:textId="77777777" w:rsidR="003C43B0" w:rsidRDefault="003C43B0" w:rsidP="009F3984">
      <w:pPr>
        <w:pStyle w:val="TableText"/>
        <w:rPr>
          <w:rFonts w:ascii="Calibri" w:hAnsi="Calibri"/>
          <w:sz w:val="24"/>
          <w:szCs w:val="24"/>
        </w:rPr>
      </w:pPr>
      <w:proofErr w:type="spellStart"/>
      <w:r>
        <w:rPr>
          <w:rFonts w:ascii="Calibri" w:hAnsi="Calibri"/>
          <w:sz w:val="24"/>
          <w:szCs w:val="24"/>
        </w:rPr>
        <w:t>Swinfens</w:t>
      </w:r>
      <w:proofErr w:type="spellEnd"/>
      <w:r>
        <w:rPr>
          <w:rFonts w:ascii="Calibri" w:hAnsi="Calibri"/>
          <w:sz w:val="24"/>
          <w:szCs w:val="24"/>
        </w:rPr>
        <w:t xml:space="preserve"> Yard</w:t>
      </w:r>
    </w:p>
    <w:p w14:paraId="4F0DD905" w14:textId="77777777" w:rsidR="003C43B0" w:rsidRDefault="003C43B0" w:rsidP="009F3984">
      <w:pPr>
        <w:pStyle w:val="TableText"/>
        <w:rPr>
          <w:rFonts w:ascii="Calibri" w:hAnsi="Calibri"/>
          <w:sz w:val="24"/>
          <w:szCs w:val="24"/>
        </w:rPr>
      </w:pPr>
      <w:r>
        <w:rPr>
          <w:rFonts w:ascii="Calibri" w:hAnsi="Calibri"/>
          <w:sz w:val="24"/>
          <w:szCs w:val="24"/>
        </w:rPr>
        <w:t>Stony Stratford</w:t>
      </w:r>
    </w:p>
    <w:p w14:paraId="614B6B22" w14:textId="77777777" w:rsidR="003C43B0" w:rsidRDefault="003C43B0" w:rsidP="009F3984">
      <w:pPr>
        <w:pStyle w:val="TableText"/>
        <w:rPr>
          <w:rFonts w:ascii="Calibri" w:hAnsi="Calibri"/>
          <w:sz w:val="24"/>
          <w:szCs w:val="24"/>
        </w:rPr>
      </w:pPr>
      <w:r>
        <w:rPr>
          <w:rFonts w:ascii="Calibri" w:hAnsi="Calibri"/>
          <w:sz w:val="24"/>
          <w:szCs w:val="24"/>
        </w:rPr>
        <w:t>Buckinghamshire</w:t>
      </w:r>
    </w:p>
    <w:p w14:paraId="2559DAC9" w14:textId="77777777" w:rsidR="009F3984" w:rsidRDefault="003C43B0" w:rsidP="009F3984">
      <w:pPr>
        <w:pStyle w:val="TableText"/>
        <w:rPr>
          <w:rFonts w:ascii="Calibri" w:hAnsi="Calibri"/>
          <w:sz w:val="24"/>
          <w:szCs w:val="24"/>
        </w:rPr>
      </w:pPr>
      <w:r>
        <w:rPr>
          <w:rFonts w:ascii="Calibri" w:hAnsi="Calibri"/>
          <w:sz w:val="24"/>
          <w:szCs w:val="24"/>
        </w:rPr>
        <w:t>MK11 1SY</w:t>
      </w:r>
    </w:p>
    <w:p w14:paraId="032B05EC" w14:textId="77777777" w:rsidR="00740309" w:rsidRDefault="00740309" w:rsidP="009F3984">
      <w:pPr>
        <w:pStyle w:val="TableText"/>
        <w:rPr>
          <w:rFonts w:ascii="Calibri" w:hAnsi="Calibri"/>
          <w:sz w:val="24"/>
          <w:szCs w:val="24"/>
        </w:rPr>
      </w:pPr>
    </w:p>
    <w:p w14:paraId="248EEB5A" w14:textId="77777777" w:rsidR="00740309" w:rsidRPr="00B52864" w:rsidRDefault="00740309" w:rsidP="00740309">
      <w:pPr>
        <w:rPr>
          <w:rFonts w:ascii="Calibri" w:hAnsi="Calibri" w:cs="Calibri"/>
          <w:b/>
          <w:bCs/>
        </w:rPr>
      </w:pPr>
      <w:r w:rsidRPr="00B52864">
        <w:rPr>
          <w:rFonts w:ascii="Calibri" w:hAnsi="Calibri" w:cs="Calibri"/>
          <w:b/>
          <w:bCs/>
        </w:rPr>
        <w:t>Notes</w:t>
      </w:r>
    </w:p>
    <w:p w14:paraId="19E7B384" w14:textId="77777777" w:rsidR="00740309" w:rsidRPr="00B52864" w:rsidRDefault="00740309" w:rsidP="00740309">
      <w:pPr>
        <w:rPr>
          <w:rFonts w:ascii="Calibri" w:hAnsi="Calibri" w:cs="Calibri"/>
          <w:b/>
          <w:bCs/>
        </w:rPr>
      </w:pPr>
    </w:p>
    <w:p w14:paraId="68DE94EF" w14:textId="77777777" w:rsidR="00740309" w:rsidRPr="00B52864" w:rsidRDefault="00740309" w:rsidP="00740309">
      <w:pPr>
        <w:rPr>
          <w:rFonts w:ascii="Calibri" w:hAnsi="Calibri" w:cs="Calibri"/>
          <w:b/>
          <w:bCs/>
        </w:rPr>
      </w:pPr>
      <w:r w:rsidRPr="00B52864">
        <w:rPr>
          <w:rFonts w:ascii="Calibri" w:hAnsi="Calibri" w:cs="Calibri"/>
          <w:b/>
          <w:bCs/>
        </w:rPr>
        <w:t xml:space="preserve">Right of Appeal </w:t>
      </w:r>
    </w:p>
    <w:p w14:paraId="3E0487B1" w14:textId="77777777" w:rsidR="00740309" w:rsidRPr="00B52864" w:rsidRDefault="00740309" w:rsidP="00740309">
      <w:pPr>
        <w:rPr>
          <w:rFonts w:ascii="Calibri" w:hAnsi="Calibri" w:cs="Calibri"/>
        </w:rPr>
      </w:pPr>
      <w:r w:rsidRPr="00B52864">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ED6563C" w14:textId="77777777" w:rsidR="00740309" w:rsidRPr="00B52864" w:rsidRDefault="00740309" w:rsidP="00740309">
      <w:pPr>
        <w:rPr>
          <w:rFonts w:ascii="Calibri" w:hAnsi="Calibri" w:cs="Calibri"/>
        </w:rPr>
      </w:pPr>
      <w:r w:rsidRPr="00B52864">
        <w:rPr>
          <w:rFonts w:ascii="Calibri" w:hAnsi="Calibri" w:cs="Calibri"/>
        </w:rPr>
        <w:t xml:space="preserve">· If you want to appeal against your local planning authority’s decision then you must do so within 6 months of the date of this notice. </w:t>
      </w:r>
    </w:p>
    <w:p w14:paraId="0FB719D6"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E66D8A4"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A920ABB" w14:textId="77777777" w:rsidR="00740309" w:rsidRPr="00B52864" w:rsidRDefault="00740309" w:rsidP="00740309">
      <w:pPr>
        <w:rPr>
          <w:rFonts w:ascii="Calibri" w:hAnsi="Calibri" w:cs="Calibri"/>
        </w:rPr>
      </w:pPr>
    </w:p>
    <w:p w14:paraId="5FB28B36" w14:textId="03059A5E" w:rsidR="00740309" w:rsidRDefault="00740309" w:rsidP="00740309">
      <w:pPr>
        <w:rPr>
          <w:rFonts w:ascii="Calibri" w:hAnsi="Calibri" w:cs="Calibri"/>
        </w:rPr>
      </w:pPr>
      <w:r w:rsidRPr="00B52864">
        <w:rPr>
          <w:rFonts w:ascii="Calibri" w:hAnsi="Calibri" w:cs="Calibri"/>
        </w:rPr>
        <w:t xml:space="preserve">Appeals can be made online at: </w:t>
      </w:r>
      <w:hyperlink r:id="rId8" w:history="1">
        <w:r w:rsidRPr="00B52864">
          <w:rPr>
            <w:rStyle w:val="Hyperlink"/>
            <w:rFonts w:ascii="Calibri" w:hAnsi="Calibri" w:cs="Calibri"/>
          </w:rPr>
          <w:t>https://www.gov.uk/planning-inspectorate</w:t>
        </w:r>
      </w:hyperlink>
      <w:r w:rsidRPr="00B52864">
        <w:rPr>
          <w:rFonts w:ascii="Calibri" w:hAnsi="Calibri" w:cs="Calibri"/>
        </w:rPr>
        <w:t xml:space="preserve">. If you are unable to access the online appeal form, please contact the Planning Inspectorate to obtain a paper copy of the appeal form on </w:t>
      </w:r>
      <w:proofErr w:type="spellStart"/>
      <w:r w:rsidRPr="00B52864">
        <w:rPr>
          <w:rFonts w:ascii="Calibri" w:hAnsi="Calibri" w:cs="Calibri"/>
        </w:rPr>
        <w:t>tel</w:t>
      </w:r>
      <w:proofErr w:type="spellEnd"/>
      <w:r w:rsidRPr="00B52864">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8FFC6CB" w14:textId="577A0787" w:rsidR="009236DD" w:rsidRDefault="009236DD" w:rsidP="00740309">
      <w:pPr>
        <w:rPr>
          <w:rFonts w:ascii="Calibri" w:hAnsi="Calibri" w:cs="Calibri"/>
        </w:rPr>
      </w:pPr>
    </w:p>
    <w:p w14:paraId="7F7FB633" w14:textId="617DB038" w:rsidR="009236DD" w:rsidRDefault="009236DD" w:rsidP="00740309">
      <w:pPr>
        <w:rPr>
          <w:rFonts w:ascii="Calibri" w:hAnsi="Calibri" w:cs="Calibri"/>
        </w:rPr>
      </w:pPr>
    </w:p>
    <w:p w14:paraId="2DDE518D" w14:textId="44EB55B4" w:rsidR="009236DD" w:rsidRDefault="009236DD" w:rsidP="00740309">
      <w:pPr>
        <w:rPr>
          <w:rFonts w:ascii="Calibri" w:hAnsi="Calibri" w:cs="Calibri"/>
        </w:rPr>
      </w:pPr>
    </w:p>
    <w:p w14:paraId="1343BF2C" w14:textId="2909BA3A" w:rsidR="009236DD" w:rsidRDefault="009236DD" w:rsidP="00740309">
      <w:pPr>
        <w:rPr>
          <w:rFonts w:ascii="Calibri" w:hAnsi="Calibri" w:cs="Calibri"/>
        </w:rPr>
      </w:pPr>
    </w:p>
    <w:p w14:paraId="753A023B" w14:textId="4D74965B" w:rsidR="009236DD" w:rsidRDefault="009236DD" w:rsidP="00740309">
      <w:pPr>
        <w:rPr>
          <w:rFonts w:ascii="Calibri" w:hAnsi="Calibri" w:cs="Calibri"/>
        </w:rPr>
      </w:pPr>
    </w:p>
    <w:p w14:paraId="0CB903E4" w14:textId="6265B2FD" w:rsidR="009236DD" w:rsidRPr="00B52864" w:rsidRDefault="009236DD" w:rsidP="009236DD">
      <w:pPr>
        <w:jc w:val="right"/>
        <w:rPr>
          <w:rFonts w:ascii="Calibri" w:hAnsi="Calibri" w:cs="Calibri"/>
        </w:rPr>
      </w:pPr>
      <w:r>
        <w:rPr>
          <w:rFonts w:ascii="Calibri" w:hAnsi="Calibri" w:cs="Calibri"/>
        </w:rPr>
        <w:t>P.T.O.</w:t>
      </w:r>
    </w:p>
    <w:p w14:paraId="5F938A4E" w14:textId="77777777" w:rsidR="00740309" w:rsidRPr="00B52864" w:rsidRDefault="00740309" w:rsidP="00740309">
      <w:pPr>
        <w:rPr>
          <w:rFonts w:ascii="Calibri" w:hAnsi="Calibri" w:cs="Calibri"/>
        </w:rPr>
      </w:pPr>
    </w:p>
    <w:p w14:paraId="3A2DBD8F" w14:textId="77777777" w:rsidR="00740309" w:rsidRPr="00B52864" w:rsidRDefault="00740309" w:rsidP="00740309">
      <w:pPr>
        <w:rPr>
          <w:rFonts w:ascii="Calibri" w:hAnsi="Calibri" w:cs="Calibri"/>
          <w:b/>
          <w:bCs/>
        </w:rPr>
      </w:pPr>
      <w:r w:rsidRPr="00B52864">
        <w:rPr>
          <w:rFonts w:ascii="Calibri" w:hAnsi="Calibri" w:cs="Calibri"/>
          <w:b/>
          <w:bCs/>
        </w:rPr>
        <w:lastRenderedPageBreak/>
        <w:t xml:space="preserve">Purchase Notices </w:t>
      </w:r>
    </w:p>
    <w:p w14:paraId="07CDEE05" w14:textId="77777777" w:rsidR="00740309" w:rsidRPr="00B52864" w:rsidRDefault="00740309" w:rsidP="00740309">
      <w:pPr>
        <w:rPr>
          <w:rFonts w:ascii="Calibri" w:hAnsi="Calibri" w:cs="Calibri"/>
        </w:rPr>
      </w:pPr>
      <w:r w:rsidRPr="00B52864">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230EBD8" w14:textId="77777777" w:rsidR="00740309" w:rsidRPr="009F3984" w:rsidRDefault="00740309" w:rsidP="009F3984">
      <w:pPr>
        <w:pStyle w:val="TableText"/>
        <w:rPr>
          <w:rFonts w:ascii="Calibri" w:hAnsi="Calibri"/>
          <w:sz w:val="24"/>
          <w:szCs w:val="24"/>
        </w:rPr>
      </w:pPr>
    </w:p>
    <w:sectPr w:rsidR="00740309" w:rsidRPr="009F3984">
      <w:headerReference w:type="default" r:id="rId9"/>
      <w:footerReference w:type="default" r:id="rId10"/>
      <w:headerReference w:type="first" r:id="rId11"/>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046CE" w14:textId="77777777" w:rsidR="003C43B0" w:rsidRDefault="003C43B0">
      <w:r>
        <w:separator/>
      </w:r>
    </w:p>
  </w:endnote>
  <w:endnote w:type="continuationSeparator" w:id="0">
    <w:p w14:paraId="09DA0F2B" w14:textId="77777777" w:rsidR="003C43B0" w:rsidRDefault="003C4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ECAB"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B0527" w14:textId="77777777" w:rsidR="003C43B0" w:rsidRDefault="003C43B0">
      <w:r>
        <w:separator/>
      </w:r>
    </w:p>
  </w:footnote>
  <w:footnote w:type="continuationSeparator" w:id="0">
    <w:p w14:paraId="78B16EFC" w14:textId="77777777" w:rsidR="003C43B0" w:rsidRDefault="003C4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F22EE"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28DBC234"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11B61225" w14:textId="77777777" w:rsidR="005522D3" w:rsidRPr="00641E0F" w:rsidRDefault="005522D3">
    <w:pPr>
      <w:pStyle w:val="addresses"/>
      <w:rPr>
        <w:rFonts w:ascii="Calibri" w:hAnsi="Calibri"/>
        <w:sz w:val="24"/>
        <w:szCs w:val="24"/>
      </w:rPr>
    </w:pPr>
  </w:p>
  <w:p w14:paraId="10E2D356" w14:textId="36EEC10E"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9236DD">
      <w:rPr>
        <w:rFonts w:ascii="Calibri" w:hAnsi="Calibri"/>
        <w:b/>
        <w:bCs/>
        <w:sz w:val="24"/>
        <w:szCs w:val="24"/>
      </w:rPr>
      <w:t>3/2021/0203</w:t>
    </w:r>
    <w:r w:rsidRPr="00641E0F">
      <w:rPr>
        <w:rFonts w:ascii="Calibri" w:hAnsi="Calibri"/>
        <w:b/>
        <w:bCs/>
        <w:sz w:val="24"/>
        <w:szCs w:val="24"/>
      </w:rPr>
      <w:t xml:space="preserve">                                                                DECISION DATE: </w:t>
    </w:r>
    <w:r w:rsidR="009236DD">
      <w:rPr>
        <w:rFonts w:ascii="Calibri" w:hAnsi="Calibri"/>
        <w:b/>
        <w:bCs/>
        <w:sz w:val="24"/>
        <w:szCs w:val="24"/>
      </w:rPr>
      <w:t xml:space="preserve"> 2 August 2021</w:t>
    </w:r>
  </w:p>
  <w:p w14:paraId="68D23F11" w14:textId="77777777" w:rsidR="005522D3" w:rsidRDefault="005522D3">
    <w:pPr>
      <w:pBdr>
        <w:bottom w:val="single" w:sz="4" w:space="1" w:color="auto"/>
      </w:pBdr>
    </w:pPr>
  </w:p>
  <w:p w14:paraId="64CA4B30"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2E1D"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31D6FD81" w14:textId="77777777" w:rsidR="005F71C3" w:rsidRPr="005F71C3" w:rsidRDefault="005F71C3" w:rsidP="005F71C3">
    <w:pPr>
      <w:pStyle w:val="Header"/>
      <w:jc w:val="center"/>
      <w:rPr>
        <w:rFonts w:ascii="Calibri" w:hAnsi="Calibri"/>
      </w:rPr>
    </w:pPr>
    <w:r w:rsidRPr="005F71C3">
      <w:rPr>
        <w:rFonts w:ascii="Calibri" w:hAnsi="Calibri"/>
      </w:rPr>
      <w:t xml:space="preserve">Directors John Heap B </w:t>
    </w:r>
    <w:proofErr w:type="spellStart"/>
    <w:r w:rsidRPr="005F71C3">
      <w:rPr>
        <w:rFonts w:ascii="Calibri" w:hAnsi="Calibri"/>
      </w:rPr>
      <w:t>Eng</w:t>
    </w:r>
    <w:proofErr w:type="spellEnd"/>
    <w:r w:rsidRPr="005F71C3">
      <w:rPr>
        <w:rFonts w:ascii="Calibri" w:hAnsi="Calibri"/>
      </w:rPr>
      <w:t>, MICE, N</w:t>
    </w:r>
    <w:r w:rsidR="001A0F1B">
      <w:rPr>
        <w:rFonts w:ascii="Calibri" w:hAnsi="Calibri"/>
      </w:rPr>
      <w:t>icola</w:t>
    </w:r>
    <w:r w:rsidRPr="005F71C3">
      <w:rPr>
        <w:rFonts w:ascii="Calibri" w:hAnsi="Calibri"/>
      </w:rPr>
      <w:t xml:space="preserve"> Hopkins MTCP MRTPI, Jane Pearson CPFA</w:t>
    </w:r>
  </w:p>
  <w:p w14:paraId="1FC81827"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3B0"/>
    <w:rsid w:val="000C3E7C"/>
    <w:rsid w:val="001A087C"/>
    <w:rsid w:val="001A0F1B"/>
    <w:rsid w:val="0025344E"/>
    <w:rsid w:val="00297B24"/>
    <w:rsid w:val="003449FF"/>
    <w:rsid w:val="00382199"/>
    <w:rsid w:val="003C43B0"/>
    <w:rsid w:val="00441735"/>
    <w:rsid w:val="005522D3"/>
    <w:rsid w:val="00566271"/>
    <w:rsid w:val="00577DC1"/>
    <w:rsid w:val="005F71C3"/>
    <w:rsid w:val="00641E0F"/>
    <w:rsid w:val="0070667B"/>
    <w:rsid w:val="00740309"/>
    <w:rsid w:val="007526EC"/>
    <w:rsid w:val="007A7F6F"/>
    <w:rsid w:val="00851E6F"/>
    <w:rsid w:val="008D7675"/>
    <w:rsid w:val="009236DD"/>
    <w:rsid w:val="009C2053"/>
    <w:rsid w:val="009F3984"/>
    <w:rsid w:val="00B52864"/>
    <w:rsid w:val="00BB5956"/>
    <w:rsid w:val="00D405F4"/>
    <w:rsid w:val="00D93F8F"/>
    <w:rsid w:val="00DE6561"/>
    <w:rsid w:val="00E92439"/>
    <w:rsid w:val="00EC3181"/>
    <w:rsid w:val="00FE3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019BF"/>
  <w15:chartTrackingRefBased/>
  <w15:docId w15:val="{7E367489-D05D-497A-AC95-1B257787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4</Pages>
  <Words>1045</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6907</CharactersWithSpaces>
  <SharedDoc>false</SharedDoc>
  <HLinks>
    <vt:vector size="12" baseType="variant">
      <vt:variant>
        <vt:i4>4718602</vt:i4>
      </vt:variant>
      <vt:variant>
        <vt:i4>6</vt:i4>
      </vt:variant>
      <vt:variant>
        <vt:i4>0</vt:i4>
      </vt:variant>
      <vt:variant>
        <vt:i4>5</vt:i4>
      </vt:variant>
      <vt:variant>
        <vt:lpwstr>https://www.gov.uk/planning-inspectorate</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Adam Birkett</dc:creator>
  <cp:keywords/>
  <cp:lastModifiedBy>Lesley Lund</cp:lastModifiedBy>
  <cp:revision>2</cp:revision>
  <cp:lastPrinted>2019-10-02T08:49:00Z</cp:lastPrinted>
  <dcterms:created xsi:type="dcterms:W3CDTF">2021-08-02T15:16:00Z</dcterms:created>
  <dcterms:modified xsi:type="dcterms:W3CDTF">2021-08-02T15:16:00Z</dcterms:modified>
</cp:coreProperties>
</file>