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40"/>
        <w:gridCol w:w="1595"/>
        <w:gridCol w:w="194"/>
        <w:gridCol w:w="620"/>
        <w:gridCol w:w="2588"/>
        <w:gridCol w:w="3634"/>
      </w:tblGrid>
      <w:tr w:rsidR="004A5EA9" w:rsidRPr="00866186" w14:paraId="1A29811F" w14:textId="77777777" w:rsidTr="00C70DC7">
        <w:trPr>
          <w:jc w:val="center"/>
        </w:trPr>
        <w:tc>
          <w:tcPr>
            <w:tcW w:w="92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A278BC3" w14:textId="77777777" w:rsidR="004A5EA9" w:rsidRPr="00866186" w:rsidRDefault="00D2449B" w:rsidP="00D2449B">
            <w:pPr>
              <w:jc w:val="center"/>
              <w:rPr>
                <w:rFonts w:asciiTheme="minorHAnsi" w:hAnsiTheme="minorHAnsi" w:cstheme="minorHAnsi"/>
                <w:b/>
                <w:szCs w:val="22"/>
              </w:rPr>
            </w:pPr>
            <w:r w:rsidRPr="00866186">
              <w:rPr>
                <w:rFonts w:asciiTheme="minorHAnsi" w:hAnsiTheme="minorHAnsi" w:cstheme="minorHAnsi"/>
                <w:b/>
                <w:szCs w:val="22"/>
              </w:rPr>
              <w:t>R</w:t>
            </w:r>
            <w:r w:rsidR="004A5EA9" w:rsidRPr="00866186">
              <w:rPr>
                <w:rFonts w:asciiTheme="minorHAnsi" w:hAnsiTheme="minorHAnsi" w:cstheme="minorHAnsi"/>
                <w:b/>
                <w:szCs w:val="22"/>
              </w:rPr>
              <w:t>eport to be read in conjunction with the Decision Notice.</w:t>
            </w:r>
          </w:p>
        </w:tc>
      </w:tr>
      <w:tr w:rsidR="004A5EA9" w:rsidRPr="00866186" w14:paraId="750DFAA7" w14:textId="77777777" w:rsidTr="00C70DC7">
        <w:trPr>
          <w:jc w:val="center"/>
        </w:trPr>
        <w:tc>
          <w:tcPr>
            <w:tcW w:w="9271"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454B4E77" w14:textId="77777777" w:rsidR="004A5EA9" w:rsidRPr="00866186" w:rsidRDefault="004A5EA9" w:rsidP="004A5EA9">
            <w:pPr>
              <w:jc w:val="center"/>
              <w:rPr>
                <w:rFonts w:asciiTheme="minorHAnsi" w:hAnsiTheme="minorHAnsi" w:cstheme="minorHAnsi"/>
                <w:b/>
                <w:szCs w:val="22"/>
              </w:rPr>
            </w:pPr>
          </w:p>
        </w:tc>
      </w:tr>
      <w:tr w:rsidR="004A5EA9" w:rsidRPr="00866186" w14:paraId="050229FF" w14:textId="77777777" w:rsidTr="00C70DC7">
        <w:trPr>
          <w:jc w:val="center"/>
        </w:trPr>
        <w:tc>
          <w:tcPr>
            <w:tcW w:w="22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55C730" w14:textId="77777777" w:rsidR="004A5EA9" w:rsidRPr="00866186" w:rsidRDefault="004A5EA9">
            <w:pPr>
              <w:rPr>
                <w:rFonts w:asciiTheme="minorHAnsi" w:hAnsiTheme="minorHAnsi" w:cstheme="minorHAnsi"/>
                <w:b/>
                <w:szCs w:val="22"/>
              </w:rPr>
            </w:pPr>
            <w:r w:rsidRPr="00866186">
              <w:rPr>
                <w:rFonts w:asciiTheme="minorHAnsi" w:hAnsiTheme="minorHAnsi" w:cstheme="minorHAnsi"/>
                <w:b/>
                <w:szCs w:val="22"/>
              </w:rPr>
              <w:t>Application Ref:</w:t>
            </w:r>
          </w:p>
        </w:tc>
        <w:tc>
          <w:tcPr>
            <w:tcW w:w="340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C75347" w14:textId="24D99A3F" w:rsidR="004A5EA9" w:rsidRPr="00866186" w:rsidRDefault="003B7144" w:rsidP="008A57EC">
            <w:pPr>
              <w:rPr>
                <w:rFonts w:asciiTheme="minorHAnsi" w:hAnsiTheme="minorHAnsi" w:cstheme="minorHAnsi"/>
                <w:szCs w:val="22"/>
              </w:rPr>
            </w:pPr>
            <w:r w:rsidRPr="00866186">
              <w:rPr>
                <w:rFonts w:asciiTheme="minorHAnsi" w:hAnsiTheme="minorHAnsi" w:cstheme="minorHAnsi"/>
                <w:szCs w:val="22"/>
              </w:rPr>
              <w:t>3/</w:t>
            </w:r>
            <w:r w:rsidR="00866186">
              <w:rPr>
                <w:rFonts w:asciiTheme="minorHAnsi" w:hAnsiTheme="minorHAnsi" w:cstheme="minorHAnsi"/>
                <w:szCs w:val="22"/>
              </w:rPr>
              <w:t>2021/0242</w:t>
            </w:r>
          </w:p>
        </w:tc>
        <w:tc>
          <w:tcPr>
            <w:tcW w:w="363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D2B8A3" w14:textId="77777777" w:rsidR="004A5EA9" w:rsidRPr="00866186" w:rsidRDefault="004A5EA9">
            <w:pPr>
              <w:rPr>
                <w:rFonts w:asciiTheme="minorHAnsi" w:hAnsiTheme="minorHAnsi" w:cstheme="minorHAnsi"/>
                <w:szCs w:val="22"/>
              </w:rPr>
            </w:pPr>
            <w:r w:rsidRPr="00866186">
              <w:rPr>
                <w:rFonts w:asciiTheme="minorHAnsi" w:hAnsiTheme="minorHAnsi" w:cstheme="minorHAnsi"/>
                <w:noProof/>
                <w:szCs w:val="22"/>
                <w:lang w:eastAsia="en-GB"/>
              </w:rPr>
              <w:drawing>
                <wp:anchor distT="0" distB="0" distL="114300" distR="114300" simplePos="0" relativeHeight="251657216" behindDoc="0" locked="0" layoutInCell="1" allowOverlap="1" wp14:anchorId="6E92CF08" wp14:editId="111D4571">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866186" w14:paraId="12091F01" w14:textId="77777777" w:rsidTr="00C70DC7">
        <w:trPr>
          <w:jc w:val="center"/>
        </w:trPr>
        <w:tc>
          <w:tcPr>
            <w:tcW w:w="22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F11DAE0" w14:textId="77777777" w:rsidR="004A5EA9" w:rsidRPr="00866186" w:rsidRDefault="004A5EA9">
            <w:pPr>
              <w:rPr>
                <w:rFonts w:asciiTheme="minorHAnsi" w:hAnsiTheme="minorHAnsi" w:cstheme="minorHAnsi"/>
                <w:b/>
                <w:szCs w:val="22"/>
              </w:rPr>
            </w:pPr>
            <w:r w:rsidRPr="00866186">
              <w:rPr>
                <w:rFonts w:asciiTheme="minorHAnsi" w:hAnsiTheme="minorHAnsi" w:cstheme="minorHAnsi"/>
                <w:b/>
                <w:szCs w:val="22"/>
              </w:rPr>
              <w:t>Date Inspected:</w:t>
            </w:r>
          </w:p>
        </w:tc>
        <w:tc>
          <w:tcPr>
            <w:tcW w:w="340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06A8E8" w14:textId="48104925" w:rsidR="004A5EA9" w:rsidRPr="00866186" w:rsidRDefault="005D1788">
            <w:pPr>
              <w:rPr>
                <w:rFonts w:asciiTheme="minorHAnsi" w:hAnsiTheme="minorHAnsi" w:cstheme="minorHAnsi"/>
                <w:szCs w:val="22"/>
              </w:rPr>
            </w:pPr>
            <w:r>
              <w:rPr>
                <w:rFonts w:asciiTheme="minorHAnsi" w:hAnsiTheme="minorHAnsi" w:cstheme="minorHAnsi"/>
                <w:szCs w:val="22"/>
              </w:rPr>
              <w:t>11/05/2021</w:t>
            </w:r>
          </w:p>
        </w:tc>
        <w:tc>
          <w:tcPr>
            <w:tcW w:w="363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8A847A" w14:textId="77777777" w:rsidR="004A5EA9" w:rsidRPr="00866186" w:rsidRDefault="004A5EA9">
            <w:pPr>
              <w:rPr>
                <w:rFonts w:asciiTheme="minorHAnsi" w:hAnsiTheme="minorHAnsi" w:cstheme="minorHAnsi"/>
                <w:szCs w:val="22"/>
              </w:rPr>
            </w:pPr>
          </w:p>
        </w:tc>
      </w:tr>
      <w:tr w:rsidR="004A5EA9" w:rsidRPr="00866186" w14:paraId="416D41B7" w14:textId="77777777" w:rsidTr="00C70DC7">
        <w:trPr>
          <w:jc w:val="center"/>
        </w:trPr>
        <w:tc>
          <w:tcPr>
            <w:tcW w:w="223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2F7254F" w14:textId="77777777" w:rsidR="004A5EA9" w:rsidRPr="00866186" w:rsidRDefault="00D2449B">
            <w:pPr>
              <w:rPr>
                <w:rFonts w:asciiTheme="minorHAnsi" w:hAnsiTheme="minorHAnsi" w:cstheme="minorHAnsi"/>
                <w:b/>
                <w:szCs w:val="22"/>
              </w:rPr>
            </w:pPr>
            <w:r w:rsidRPr="00866186">
              <w:rPr>
                <w:rFonts w:asciiTheme="minorHAnsi" w:hAnsiTheme="minorHAnsi" w:cstheme="minorHAnsi"/>
                <w:b/>
                <w:szCs w:val="22"/>
              </w:rPr>
              <w:t>Officer</w:t>
            </w:r>
            <w:r w:rsidR="004A5EA9" w:rsidRPr="00866186">
              <w:rPr>
                <w:rFonts w:asciiTheme="minorHAnsi" w:hAnsiTheme="minorHAnsi" w:cstheme="minorHAnsi"/>
                <w:b/>
                <w:szCs w:val="22"/>
              </w:rPr>
              <w:t>:</w:t>
            </w:r>
          </w:p>
        </w:tc>
        <w:tc>
          <w:tcPr>
            <w:tcW w:w="340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5F0729" w14:textId="77777777" w:rsidR="004A5EA9" w:rsidRPr="00866186" w:rsidRDefault="00F22639">
            <w:pPr>
              <w:rPr>
                <w:rFonts w:asciiTheme="minorHAnsi" w:hAnsiTheme="minorHAnsi" w:cstheme="minorHAnsi"/>
                <w:szCs w:val="22"/>
              </w:rPr>
            </w:pPr>
            <w:r w:rsidRPr="00866186">
              <w:rPr>
                <w:rFonts w:asciiTheme="minorHAnsi" w:hAnsiTheme="minorHAnsi" w:cstheme="minorHAnsi"/>
                <w:szCs w:val="22"/>
              </w:rPr>
              <w:t>AB</w:t>
            </w:r>
          </w:p>
        </w:tc>
        <w:tc>
          <w:tcPr>
            <w:tcW w:w="3634"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EA2AA54" w14:textId="77777777" w:rsidR="004A5EA9" w:rsidRPr="00866186" w:rsidRDefault="004A5EA9">
            <w:pPr>
              <w:rPr>
                <w:rFonts w:asciiTheme="minorHAnsi" w:hAnsiTheme="minorHAnsi" w:cstheme="minorHAnsi"/>
                <w:szCs w:val="22"/>
              </w:rPr>
            </w:pPr>
          </w:p>
        </w:tc>
      </w:tr>
      <w:tr w:rsidR="004A5EA9" w:rsidRPr="00866186" w14:paraId="55C388F2" w14:textId="77777777" w:rsidTr="00C70DC7">
        <w:trPr>
          <w:jc w:val="center"/>
        </w:trPr>
        <w:tc>
          <w:tcPr>
            <w:tcW w:w="5637"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77EE439" w14:textId="77777777" w:rsidR="004A5EA9" w:rsidRPr="00866186" w:rsidRDefault="004A5EA9" w:rsidP="004A5EA9">
            <w:pPr>
              <w:rPr>
                <w:rFonts w:asciiTheme="minorHAnsi" w:hAnsiTheme="minorHAnsi" w:cstheme="minorHAnsi"/>
                <w:b/>
                <w:szCs w:val="22"/>
              </w:rPr>
            </w:pPr>
            <w:r w:rsidRPr="00866186">
              <w:rPr>
                <w:rFonts w:asciiTheme="minorHAnsi" w:hAnsiTheme="minorHAnsi" w:cstheme="minorHAnsi"/>
                <w:b/>
                <w:szCs w:val="22"/>
              </w:rPr>
              <w:t xml:space="preserve">DELEGATED ITEM FILE REPORT: </w:t>
            </w:r>
          </w:p>
        </w:tc>
        <w:tc>
          <w:tcPr>
            <w:tcW w:w="36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0610E8" w14:textId="77777777" w:rsidR="004A5EA9" w:rsidRPr="00866186" w:rsidRDefault="007453E1" w:rsidP="002A01CF">
            <w:pPr>
              <w:jc w:val="center"/>
              <w:rPr>
                <w:rFonts w:asciiTheme="minorHAnsi" w:hAnsiTheme="minorHAnsi" w:cstheme="minorHAnsi"/>
                <w:b/>
                <w:szCs w:val="22"/>
              </w:rPr>
            </w:pPr>
            <w:r w:rsidRPr="00866186">
              <w:rPr>
                <w:rFonts w:asciiTheme="minorHAnsi" w:hAnsiTheme="minorHAnsi" w:cstheme="minorHAnsi"/>
                <w:b/>
                <w:szCs w:val="22"/>
              </w:rPr>
              <w:t>REFUSED</w:t>
            </w:r>
          </w:p>
        </w:tc>
      </w:tr>
      <w:tr w:rsidR="004A5EA9" w:rsidRPr="00866186" w14:paraId="6F2EDAF0" w14:textId="77777777" w:rsidTr="00C70DC7">
        <w:trPr>
          <w:trHeight w:hRule="exact" w:val="170"/>
          <w:jc w:val="center"/>
        </w:trPr>
        <w:tc>
          <w:tcPr>
            <w:tcW w:w="9271"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49697EB6" w14:textId="77777777" w:rsidR="004A5EA9" w:rsidRPr="00866186" w:rsidRDefault="007E0D23" w:rsidP="007E0D23">
            <w:pPr>
              <w:tabs>
                <w:tab w:val="left" w:pos="4007"/>
              </w:tabs>
              <w:rPr>
                <w:rFonts w:asciiTheme="minorHAnsi" w:hAnsiTheme="minorHAnsi" w:cstheme="minorHAnsi"/>
                <w:b/>
                <w:szCs w:val="22"/>
              </w:rPr>
            </w:pPr>
            <w:r w:rsidRPr="00866186">
              <w:rPr>
                <w:rFonts w:asciiTheme="minorHAnsi" w:hAnsiTheme="minorHAnsi" w:cstheme="minorHAnsi"/>
                <w:b/>
                <w:szCs w:val="22"/>
              </w:rPr>
              <w:tab/>
            </w:r>
          </w:p>
        </w:tc>
      </w:tr>
      <w:tr w:rsidR="004A5EA9" w:rsidRPr="00866186" w14:paraId="45DEF386" w14:textId="77777777" w:rsidTr="002C0855">
        <w:trPr>
          <w:jc w:val="center"/>
        </w:trPr>
        <w:tc>
          <w:tcPr>
            <w:tcW w:w="304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3922CAF" w14:textId="77777777" w:rsidR="004A5EA9" w:rsidRPr="00866186" w:rsidRDefault="004A5EA9" w:rsidP="00A95D89">
            <w:pPr>
              <w:rPr>
                <w:rFonts w:asciiTheme="minorHAnsi" w:hAnsiTheme="minorHAnsi" w:cstheme="minorHAnsi"/>
                <w:b/>
                <w:szCs w:val="22"/>
              </w:rPr>
            </w:pPr>
            <w:r w:rsidRPr="00866186">
              <w:rPr>
                <w:rFonts w:asciiTheme="minorHAnsi" w:hAnsiTheme="minorHAnsi" w:cstheme="minorHAnsi"/>
                <w:b/>
                <w:szCs w:val="22"/>
              </w:rPr>
              <w:t xml:space="preserve">Development </w:t>
            </w:r>
            <w:r w:rsidR="00A95D89" w:rsidRPr="00866186">
              <w:rPr>
                <w:rFonts w:asciiTheme="minorHAnsi" w:hAnsiTheme="minorHAnsi" w:cstheme="minorHAnsi"/>
                <w:b/>
                <w:szCs w:val="22"/>
              </w:rPr>
              <w:t>Description</w:t>
            </w:r>
            <w:r w:rsidRPr="00866186">
              <w:rPr>
                <w:rFonts w:asciiTheme="minorHAnsi" w:hAnsiTheme="minorHAnsi" w:cstheme="minorHAnsi"/>
                <w:b/>
                <w:szCs w:val="22"/>
              </w:rPr>
              <w:t>:</w:t>
            </w:r>
          </w:p>
        </w:tc>
        <w:tc>
          <w:tcPr>
            <w:tcW w:w="622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C92D62" w14:textId="7144F178" w:rsidR="004A5EA9" w:rsidRPr="00866186" w:rsidRDefault="00866186">
            <w:pPr>
              <w:rPr>
                <w:rFonts w:asciiTheme="minorHAnsi" w:hAnsiTheme="minorHAnsi" w:cstheme="minorHAnsi"/>
                <w:b/>
                <w:szCs w:val="22"/>
              </w:rPr>
            </w:pPr>
            <w:r w:rsidRPr="00866186">
              <w:rPr>
                <w:rFonts w:asciiTheme="minorHAnsi" w:hAnsiTheme="minorHAnsi" w:cstheme="minorHAnsi"/>
                <w:b/>
                <w:szCs w:val="22"/>
              </w:rPr>
              <w:t>Outline application for up to 2 two storey residential dwellings (access and layout details applied for only)</w:t>
            </w:r>
          </w:p>
        </w:tc>
      </w:tr>
      <w:tr w:rsidR="002A01CF" w:rsidRPr="00866186" w14:paraId="338A5E0A" w14:textId="77777777" w:rsidTr="002C0855">
        <w:trPr>
          <w:jc w:val="center"/>
        </w:trPr>
        <w:tc>
          <w:tcPr>
            <w:tcW w:w="304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5313D3D" w14:textId="77777777" w:rsidR="002A01CF" w:rsidRPr="00866186" w:rsidRDefault="002A01CF">
            <w:pPr>
              <w:rPr>
                <w:rFonts w:asciiTheme="minorHAnsi" w:hAnsiTheme="minorHAnsi" w:cstheme="minorHAnsi"/>
                <w:b/>
                <w:szCs w:val="22"/>
              </w:rPr>
            </w:pPr>
            <w:r w:rsidRPr="00866186">
              <w:rPr>
                <w:rFonts w:asciiTheme="minorHAnsi" w:hAnsiTheme="minorHAnsi" w:cstheme="minorHAnsi"/>
                <w:b/>
                <w:szCs w:val="22"/>
              </w:rPr>
              <w:t>Site Address</w:t>
            </w:r>
            <w:r w:rsidR="00A95D89" w:rsidRPr="00866186">
              <w:rPr>
                <w:rFonts w:asciiTheme="minorHAnsi" w:hAnsiTheme="minorHAnsi" w:cstheme="minorHAnsi"/>
                <w:b/>
                <w:szCs w:val="22"/>
              </w:rPr>
              <w:t>/Location</w:t>
            </w:r>
            <w:r w:rsidRPr="00866186">
              <w:rPr>
                <w:rFonts w:asciiTheme="minorHAnsi" w:hAnsiTheme="minorHAnsi" w:cstheme="minorHAnsi"/>
                <w:b/>
                <w:szCs w:val="22"/>
              </w:rPr>
              <w:t>:</w:t>
            </w:r>
          </w:p>
        </w:tc>
        <w:tc>
          <w:tcPr>
            <w:tcW w:w="622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0713AC" w14:textId="235D7E74" w:rsidR="002A01CF" w:rsidRPr="00866186" w:rsidRDefault="00866186" w:rsidP="00594478">
            <w:pPr>
              <w:rPr>
                <w:rFonts w:asciiTheme="minorHAnsi" w:hAnsiTheme="minorHAnsi" w:cstheme="minorHAnsi"/>
                <w:b/>
                <w:szCs w:val="22"/>
              </w:rPr>
            </w:pPr>
            <w:r w:rsidRPr="00866186">
              <w:rPr>
                <w:rFonts w:asciiTheme="minorHAnsi" w:hAnsiTheme="minorHAnsi" w:cstheme="minorHAnsi"/>
                <w:b/>
                <w:szCs w:val="22"/>
              </w:rPr>
              <w:t>Land to rear of Glencroft Pendle Avenue Chatburn BB7 4AX</w:t>
            </w:r>
          </w:p>
        </w:tc>
      </w:tr>
      <w:tr w:rsidR="00A95D89" w:rsidRPr="00866186" w14:paraId="4FE02A49" w14:textId="77777777" w:rsidTr="00C70DC7">
        <w:trPr>
          <w:trHeight w:hRule="exact" w:val="170"/>
          <w:jc w:val="center"/>
        </w:trPr>
        <w:tc>
          <w:tcPr>
            <w:tcW w:w="9271"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E467415" w14:textId="77777777" w:rsidR="00A95D89" w:rsidRPr="00866186" w:rsidRDefault="007E0D23" w:rsidP="007E0D23">
            <w:pPr>
              <w:tabs>
                <w:tab w:val="left" w:pos="2667"/>
              </w:tabs>
              <w:rPr>
                <w:rFonts w:asciiTheme="minorHAnsi" w:hAnsiTheme="minorHAnsi" w:cstheme="minorHAnsi"/>
                <w:b/>
                <w:szCs w:val="22"/>
              </w:rPr>
            </w:pPr>
            <w:r w:rsidRPr="00866186">
              <w:rPr>
                <w:rFonts w:asciiTheme="minorHAnsi" w:hAnsiTheme="minorHAnsi" w:cstheme="minorHAnsi"/>
                <w:b/>
                <w:szCs w:val="22"/>
              </w:rPr>
              <w:tab/>
            </w:r>
          </w:p>
        </w:tc>
      </w:tr>
      <w:tr w:rsidR="00C618DB" w:rsidRPr="00866186" w14:paraId="094C2F66" w14:textId="77777777" w:rsidTr="002C0855">
        <w:trPr>
          <w:jc w:val="center"/>
        </w:trPr>
        <w:tc>
          <w:tcPr>
            <w:tcW w:w="304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5C3187F" w14:textId="77777777" w:rsidR="00C618DB" w:rsidRPr="00866186" w:rsidRDefault="00C618DB">
            <w:pPr>
              <w:rPr>
                <w:rFonts w:asciiTheme="minorHAnsi" w:hAnsiTheme="minorHAnsi" w:cstheme="minorHAnsi"/>
                <w:b/>
                <w:szCs w:val="22"/>
              </w:rPr>
            </w:pPr>
            <w:r w:rsidRPr="00866186">
              <w:rPr>
                <w:rFonts w:asciiTheme="minorHAnsi" w:hAnsiTheme="minorHAnsi" w:cstheme="minorHAnsi"/>
                <w:b/>
                <w:szCs w:val="22"/>
              </w:rPr>
              <w:t xml:space="preserve">CONSULTATIONS: </w:t>
            </w:r>
          </w:p>
        </w:tc>
        <w:tc>
          <w:tcPr>
            <w:tcW w:w="622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8FA226" w14:textId="77777777" w:rsidR="00C618DB" w:rsidRPr="00866186" w:rsidRDefault="00C618DB">
            <w:pPr>
              <w:rPr>
                <w:rFonts w:asciiTheme="minorHAnsi" w:hAnsiTheme="minorHAnsi" w:cstheme="minorHAnsi"/>
                <w:b/>
                <w:szCs w:val="22"/>
              </w:rPr>
            </w:pPr>
            <w:r w:rsidRPr="00866186">
              <w:rPr>
                <w:rFonts w:asciiTheme="minorHAnsi" w:hAnsiTheme="minorHAnsi" w:cstheme="minorHAnsi"/>
                <w:b/>
                <w:szCs w:val="22"/>
              </w:rPr>
              <w:t>Parish/Town Council</w:t>
            </w:r>
          </w:p>
        </w:tc>
      </w:tr>
      <w:tr w:rsidR="002A01CF" w:rsidRPr="00866186" w14:paraId="39D2B396" w14:textId="77777777" w:rsidTr="00C70DC7">
        <w:trPr>
          <w:jc w:val="center"/>
        </w:trPr>
        <w:tc>
          <w:tcPr>
            <w:tcW w:w="92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6A44CB7" w14:textId="0A7A9FF8" w:rsidR="002054BE" w:rsidRPr="002054BE" w:rsidRDefault="002054BE" w:rsidP="002054BE">
            <w:pPr>
              <w:jc w:val="both"/>
              <w:rPr>
                <w:rFonts w:asciiTheme="minorHAnsi" w:hAnsiTheme="minorHAnsi" w:cstheme="minorHAnsi"/>
                <w:szCs w:val="22"/>
              </w:rPr>
            </w:pPr>
            <w:r>
              <w:rPr>
                <w:rFonts w:asciiTheme="minorHAnsi" w:hAnsiTheme="minorHAnsi" w:cstheme="minorHAnsi"/>
                <w:szCs w:val="22"/>
              </w:rPr>
              <w:t>Chatburn Parish Council comments as follows:</w:t>
            </w:r>
          </w:p>
          <w:p w14:paraId="59B31B8A" w14:textId="77777777" w:rsidR="002054BE" w:rsidRDefault="002054BE" w:rsidP="002054BE">
            <w:pPr>
              <w:pStyle w:val="ListParagraph"/>
              <w:jc w:val="both"/>
              <w:rPr>
                <w:rFonts w:asciiTheme="minorHAnsi" w:hAnsiTheme="minorHAnsi" w:cstheme="minorHAnsi"/>
                <w:szCs w:val="22"/>
              </w:rPr>
            </w:pPr>
          </w:p>
          <w:p w14:paraId="72A1EEDD" w14:textId="581FDECC" w:rsidR="00866186" w:rsidRPr="002054BE" w:rsidRDefault="00866186" w:rsidP="002054BE">
            <w:pPr>
              <w:pStyle w:val="ListParagraph"/>
              <w:numPr>
                <w:ilvl w:val="0"/>
                <w:numId w:val="10"/>
              </w:numPr>
              <w:jc w:val="both"/>
              <w:rPr>
                <w:rFonts w:asciiTheme="minorHAnsi" w:hAnsiTheme="minorHAnsi" w:cstheme="minorHAnsi"/>
                <w:szCs w:val="22"/>
              </w:rPr>
            </w:pPr>
            <w:r w:rsidRPr="002054BE">
              <w:rPr>
                <w:rFonts w:asciiTheme="minorHAnsi" w:hAnsiTheme="minorHAnsi" w:cstheme="minorHAnsi"/>
                <w:szCs w:val="22"/>
              </w:rPr>
              <w:t>Pendle Avenue is a private, unadopted road to which there is only one entry. Has the applicant</w:t>
            </w:r>
            <w:r w:rsidR="002054BE">
              <w:rPr>
                <w:rFonts w:asciiTheme="minorHAnsi" w:hAnsiTheme="minorHAnsi" w:cstheme="minorHAnsi"/>
                <w:szCs w:val="22"/>
              </w:rPr>
              <w:t xml:space="preserve"> </w:t>
            </w:r>
            <w:r w:rsidRPr="002054BE">
              <w:rPr>
                <w:rFonts w:asciiTheme="minorHAnsi" w:hAnsiTheme="minorHAnsi" w:cstheme="minorHAnsi"/>
                <w:szCs w:val="22"/>
              </w:rPr>
              <w:t>legal access to the site?</w:t>
            </w:r>
          </w:p>
          <w:p w14:paraId="63CA6E6C" w14:textId="03C33FC7" w:rsidR="002054BE" w:rsidRPr="002054BE" w:rsidRDefault="00866186" w:rsidP="002054BE">
            <w:pPr>
              <w:pStyle w:val="ListParagraph"/>
              <w:numPr>
                <w:ilvl w:val="0"/>
                <w:numId w:val="10"/>
              </w:numPr>
              <w:jc w:val="both"/>
              <w:rPr>
                <w:rFonts w:asciiTheme="minorHAnsi" w:hAnsiTheme="minorHAnsi" w:cstheme="minorHAnsi"/>
                <w:szCs w:val="22"/>
              </w:rPr>
            </w:pPr>
            <w:r w:rsidRPr="002054BE">
              <w:rPr>
                <w:rFonts w:asciiTheme="minorHAnsi" w:hAnsiTheme="minorHAnsi" w:cstheme="minorHAnsi"/>
                <w:szCs w:val="22"/>
              </w:rPr>
              <w:t>Planning permission was approved, initially, for one dwelling, subsequently increased to two</w:t>
            </w:r>
            <w:r w:rsidR="002054BE">
              <w:rPr>
                <w:rFonts w:asciiTheme="minorHAnsi" w:hAnsiTheme="minorHAnsi" w:cstheme="minorHAnsi"/>
                <w:szCs w:val="22"/>
              </w:rPr>
              <w:t xml:space="preserve"> </w:t>
            </w:r>
            <w:r w:rsidRPr="002054BE">
              <w:rPr>
                <w:rFonts w:asciiTheme="minorHAnsi" w:hAnsiTheme="minorHAnsi" w:cstheme="minorHAnsi"/>
                <w:szCs w:val="22"/>
              </w:rPr>
              <w:t>(3/2020/0112) and now potentially four, two of which are outside the Chatburn settlement</w:t>
            </w:r>
            <w:r w:rsidR="002054BE">
              <w:rPr>
                <w:rFonts w:asciiTheme="minorHAnsi" w:hAnsiTheme="minorHAnsi" w:cstheme="minorHAnsi"/>
                <w:szCs w:val="22"/>
              </w:rPr>
              <w:t xml:space="preserve"> </w:t>
            </w:r>
            <w:r w:rsidRPr="002054BE">
              <w:rPr>
                <w:rFonts w:asciiTheme="minorHAnsi" w:hAnsiTheme="minorHAnsi" w:cstheme="minorHAnsi"/>
                <w:szCs w:val="22"/>
              </w:rPr>
              <w:t>boundary.</w:t>
            </w:r>
          </w:p>
          <w:p w14:paraId="4866D3CD" w14:textId="77777777" w:rsidR="004D1691" w:rsidRDefault="00866186" w:rsidP="002054BE">
            <w:pPr>
              <w:pStyle w:val="ListParagraph"/>
              <w:numPr>
                <w:ilvl w:val="0"/>
                <w:numId w:val="10"/>
              </w:numPr>
              <w:jc w:val="both"/>
              <w:rPr>
                <w:rFonts w:asciiTheme="minorHAnsi" w:hAnsiTheme="minorHAnsi" w:cstheme="minorHAnsi"/>
                <w:szCs w:val="22"/>
              </w:rPr>
            </w:pPr>
            <w:r w:rsidRPr="002054BE">
              <w:rPr>
                <w:rFonts w:asciiTheme="minorHAnsi" w:hAnsiTheme="minorHAnsi" w:cstheme="minorHAnsi"/>
                <w:szCs w:val="22"/>
              </w:rPr>
              <w:t>Traffic on this narrow road will be increased considerably by further development</w:t>
            </w:r>
            <w:r w:rsidR="002054BE">
              <w:rPr>
                <w:rFonts w:asciiTheme="minorHAnsi" w:hAnsiTheme="minorHAnsi" w:cstheme="minorHAnsi"/>
                <w:szCs w:val="22"/>
              </w:rPr>
              <w:t xml:space="preserve"> </w:t>
            </w:r>
            <w:r w:rsidRPr="002054BE">
              <w:rPr>
                <w:rFonts w:asciiTheme="minorHAnsi" w:hAnsiTheme="minorHAnsi" w:cstheme="minorHAnsi"/>
                <w:szCs w:val="22"/>
              </w:rPr>
              <w:t>causing problems for the residents.</w:t>
            </w:r>
          </w:p>
          <w:p w14:paraId="4AC31A3F" w14:textId="1D57B27B" w:rsidR="002054BE" w:rsidRPr="002054BE" w:rsidRDefault="002054BE" w:rsidP="002054BE">
            <w:pPr>
              <w:pStyle w:val="ListParagraph"/>
              <w:jc w:val="both"/>
              <w:rPr>
                <w:rFonts w:asciiTheme="minorHAnsi" w:hAnsiTheme="minorHAnsi" w:cstheme="minorHAnsi"/>
                <w:szCs w:val="22"/>
              </w:rPr>
            </w:pPr>
          </w:p>
        </w:tc>
      </w:tr>
      <w:tr w:rsidR="00C618DB" w:rsidRPr="00866186" w14:paraId="34D79641" w14:textId="77777777" w:rsidTr="00C70DC7">
        <w:trPr>
          <w:trHeight w:hRule="exact" w:val="170"/>
          <w:jc w:val="center"/>
        </w:trPr>
        <w:tc>
          <w:tcPr>
            <w:tcW w:w="9271"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3404D05" w14:textId="77777777" w:rsidR="00C618DB" w:rsidRPr="00866186" w:rsidRDefault="00C618DB" w:rsidP="005D7447">
            <w:pPr>
              <w:jc w:val="both"/>
              <w:rPr>
                <w:rFonts w:asciiTheme="minorHAnsi" w:hAnsiTheme="minorHAnsi" w:cstheme="minorHAnsi"/>
                <w:bCs/>
                <w:szCs w:val="22"/>
              </w:rPr>
            </w:pPr>
          </w:p>
        </w:tc>
      </w:tr>
      <w:tr w:rsidR="00C618DB" w:rsidRPr="00866186" w14:paraId="27BD629E" w14:textId="77777777" w:rsidTr="002C0855">
        <w:trPr>
          <w:jc w:val="center"/>
        </w:trPr>
        <w:tc>
          <w:tcPr>
            <w:tcW w:w="304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AC027F" w14:textId="77777777" w:rsidR="00C618DB" w:rsidRPr="00866186" w:rsidRDefault="00C618DB" w:rsidP="005D7447">
            <w:pPr>
              <w:jc w:val="both"/>
              <w:rPr>
                <w:rFonts w:asciiTheme="minorHAnsi" w:hAnsiTheme="minorHAnsi" w:cstheme="minorHAnsi"/>
                <w:b/>
                <w:szCs w:val="22"/>
              </w:rPr>
            </w:pPr>
            <w:r w:rsidRPr="00866186">
              <w:rPr>
                <w:rFonts w:asciiTheme="minorHAnsi" w:hAnsiTheme="minorHAnsi" w:cstheme="minorHAnsi"/>
                <w:b/>
                <w:szCs w:val="22"/>
              </w:rPr>
              <w:t xml:space="preserve">CONSULTATIONS: </w:t>
            </w:r>
          </w:p>
        </w:tc>
        <w:tc>
          <w:tcPr>
            <w:tcW w:w="622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E89588" w14:textId="77777777" w:rsidR="00C618DB" w:rsidRPr="00866186" w:rsidRDefault="00C618DB" w:rsidP="005D7447">
            <w:pPr>
              <w:jc w:val="both"/>
              <w:rPr>
                <w:rFonts w:asciiTheme="minorHAnsi" w:hAnsiTheme="minorHAnsi" w:cstheme="minorHAnsi"/>
                <w:b/>
                <w:szCs w:val="22"/>
              </w:rPr>
            </w:pPr>
            <w:r w:rsidRPr="00866186">
              <w:rPr>
                <w:rFonts w:asciiTheme="minorHAnsi" w:hAnsiTheme="minorHAnsi" w:cstheme="minorHAnsi"/>
                <w:b/>
                <w:szCs w:val="22"/>
              </w:rPr>
              <w:t>Highways/Water Authority/Other Bodies</w:t>
            </w:r>
          </w:p>
        </w:tc>
      </w:tr>
      <w:tr w:rsidR="002A01CF" w:rsidRPr="00866186" w14:paraId="2134E211" w14:textId="77777777" w:rsidTr="002C0855">
        <w:trPr>
          <w:jc w:val="center"/>
        </w:trPr>
        <w:tc>
          <w:tcPr>
            <w:tcW w:w="304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7D0391" w14:textId="77777777" w:rsidR="002A01CF" w:rsidRPr="00866186" w:rsidRDefault="002A01CF" w:rsidP="005D7447">
            <w:pPr>
              <w:jc w:val="both"/>
              <w:rPr>
                <w:rFonts w:asciiTheme="minorHAnsi" w:hAnsiTheme="minorHAnsi" w:cstheme="minorHAnsi"/>
                <w:b/>
                <w:szCs w:val="22"/>
              </w:rPr>
            </w:pPr>
            <w:r w:rsidRPr="00866186">
              <w:rPr>
                <w:rFonts w:asciiTheme="minorHAnsi" w:hAnsiTheme="minorHAnsi" w:cstheme="minorHAnsi"/>
                <w:b/>
                <w:szCs w:val="22"/>
              </w:rPr>
              <w:t>LCC Highways:</w:t>
            </w:r>
          </w:p>
        </w:tc>
        <w:tc>
          <w:tcPr>
            <w:tcW w:w="622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FEA60D" w14:textId="77777777" w:rsidR="002A01CF" w:rsidRPr="00866186" w:rsidRDefault="002A01CF" w:rsidP="005D7447">
            <w:pPr>
              <w:jc w:val="both"/>
              <w:rPr>
                <w:rFonts w:asciiTheme="minorHAnsi" w:hAnsiTheme="minorHAnsi" w:cstheme="minorHAnsi"/>
                <w:b/>
                <w:szCs w:val="22"/>
              </w:rPr>
            </w:pPr>
          </w:p>
        </w:tc>
      </w:tr>
      <w:tr w:rsidR="002A01CF" w:rsidRPr="00866186" w14:paraId="703D4AFA" w14:textId="77777777" w:rsidTr="00C70DC7">
        <w:trPr>
          <w:jc w:val="center"/>
        </w:trPr>
        <w:tc>
          <w:tcPr>
            <w:tcW w:w="92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D15968B" w14:textId="5B8CBF49" w:rsidR="00DA21C0" w:rsidRPr="00866186" w:rsidRDefault="002054BE" w:rsidP="00DA21C0">
            <w:pPr>
              <w:overflowPunct/>
              <w:jc w:val="both"/>
              <w:textAlignment w:val="auto"/>
              <w:rPr>
                <w:rFonts w:asciiTheme="minorHAnsi" w:eastAsiaTheme="minorHAnsi" w:hAnsiTheme="minorHAnsi" w:cstheme="minorHAnsi"/>
                <w:color w:val="000000"/>
                <w:szCs w:val="22"/>
              </w:rPr>
            </w:pPr>
            <w:r>
              <w:rPr>
                <w:rFonts w:asciiTheme="minorHAnsi" w:eastAsiaTheme="minorHAnsi" w:hAnsiTheme="minorHAnsi" w:cstheme="minorHAnsi"/>
                <w:color w:val="000000"/>
                <w:szCs w:val="22"/>
              </w:rPr>
              <w:t>No objection subject to conditions.</w:t>
            </w:r>
          </w:p>
        </w:tc>
      </w:tr>
      <w:tr w:rsidR="002054BE" w:rsidRPr="00866186" w14:paraId="02057F30" w14:textId="77777777" w:rsidTr="00F875BD">
        <w:trPr>
          <w:jc w:val="center"/>
        </w:trPr>
        <w:tc>
          <w:tcPr>
            <w:tcW w:w="304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CA5076C" w14:textId="2EDFD21F" w:rsidR="002054BE" w:rsidRPr="00866186" w:rsidRDefault="002054BE" w:rsidP="00F875BD">
            <w:pPr>
              <w:jc w:val="both"/>
              <w:rPr>
                <w:rFonts w:asciiTheme="minorHAnsi" w:hAnsiTheme="minorHAnsi" w:cstheme="minorHAnsi"/>
                <w:b/>
                <w:szCs w:val="22"/>
              </w:rPr>
            </w:pPr>
            <w:r>
              <w:rPr>
                <w:rFonts w:asciiTheme="minorHAnsi" w:hAnsiTheme="minorHAnsi" w:cstheme="minorHAnsi"/>
                <w:b/>
                <w:szCs w:val="22"/>
              </w:rPr>
              <w:t>Lead Local Flood Authority</w:t>
            </w:r>
            <w:r w:rsidRPr="00866186">
              <w:rPr>
                <w:rFonts w:asciiTheme="minorHAnsi" w:hAnsiTheme="minorHAnsi" w:cstheme="minorHAnsi"/>
                <w:b/>
                <w:szCs w:val="22"/>
              </w:rPr>
              <w:t>:</w:t>
            </w:r>
          </w:p>
        </w:tc>
        <w:tc>
          <w:tcPr>
            <w:tcW w:w="622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1A9CFD" w14:textId="77777777" w:rsidR="002054BE" w:rsidRPr="00866186" w:rsidRDefault="002054BE" w:rsidP="00F875BD">
            <w:pPr>
              <w:jc w:val="both"/>
              <w:rPr>
                <w:rFonts w:asciiTheme="minorHAnsi" w:hAnsiTheme="minorHAnsi" w:cstheme="minorHAnsi"/>
                <w:b/>
                <w:szCs w:val="22"/>
              </w:rPr>
            </w:pPr>
          </w:p>
        </w:tc>
      </w:tr>
      <w:tr w:rsidR="002054BE" w:rsidRPr="00866186" w14:paraId="7D2C678B" w14:textId="77777777" w:rsidTr="00C70DC7">
        <w:trPr>
          <w:jc w:val="center"/>
        </w:trPr>
        <w:tc>
          <w:tcPr>
            <w:tcW w:w="92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CA1FB24" w14:textId="0BE1D58D" w:rsidR="002054BE" w:rsidRDefault="002054BE" w:rsidP="00DA21C0">
            <w:pPr>
              <w:overflowPunct/>
              <w:jc w:val="both"/>
              <w:textAlignment w:val="auto"/>
              <w:rPr>
                <w:rFonts w:asciiTheme="minorHAnsi" w:eastAsiaTheme="minorHAnsi" w:hAnsiTheme="minorHAnsi" w:cstheme="minorHAnsi"/>
                <w:color w:val="000000"/>
                <w:szCs w:val="22"/>
              </w:rPr>
            </w:pPr>
            <w:r>
              <w:rPr>
                <w:rFonts w:asciiTheme="minorHAnsi" w:eastAsiaTheme="minorHAnsi" w:hAnsiTheme="minorHAnsi" w:cstheme="minorHAnsi"/>
                <w:color w:val="000000"/>
                <w:szCs w:val="22"/>
              </w:rPr>
              <w:t>No comment.</w:t>
            </w:r>
          </w:p>
        </w:tc>
      </w:tr>
      <w:tr w:rsidR="002054BE" w:rsidRPr="00866186" w14:paraId="521FFAA3" w14:textId="77777777" w:rsidTr="00F875BD">
        <w:trPr>
          <w:jc w:val="center"/>
        </w:trPr>
        <w:tc>
          <w:tcPr>
            <w:tcW w:w="304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2BFFF23" w14:textId="1BA09A4B" w:rsidR="002054BE" w:rsidRPr="00866186" w:rsidRDefault="002054BE" w:rsidP="00F875BD">
            <w:pPr>
              <w:jc w:val="both"/>
              <w:rPr>
                <w:rFonts w:asciiTheme="minorHAnsi" w:hAnsiTheme="minorHAnsi" w:cstheme="minorHAnsi"/>
                <w:b/>
                <w:szCs w:val="22"/>
              </w:rPr>
            </w:pPr>
            <w:r>
              <w:rPr>
                <w:rFonts w:asciiTheme="minorHAnsi" w:hAnsiTheme="minorHAnsi" w:cstheme="minorHAnsi"/>
                <w:b/>
                <w:szCs w:val="22"/>
              </w:rPr>
              <w:t>Environment Agency</w:t>
            </w:r>
            <w:r w:rsidRPr="00866186">
              <w:rPr>
                <w:rFonts w:asciiTheme="minorHAnsi" w:hAnsiTheme="minorHAnsi" w:cstheme="minorHAnsi"/>
                <w:b/>
                <w:szCs w:val="22"/>
              </w:rPr>
              <w:t>:</w:t>
            </w:r>
          </w:p>
        </w:tc>
        <w:tc>
          <w:tcPr>
            <w:tcW w:w="622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AB8BD3" w14:textId="77777777" w:rsidR="002054BE" w:rsidRPr="00866186" w:rsidRDefault="002054BE" w:rsidP="00F875BD">
            <w:pPr>
              <w:jc w:val="both"/>
              <w:rPr>
                <w:rFonts w:asciiTheme="minorHAnsi" w:hAnsiTheme="minorHAnsi" w:cstheme="minorHAnsi"/>
                <w:b/>
                <w:szCs w:val="22"/>
              </w:rPr>
            </w:pPr>
          </w:p>
        </w:tc>
      </w:tr>
      <w:tr w:rsidR="002054BE" w:rsidRPr="00866186" w14:paraId="5F89E912" w14:textId="77777777" w:rsidTr="00C70DC7">
        <w:trPr>
          <w:jc w:val="center"/>
        </w:trPr>
        <w:tc>
          <w:tcPr>
            <w:tcW w:w="92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901CF0" w14:textId="77777777" w:rsidR="002054BE" w:rsidRDefault="002054BE" w:rsidP="002054BE">
            <w:pPr>
              <w:overflowPunct/>
              <w:jc w:val="both"/>
              <w:textAlignment w:val="auto"/>
              <w:rPr>
                <w:rFonts w:asciiTheme="minorHAnsi" w:eastAsiaTheme="minorHAnsi" w:hAnsiTheme="minorHAnsi" w:cstheme="minorHAnsi"/>
                <w:color w:val="000000"/>
                <w:szCs w:val="22"/>
              </w:rPr>
            </w:pPr>
            <w:r w:rsidRPr="002054BE">
              <w:rPr>
                <w:rFonts w:asciiTheme="minorHAnsi" w:eastAsiaTheme="minorHAnsi" w:hAnsiTheme="minorHAnsi" w:cstheme="minorHAnsi"/>
                <w:color w:val="000000"/>
                <w:szCs w:val="22"/>
              </w:rPr>
              <w:t>As submitted, we object to this application as it appears to involve work within 8m of</w:t>
            </w:r>
            <w:r>
              <w:rPr>
                <w:rFonts w:asciiTheme="minorHAnsi" w:eastAsiaTheme="minorHAnsi" w:hAnsiTheme="minorHAnsi" w:cstheme="minorHAnsi"/>
                <w:color w:val="000000"/>
                <w:szCs w:val="22"/>
              </w:rPr>
              <w:t xml:space="preserve"> </w:t>
            </w:r>
            <w:r w:rsidRPr="002054BE">
              <w:rPr>
                <w:rFonts w:asciiTheme="minorHAnsi" w:eastAsiaTheme="minorHAnsi" w:hAnsiTheme="minorHAnsi" w:cstheme="minorHAnsi"/>
                <w:color w:val="000000"/>
                <w:szCs w:val="22"/>
              </w:rPr>
              <w:t>Heys Brook watercourse, which is designated as a Main River. It is unlikely that we</w:t>
            </w:r>
            <w:r>
              <w:rPr>
                <w:rFonts w:asciiTheme="minorHAnsi" w:eastAsiaTheme="minorHAnsi" w:hAnsiTheme="minorHAnsi" w:cstheme="minorHAnsi"/>
                <w:color w:val="000000"/>
                <w:szCs w:val="22"/>
              </w:rPr>
              <w:t xml:space="preserve"> </w:t>
            </w:r>
            <w:r w:rsidRPr="002054BE">
              <w:rPr>
                <w:rFonts w:asciiTheme="minorHAnsi" w:eastAsiaTheme="minorHAnsi" w:hAnsiTheme="minorHAnsi" w:cstheme="minorHAnsi"/>
                <w:color w:val="000000"/>
                <w:szCs w:val="22"/>
              </w:rPr>
              <w:t>would grant a flood risk activity permit for this application. In addition, an unacceptable</w:t>
            </w:r>
            <w:r>
              <w:rPr>
                <w:rFonts w:asciiTheme="minorHAnsi" w:eastAsiaTheme="minorHAnsi" w:hAnsiTheme="minorHAnsi" w:cstheme="minorHAnsi"/>
                <w:color w:val="000000"/>
                <w:szCs w:val="22"/>
              </w:rPr>
              <w:t xml:space="preserve"> </w:t>
            </w:r>
            <w:r w:rsidRPr="002054BE">
              <w:rPr>
                <w:rFonts w:asciiTheme="minorHAnsi" w:eastAsiaTheme="minorHAnsi" w:hAnsiTheme="minorHAnsi" w:cstheme="minorHAnsi"/>
                <w:color w:val="000000"/>
                <w:szCs w:val="22"/>
              </w:rPr>
              <w:t>Flood Risk Assessment (FRA) has been submitted to support the application.</w:t>
            </w:r>
          </w:p>
          <w:p w14:paraId="74B1AEC0" w14:textId="79C22847" w:rsidR="002054BE" w:rsidRDefault="002054BE" w:rsidP="002054BE">
            <w:pPr>
              <w:overflowPunct/>
              <w:jc w:val="both"/>
              <w:textAlignment w:val="auto"/>
              <w:rPr>
                <w:rFonts w:asciiTheme="minorHAnsi" w:eastAsiaTheme="minorHAnsi" w:hAnsiTheme="minorHAnsi" w:cstheme="minorHAnsi"/>
                <w:color w:val="000000"/>
                <w:szCs w:val="22"/>
              </w:rPr>
            </w:pPr>
          </w:p>
        </w:tc>
      </w:tr>
      <w:tr w:rsidR="00C618DB" w:rsidRPr="00866186" w14:paraId="29D34C29" w14:textId="77777777" w:rsidTr="002C0855">
        <w:trPr>
          <w:jc w:val="center"/>
        </w:trPr>
        <w:tc>
          <w:tcPr>
            <w:tcW w:w="304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A725C04" w14:textId="77777777" w:rsidR="00C618DB" w:rsidRPr="00866186" w:rsidRDefault="00C618DB" w:rsidP="005D7447">
            <w:pPr>
              <w:jc w:val="both"/>
              <w:rPr>
                <w:rFonts w:asciiTheme="minorHAnsi" w:hAnsiTheme="minorHAnsi" w:cstheme="minorHAnsi"/>
                <w:b/>
                <w:szCs w:val="22"/>
              </w:rPr>
            </w:pPr>
            <w:r w:rsidRPr="00866186">
              <w:rPr>
                <w:rFonts w:asciiTheme="minorHAnsi" w:hAnsiTheme="minorHAnsi" w:cstheme="minorHAnsi"/>
                <w:b/>
                <w:szCs w:val="22"/>
              </w:rPr>
              <w:t xml:space="preserve">CONSULTATIONS: </w:t>
            </w:r>
          </w:p>
        </w:tc>
        <w:tc>
          <w:tcPr>
            <w:tcW w:w="622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4107C2" w14:textId="77777777" w:rsidR="00C618DB" w:rsidRPr="00866186" w:rsidRDefault="00C618DB" w:rsidP="00C618DB">
            <w:pPr>
              <w:rPr>
                <w:rFonts w:asciiTheme="minorHAnsi" w:hAnsiTheme="minorHAnsi" w:cstheme="minorHAnsi"/>
                <w:b/>
                <w:szCs w:val="22"/>
              </w:rPr>
            </w:pPr>
            <w:r w:rsidRPr="00866186">
              <w:rPr>
                <w:rFonts w:asciiTheme="minorHAnsi" w:hAnsiTheme="minorHAnsi" w:cstheme="minorHAnsi"/>
                <w:b/>
                <w:szCs w:val="22"/>
              </w:rPr>
              <w:t>Additional Representations.</w:t>
            </w:r>
          </w:p>
        </w:tc>
      </w:tr>
      <w:tr w:rsidR="00EC23C7" w:rsidRPr="00866186" w14:paraId="20E69D64" w14:textId="77777777" w:rsidTr="00C70DC7">
        <w:trPr>
          <w:jc w:val="center"/>
        </w:trPr>
        <w:tc>
          <w:tcPr>
            <w:tcW w:w="92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27A63A4" w14:textId="77777777" w:rsidR="00BA1B82" w:rsidRDefault="002054BE" w:rsidP="002054BE">
            <w:pPr>
              <w:jc w:val="both"/>
              <w:rPr>
                <w:rFonts w:asciiTheme="minorHAnsi" w:hAnsiTheme="minorHAnsi" w:cstheme="minorHAnsi"/>
                <w:szCs w:val="22"/>
              </w:rPr>
            </w:pPr>
            <w:r>
              <w:rPr>
                <w:rFonts w:asciiTheme="minorHAnsi" w:hAnsiTheme="minorHAnsi" w:cstheme="minorHAnsi"/>
                <w:szCs w:val="22"/>
              </w:rPr>
              <w:t xml:space="preserve">A total of </w:t>
            </w:r>
            <w:r w:rsidR="008B73E2">
              <w:rPr>
                <w:rFonts w:asciiTheme="minorHAnsi" w:hAnsiTheme="minorHAnsi" w:cstheme="minorHAnsi"/>
                <w:szCs w:val="22"/>
              </w:rPr>
              <w:t>13 objections have been received and raise the following concerns:</w:t>
            </w:r>
          </w:p>
          <w:p w14:paraId="6F1539EC" w14:textId="77777777" w:rsidR="008B73E2" w:rsidRDefault="008B73E2" w:rsidP="002054BE">
            <w:pPr>
              <w:jc w:val="both"/>
              <w:rPr>
                <w:rFonts w:asciiTheme="minorHAnsi" w:hAnsiTheme="minorHAnsi" w:cstheme="minorHAnsi"/>
                <w:szCs w:val="22"/>
              </w:rPr>
            </w:pPr>
          </w:p>
          <w:p w14:paraId="03D1237E" w14:textId="5287895A" w:rsidR="008B73E2" w:rsidRPr="004E5A2E" w:rsidRDefault="008B73E2" w:rsidP="004E5A2E">
            <w:pPr>
              <w:pStyle w:val="ListParagraph"/>
              <w:numPr>
                <w:ilvl w:val="0"/>
                <w:numId w:val="11"/>
              </w:numPr>
              <w:jc w:val="both"/>
              <w:rPr>
                <w:rFonts w:asciiTheme="minorHAnsi" w:hAnsiTheme="minorHAnsi" w:cstheme="minorHAnsi"/>
                <w:szCs w:val="22"/>
              </w:rPr>
            </w:pPr>
            <w:r w:rsidRPr="004E5A2E">
              <w:rPr>
                <w:rFonts w:asciiTheme="minorHAnsi" w:hAnsiTheme="minorHAnsi" w:cstheme="minorHAnsi"/>
                <w:szCs w:val="22"/>
              </w:rPr>
              <w:t xml:space="preserve">Legal challenge regarding access </w:t>
            </w:r>
            <w:r w:rsidR="00A15BB0" w:rsidRPr="004E5A2E">
              <w:rPr>
                <w:rFonts w:asciiTheme="minorHAnsi" w:hAnsiTheme="minorHAnsi" w:cstheme="minorHAnsi"/>
                <w:szCs w:val="22"/>
              </w:rPr>
              <w:t>rights.</w:t>
            </w:r>
          </w:p>
          <w:p w14:paraId="47B8668A" w14:textId="4C937477" w:rsidR="008B73E2" w:rsidRPr="004E5A2E" w:rsidRDefault="008B73E2" w:rsidP="004E5A2E">
            <w:pPr>
              <w:pStyle w:val="ListParagraph"/>
              <w:numPr>
                <w:ilvl w:val="0"/>
                <w:numId w:val="11"/>
              </w:numPr>
              <w:jc w:val="both"/>
              <w:rPr>
                <w:rFonts w:asciiTheme="minorHAnsi" w:hAnsiTheme="minorHAnsi" w:cstheme="minorHAnsi"/>
                <w:szCs w:val="22"/>
              </w:rPr>
            </w:pPr>
            <w:r w:rsidRPr="004E5A2E">
              <w:rPr>
                <w:rFonts w:asciiTheme="minorHAnsi" w:hAnsiTheme="minorHAnsi" w:cstheme="minorHAnsi"/>
                <w:szCs w:val="22"/>
              </w:rPr>
              <w:t xml:space="preserve">Dwellings are three </w:t>
            </w:r>
            <w:r w:rsidR="00A15BB0" w:rsidRPr="004E5A2E">
              <w:rPr>
                <w:rFonts w:asciiTheme="minorHAnsi" w:hAnsiTheme="minorHAnsi" w:cstheme="minorHAnsi"/>
                <w:szCs w:val="22"/>
              </w:rPr>
              <w:t>storeys</w:t>
            </w:r>
            <w:r w:rsidRPr="004E5A2E">
              <w:rPr>
                <w:rFonts w:asciiTheme="minorHAnsi" w:hAnsiTheme="minorHAnsi" w:cstheme="minorHAnsi"/>
                <w:szCs w:val="22"/>
              </w:rPr>
              <w:t>, not two;</w:t>
            </w:r>
          </w:p>
          <w:p w14:paraId="56BA349E" w14:textId="77777777" w:rsidR="008B73E2" w:rsidRPr="004E5A2E" w:rsidRDefault="008B73E2" w:rsidP="004E5A2E">
            <w:pPr>
              <w:pStyle w:val="ListParagraph"/>
              <w:numPr>
                <w:ilvl w:val="0"/>
                <w:numId w:val="11"/>
              </w:numPr>
              <w:jc w:val="both"/>
              <w:rPr>
                <w:rFonts w:asciiTheme="minorHAnsi" w:hAnsiTheme="minorHAnsi" w:cstheme="minorHAnsi"/>
                <w:szCs w:val="22"/>
              </w:rPr>
            </w:pPr>
            <w:r w:rsidRPr="004E5A2E">
              <w:rPr>
                <w:rFonts w:asciiTheme="minorHAnsi" w:hAnsiTheme="minorHAnsi" w:cstheme="minorHAnsi"/>
                <w:szCs w:val="22"/>
              </w:rPr>
              <w:t>Strain on roads, schools and surrounding amenities;</w:t>
            </w:r>
          </w:p>
          <w:p w14:paraId="412BAF83" w14:textId="77777777" w:rsidR="008B73E2" w:rsidRPr="004E5A2E" w:rsidRDefault="008B73E2" w:rsidP="004E5A2E">
            <w:pPr>
              <w:pStyle w:val="ListParagraph"/>
              <w:numPr>
                <w:ilvl w:val="0"/>
                <w:numId w:val="11"/>
              </w:numPr>
              <w:jc w:val="both"/>
              <w:rPr>
                <w:rFonts w:asciiTheme="minorHAnsi" w:hAnsiTheme="minorHAnsi" w:cstheme="minorHAnsi"/>
                <w:szCs w:val="22"/>
              </w:rPr>
            </w:pPr>
            <w:r w:rsidRPr="004E5A2E">
              <w:rPr>
                <w:rFonts w:asciiTheme="minorHAnsi" w:hAnsiTheme="minorHAnsi" w:cstheme="minorHAnsi"/>
                <w:szCs w:val="22"/>
              </w:rPr>
              <w:t>Highway safety issues;</w:t>
            </w:r>
          </w:p>
          <w:p w14:paraId="26697F42" w14:textId="77777777" w:rsidR="008B73E2" w:rsidRPr="004E5A2E" w:rsidRDefault="004E5A2E" w:rsidP="004E5A2E">
            <w:pPr>
              <w:pStyle w:val="ListParagraph"/>
              <w:numPr>
                <w:ilvl w:val="0"/>
                <w:numId w:val="11"/>
              </w:numPr>
              <w:jc w:val="both"/>
              <w:rPr>
                <w:rFonts w:asciiTheme="minorHAnsi" w:hAnsiTheme="minorHAnsi" w:cstheme="minorHAnsi"/>
                <w:szCs w:val="22"/>
              </w:rPr>
            </w:pPr>
            <w:r w:rsidRPr="004E5A2E">
              <w:rPr>
                <w:rFonts w:asciiTheme="minorHAnsi" w:hAnsiTheme="minorHAnsi" w:cstheme="minorHAnsi"/>
                <w:szCs w:val="22"/>
              </w:rPr>
              <w:t>Nature and size of buildings not in-keeping;</w:t>
            </w:r>
          </w:p>
          <w:p w14:paraId="4602F703" w14:textId="47FFEA4F" w:rsidR="004E5A2E" w:rsidRPr="004E5A2E" w:rsidRDefault="004E5A2E" w:rsidP="004E5A2E">
            <w:pPr>
              <w:pStyle w:val="ListParagraph"/>
              <w:numPr>
                <w:ilvl w:val="0"/>
                <w:numId w:val="11"/>
              </w:numPr>
              <w:jc w:val="both"/>
              <w:rPr>
                <w:rFonts w:asciiTheme="minorHAnsi" w:hAnsiTheme="minorHAnsi" w:cstheme="minorHAnsi"/>
                <w:szCs w:val="22"/>
              </w:rPr>
            </w:pPr>
            <w:r w:rsidRPr="004E5A2E">
              <w:rPr>
                <w:rFonts w:asciiTheme="minorHAnsi" w:hAnsiTheme="minorHAnsi" w:cstheme="minorHAnsi"/>
                <w:szCs w:val="22"/>
              </w:rPr>
              <w:t>Construction vehicle access issues and access has weight restrictions;</w:t>
            </w:r>
          </w:p>
          <w:p w14:paraId="6494D088" w14:textId="77777777" w:rsidR="004E5A2E" w:rsidRPr="004E5A2E" w:rsidRDefault="004E5A2E" w:rsidP="004E5A2E">
            <w:pPr>
              <w:pStyle w:val="ListParagraph"/>
              <w:numPr>
                <w:ilvl w:val="0"/>
                <w:numId w:val="11"/>
              </w:numPr>
              <w:jc w:val="both"/>
              <w:rPr>
                <w:rFonts w:asciiTheme="minorHAnsi" w:hAnsiTheme="minorHAnsi" w:cstheme="minorHAnsi"/>
                <w:szCs w:val="22"/>
              </w:rPr>
            </w:pPr>
            <w:r w:rsidRPr="004E5A2E">
              <w:rPr>
                <w:rFonts w:asciiTheme="minorHAnsi" w:hAnsiTheme="minorHAnsi" w:cstheme="minorHAnsi"/>
                <w:szCs w:val="22"/>
              </w:rPr>
              <w:t>Public footpath crosses the site;</w:t>
            </w:r>
          </w:p>
          <w:p w14:paraId="6BE60FB4" w14:textId="77777777" w:rsidR="004E5A2E" w:rsidRPr="004E5A2E" w:rsidRDefault="004E5A2E" w:rsidP="004E5A2E">
            <w:pPr>
              <w:pStyle w:val="ListParagraph"/>
              <w:numPr>
                <w:ilvl w:val="0"/>
                <w:numId w:val="11"/>
              </w:numPr>
              <w:jc w:val="both"/>
              <w:rPr>
                <w:rFonts w:asciiTheme="minorHAnsi" w:hAnsiTheme="minorHAnsi" w:cstheme="minorHAnsi"/>
                <w:szCs w:val="22"/>
              </w:rPr>
            </w:pPr>
            <w:r w:rsidRPr="004E5A2E">
              <w:rPr>
                <w:rFonts w:asciiTheme="minorHAnsi" w:hAnsiTheme="minorHAnsi" w:cstheme="minorHAnsi"/>
                <w:szCs w:val="22"/>
              </w:rPr>
              <w:t>Impact on wildlife;</w:t>
            </w:r>
          </w:p>
          <w:p w14:paraId="1E5AA7E9" w14:textId="77777777" w:rsidR="004E5A2E" w:rsidRPr="004E5A2E" w:rsidRDefault="004E5A2E" w:rsidP="004E5A2E">
            <w:pPr>
              <w:pStyle w:val="ListParagraph"/>
              <w:numPr>
                <w:ilvl w:val="0"/>
                <w:numId w:val="11"/>
              </w:numPr>
              <w:jc w:val="both"/>
              <w:rPr>
                <w:rFonts w:asciiTheme="minorHAnsi" w:hAnsiTheme="minorHAnsi" w:cstheme="minorHAnsi"/>
                <w:szCs w:val="22"/>
              </w:rPr>
            </w:pPr>
            <w:r w:rsidRPr="004E5A2E">
              <w:rPr>
                <w:rFonts w:asciiTheme="minorHAnsi" w:hAnsiTheme="minorHAnsi" w:cstheme="minorHAnsi"/>
                <w:szCs w:val="22"/>
              </w:rPr>
              <w:t>Brook is of spiritual importance to the Mormon community;</w:t>
            </w:r>
          </w:p>
          <w:p w14:paraId="4CF9D809" w14:textId="77777777" w:rsidR="004E5A2E" w:rsidRDefault="004E5A2E" w:rsidP="004E5A2E">
            <w:pPr>
              <w:pStyle w:val="ListParagraph"/>
              <w:numPr>
                <w:ilvl w:val="0"/>
                <w:numId w:val="11"/>
              </w:numPr>
              <w:jc w:val="both"/>
              <w:rPr>
                <w:rFonts w:asciiTheme="minorHAnsi" w:hAnsiTheme="minorHAnsi" w:cstheme="minorHAnsi"/>
                <w:szCs w:val="22"/>
              </w:rPr>
            </w:pPr>
            <w:r w:rsidRPr="004E5A2E">
              <w:rPr>
                <w:rFonts w:asciiTheme="minorHAnsi" w:hAnsiTheme="minorHAnsi" w:cstheme="minorHAnsi"/>
                <w:szCs w:val="22"/>
              </w:rPr>
              <w:lastRenderedPageBreak/>
              <w:t>Flooding on previous occasions.</w:t>
            </w:r>
          </w:p>
          <w:p w14:paraId="21D91AD2" w14:textId="45579B9E" w:rsidR="004E5A2E" w:rsidRPr="004E5A2E" w:rsidRDefault="004E5A2E" w:rsidP="004E5A2E">
            <w:pPr>
              <w:pStyle w:val="ListParagraph"/>
              <w:jc w:val="both"/>
              <w:rPr>
                <w:rFonts w:asciiTheme="minorHAnsi" w:hAnsiTheme="minorHAnsi" w:cstheme="minorHAnsi"/>
                <w:szCs w:val="22"/>
              </w:rPr>
            </w:pPr>
          </w:p>
        </w:tc>
      </w:tr>
      <w:tr w:rsidR="00C618DB" w:rsidRPr="00866186" w14:paraId="4F3C0E4F" w14:textId="77777777" w:rsidTr="00C70DC7">
        <w:trPr>
          <w:trHeight w:hRule="exact" w:val="170"/>
          <w:jc w:val="center"/>
        </w:trPr>
        <w:tc>
          <w:tcPr>
            <w:tcW w:w="9271" w:type="dxa"/>
            <w:gridSpan w:val="6"/>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4A30DA85" w14:textId="77777777" w:rsidR="00C618DB" w:rsidRPr="00866186" w:rsidRDefault="00C618DB">
            <w:pPr>
              <w:rPr>
                <w:rFonts w:asciiTheme="minorHAnsi" w:hAnsiTheme="minorHAnsi" w:cstheme="minorHAnsi"/>
                <w:szCs w:val="22"/>
              </w:rPr>
            </w:pPr>
          </w:p>
        </w:tc>
      </w:tr>
      <w:tr w:rsidR="00EC23C7" w:rsidRPr="00866186" w14:paraId="1F70C2DF" w14:textId="77777777" w:rsidTr="00C70DC7">
        <w:trPr>
          <w:jc w:val="center"/>
        </w:trPr>
        <w:tc>
          <w:tcPr>
            <w:tcW w:w="92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FDDF6A" w14:textId="77777777" w:rsidR="00EC23C7" w:rsidRPr="00866186" w:rsidRDefault="00EC23C7">
            <w:pPr>
              <w:rPr>
                <w:rFonts w:asciiTheme="minorHAnsi" w:hAnsiTheme="minorHAnsi" w:cstheme="minorHAnsi"/>
                <w:b/>
                <w:szCs w:val="22"/>
              </w:rPr>
            </w:pPr>
            <w:r w:rsidRPr="00866186">
              <w:rPr>
                <w:rFonts w:asciiTheme="minorHAnsi" w:hAnsiTheme="minorHAnsi" w:cstheme="minorHAnsi"/>
                <w:b/>
                <w:szCs w:val="22"/>
              </w:rPr>
              <w:t>RELEVANT POLICIES:</w:t>
            </w:r>
          </w:p>
        </w:tc>
      </w:tr>
      <w:tr w:rsidR="00C618DB" w:rsidRPr="00866186" w14:paraId="08604738" w14:textId="77777777" w:rsidTr="00C70DC7">
        <w:trPr>
          <w:jc w:val="center"/>
        </w:trPr>
        <w:tc>
          <w:tcPr>
            <w:tcW w:w="92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3F0A4ED" w14:textId="77777777" w:rsidR="00C618DB" w:rsidRPr="00866186" w:rsidRDefault="00C618DB" w:rsidP="00A63D55">
            <w:pPr>
              <w:pStyle w:val="PLANNING"/>
              <w:rPr>
                <w:rFonts w:asciiTheme="minorHAnsi" w:hAnsiTheme="minorHAnsi" w:cstheme="minorHAnsi"/>
                <w:b/>
                <w:bCs/>
                <w:szCs w:val="22"/>
              </w:rPr>
            </w:pPr>
            <w:r w:rsidRPr="00866186">
              <w:rPr>
                <w:rFonts w:asciiTheme="minorHAnsi" w:hAnsiTheme="minorHAnsi" w:cstheme="minorHAnsi"/>
                <w:b/>
                <w:bCs/>
                <w:szCs w:val="22"/>
              </w:rPr>
              <w:t>Ribble Valley Core Strategy:</w:t>
            </w:r>
          </w:p>
          <w:p w14:paraId="01F3EF9E" w14:textId="77777777" w:rsidR="00594478" w:rsidRPr="00866186" w:rsidRDefault="004B0D01" w:rsidP="00A63D55">
            <w:pPr>
              <w:pStyle w:val="PLANNING"/>
              <w:rPr>
                <w:rFonts w:asciiTheme="minorHAnsi" w:hAnsiTheme="minorHAnsi" w:cstheme="minorHAnsi"/>
                <w:bCs/>
                <w:szCs w:val="22"/>
              </w:rPr>
            </w:pPr>
            <w:r w:rsidRPr="00866186">
              <w:rPr>
                <w:rFonts w:asciiTheme="minorHAnsi" w:hAnsiTheme="minorHAnsi" w:cstheme="minorHAnsi"/>
                <w:bCs/>
                <w:szCs w:val="22"/>
              </w:rPr>
              <w:t xml:space="preserve">Key Statement </w:t>
            </w:r>
            <w:r w:rsidR="00594478" w:rsidRPr="00866186">
              <w:rPr>
                <w:rFonts w:asciiTheme="minorHAnsi" w:hAnsiTheme="minorHAnsi" w:cstheme="minorHAnsi"/>
                <w:bCs/>
                <w:szCs w:val="22"/>
              </w:rPr>
              <w:t>DS1 – Development Strategy</w:t>
            </w:r>
          </w:p>
          <w:p w14:paraId="063C39DF" w14:textId="7E73F613" w:rsidR="00594478" w:rsidRDefault="004B0D01" w:rsidP="00A63D55">
            <w:pPr>
              <w:pStyle w:val="PLANNING"/>
              <w:rPr>
                <w:rFonts w:asciiTheme="minorHAnsi" w:hAnsiTheme="minorHAnsi" w:cstheme="minorHAnsi"/>
                <w:bCs/>
                <w:szCs w:val="22"/>
              </w:rPr>
            </w:pPr>
            <w:r w:rsidRPr="00866186">
              <w:rPr>
                <w:rFonts w:asciiTheme="minorHAnsi" w:hAnsiTheme="minorHAnsi" w:cstheme="minorHAnsi"/>
                <w:bCs/>
                <w:szCs w:val="22"/>
              </w:rPr>
              <w:t xml:space="preserve">Key Statement </w:t>
            </w:r>
            <w:r w:rsidR="00594478" w:rsidRPr="00866186">
              <w:rPr>
                <w:rFonts w:asciiTheme="minorHAnsi" w:hAnsiTheme="minorHAnsi" w:cstheme="minorHAnsi"/>
                <w:bCs/>
                <w:szCs w:val="22"/>
              </w:rPr>
              <w:t>DS2 – Sustainable Development</w:t>
            </w:r>
          </w:p>
          <w:p w14:paraId="60B06FC3" w14:textId="6BBC81ED" w:rsidR="00AB5729" w:rsidRPr="00866186" w:rsidRDefault="00AB5729" w:rsidP="00A63D55">
            <w:pPr>
              <w:pStyle w:val="PLANNING"/>
              <w:rPr>
                <w:rFonts w:asciiTheme="minorHAnsi" w:hAnsiTheme="minorHAnsi" w:cstheme="minorHAnsi"/>
                <w:bCs/>
                <w:szCs w:val="22"/>
              </w:rPr>
            </w:pPr>
            <w:r>
              <w:rPr>
                <w:rFonts w:asciiTheme="minorHAnsi" w:hAnsiTheme="minorHAnsi" w:cstheme="minorHAnsi"/>
                <w:bCs/>
                <w:szCs w:val="22"/>
              </w:rPr>
              <w:t>Key Statement DMI2 – Transport Considerations</w:t>
            </w:r>
          </w:p>
          <w:p w14:paraId="4F84DFB4" w14:textId="39D14521" w:rsidR="00594478" w:rsidRDefault="004B0D01" w:rsidP="00A63D55">
            <w:pPr>
              <w:pStyle w:val="PLANNING"/>
              <w:rPr>
                <w:rFonts w:asciiTheme="minorHAnsi" w:hAnsiTheme="minorHAnsi" w:cstheme="minorHAnsi"/>
                <w:bCs/>
                <w:szCs w:val="22"/>
              </w:rPr>
            </w:pPr>
            <w:r w:rsidRPr="00866186">
              <w:rPr>
                <w:rFonts w:asciiTheme="minorHAnsi" w:hAnsiTheme="minorHAnsi" w:cstheme="minorHAnsi"/>
                <w:bCs/>
                <w:szCs w:val="22"/>
              </w:rPr>
              <w:t xml:space="preserve">Key Statement </w:t>
            </w:r>
            <w:r w:rsidR="00594478" w:rsidRPr="00866186">
              <w:rPr>
                <w:rFonts w:asciiTheme="minorHAnsi" w:hAnsiTheme="minorHAnsi" w:cstheme="minorHAnsi"/>
                <w:bCs/>
                <w:szCs w:val="22"/>
              </w:rPr>
              <w:t>EN2 – Landscape</w:t>
            </w:r>
          </w:p>
          <w:p w14:paraId="2C55C959" w14:textId="39B2AA19" w:rsidR="00AB5729" w:rsidRPr="00866186" w:rsidRDefault="00AB5729" w:rsidP="00A63D55">
            <w:pPr>
              <w:pStyle w:val="PLANNING"/>
              <w:rPr>
                <w:rFonts w:asciiTheme="minorHAnsi" w:hAnsiTheme="minorHAnsi" w:cstheme="minorHAnsi"/>
                <w:bCs/>
                <w:szCs w:val="22"/>
              </w:rPr>
            </w:pPr>
            <w:r>
              <w:rPr>
                <w:rFonts w:asciiTheme="minorHAnsi" w:hAnsiTheme="minorHAnsi" w:cstheme="minorHAnsi"/>
                <w:bCs/>
                <w:szCs w:val="22"/>
              </w:rPr>
              <w:t>Key Statement EN3 – Sustainable Development and Climate Change</w:t>
            </w:r>
          </w:p>
          <w:p w14:paraId="3786D5FF" w14:textId="77777777" w:rsidR="004B0D01" w:rsidRPr="00866186" w:rsidRDefault="004B0D01" w:rsidP="00A63D55">
            <w:pPr>
              <w:pStyle w:val="PLANNING"/>
              <w:rPr>
                <w:rFonts w:asciiTheme="minorHAnsi" w:hAnsiTheme="minorHAnsi" w:cstheme="minorHAnsi"/>
                <w:bCs/>
                <w:szCs w:val="22"/>
              </w:rPr>
            </w:pPr>
            <w:r w:rsidRPr="00866186">
              <w:rPr>
                <w:rFonts w:asciiTheme="minorHAnsi" w:hAnsiTheme="minorHAnsi" w:cstheme="minorHAnsi"/>
                <w:bCs/>
                <w:szCs w:val="22"/>
              </w:rPr>
              <w:t>Key Statement EN4 – Biodiversity and Geodiversity</w:t>
            </w:r>
          </w:p>
          <w:p w14:paraId="1F443157" w14:textId="77777777" w:rsidR="00594478" w:rsidRPr="00866186" w:rsidRDefault="004B0D01" w:rsidP="00A63D55">
            <w:pPr>
              <w:pStyle w:val="PLANNING"/>
              <w:rPr>
                <w:rFonts w:asciiTheme="minorHAnsi" w:hAnsiTheme="minorHAnsi" w:cstheme="minorHAnsi"/>
                <w:bCs/>
                <w:szCs w:val="22"/>
              </w:rPr>
            </w:pPr>
            <w:r w:rsidRPr="00866186">
              <w:rPr>
                <w:rFonts w:asciiTheme="minorHAnsi" w:hAnsiTheme="minorHAnsi" w:cstheme="minorHAnsi"/>
                <w:bCs/>
                <w:szCs w:val="22"/>
              </w:rPr>
              <w:t>Key Statement</w:t>
            </w:r>
            <w:r w:rsidR="00594478" w:rsidRPr="00866186">
              <w:rPr>
                <w:rFonts w:asciiTheme="minorHAnsi" w:hAnsiTheme="minorHAnsi" w:cstheme="minorHAnsi"/>
                <w:bCs/>
                <w:szCs w:val="22"/>
              </w:rPr>
              <w:t xml:space="preserve"> H1 – Housing Provision</w:t>
            </w:r>
          </w:p>
          <w:p w14:paraId="1625A06A" w14:textId="77777777" w:rsidR="00F22639" w:rsidRPr="00866186" w:rsidRDefault="00F22639" w:rsidP="00F22639">
            <w:pPr>
              <w:rPr>
                <w:rFonts w:asciiTheme="minorHAnsi" w:hAnsiTheme="minorHAnsi" w:cstheme="minorHAnsi"/>
                <w:szCs w:val="22"/>
              </w:rPr>
            </w:pPr>
            <w:r w:rsidRPr="00866186">
              <w:rPr>
                <w:rFonts w:asciiTheme="minorHAnsi" w:hAnsiTheme="minorHAnsi" w:cstheme="minorHAnsi"/>
                <w:szCs w:val="22"/>
              </w:rPr>
              <w:t>Policy DMG1 – General Considerations</w:t>
            </w:r>
          </w:p>
          <w:p w14:paraId="3C87B2C3" w14:textId="77777777" w:rsidR="00F22639" w:rsidRPr="00866186" w:rsidRDefault="00594478" w:rsidP="00F22639">
            <w:pPr>
              <w:rPr>
                <w:rFonts w:asciiTheme="minorHAnsi" w:hAnsiTheme="minorHAnsi" w:cstheme="minorHAnsi"/>
                <w:szCs w:val="22"/>
              </w:rPr>
            </w:pPr>
            <w:r w:rsidRPr="00866186">
              <w:rPr>
                <w:rFonts w:asciiTheme="minorHAnsi" w:hAnsiTheme="minorHAnsi" w:cstheme="minorHAnsi"/>
                <w:szCs w:val="22"/>
              </w:rPr>
              <w:t>Policy DMG2 – Strategic Considerations</w:t>
            </w:r>
          </w:p>
          <w:p w14:paraId="3CE1BBC8" w14:textId="163454C8" w:rsidR="00594478" w:rsidRDefault="00594478" w:rsidP="00F22639">
            <w:pPr>
              <w:rPr>
                <w:rFonts w:asciiTheme="minorHAnsi" w:hAnsiTheme="minorHAnsi" w:cstheme="minorHAnsi"/>
                <w:szCs w:val="22"/>
              </w:rPr>
            </w:pPr>
            <w:r w:rsidRPr="00866186">
              <w:rPr>
                <w:rFonts w:asciiTheme="minorHAnsi" w:hAnsiTheme="minorHAnsi" w:cstheme="minorHAnsi"/>
                <w:szCs w:val="22"/>
              </w:rPr>
              <w:t>Policy DMG3 – Transport and Mobility</w:t>
            </w:r>
          </w:p>
          <w:p w14:paraId="70A52C02" w14:textId="7D336717" w:rsidR="00AB5729" w:rsidRDefault="00AB5729" w:rsidP="00F22639">
            <w:pPr>
              <w:rPr>
                <w:rFonts w:asciiTheme="minorHAnsi" w:hAnsiTheme="minorHAnsi" w:cstheme="minorHAnsi"/>
                <w:szCs w:val="22"/>
              </w:rPr>
            </w:pPr>
            <w:r>
              <w:rPr>
                <w:rFonts w:asciiTheme="minorHAnsi" w:hAnsiTheme="minorHAnsi" w:cstheme="minorHAnsi"/>
                <w:szCs w:val="22"/>
              </w:rPr>
              <w:t>Policy DME3 – Site and Species Protection and Conservation</w:t>
            </w:r>
          </w:p>
          <w:p w14:paraId="3806CC2D" w14:textId="47F375F7" w:rsidR="00AB5729" w:rsidRPr="00866186" w:rsidRDefault="00AB5729" w:rsidP="00F22639">
            <w:pPr>
              <w:rPr>
                <w:rFonts w:asciiTheme="minorHAnsi" w:hAnsiTheme="minorHAnsi" w:cstheme="minorHAnsi"/>
                <w:szCs w:val="22"/>
              </w:rPr>
            </w:pPr>
            <w:r>
              <w:rPr>
                <w:rFonts w:asciiTheme="minorHAnsi" w:hAnsiTheme="minorHAnsi" w:cstheme="minorHAnsi"/>
                <w:szCs w:val="22"/>
              </w:rPr>
              <w:t>Policy DME6 – Water Management</w:t>
            </w:r>
          </w:p>
          <w:p w14:paraId="3AEDB26F" w14:textId="77777777" w:rsidR="0073498B" w:rsidRPr="00866186" w:rsidRDefault="0073498B" w:rsidP="00F22639">
            <w:pPr>
              <w:rPr>
                <w:rFonts w:asciiTheme="minorHAnsi" w:hAnsiTheme="minorHAnsi" w:cstheme="minorHAnsi"/>
                <w:szCs w:val="22"/>
              </w:rPr>
            </w:pPr>
            <w:r w:rsidRPr="00866186">
              <w:rPr>
                <w:rFonts w:asciiTheme="minorHAnsi" w:hAnsiTheme="minorHAnsi" w:cstheme="minorHAnsi"/>
                <w:szCs w:val="22"/>
              </w:rPr>
              <w:t>Policy DMH3 – Dwellings in the open countryside and AONB</w:t>
            </w:r>
          </w:p>
          <w:p w14:paraId="4BE330CD" w14:textId="77777777" w:rsidR="00F22639" w:rsidRPr="00866186" w:rsidRDefault="00F22639" w:rsidP="00F22639">
            <w:pPr>
              <w:rPr>
                <w:rFonts w:asciiTheme="minorHAnsi" w:hAnsiTheme="minorHAnsi" w:cstheme="minorHAnsi"/>
                <w:szCs w:val="22"/>
              </w:rPr>
            </w:pPr>
          </w:p>
          <w:p w14:paraId="14BF4254" w14:textId="67934FDC" w:rsidR="00BA1B82" w:rsidRPr="00866186" w:rsidRDefault="00F22639" w:rsidP="00F22639">
            <w:pPr>
              <w:rPr>
                <w:rFonts w:asciiTheme="minorHAnsi" w:hAnsiTheme="minorHAnsi" w:cstheme="minorHAnsi"/>
                <w:b/>
                <w:szCs w:val="22"/>
              </w:rPr>
            </w:pPr>
            <w:r w:rsidRPr="00866186">
              <w:rPr>
                <w:rFonts w:asciiTheme="minorHAnsi" w:hAnsiTheme="minorHAnsi" w:cstheme="minorHAnsi"/>
                <w:b/>
                <w:szCs w:val="22"/>
              </w:rPr>
              <w:t>National Planning Policy Framework</w:t>
            </w:r>
          </w:p>
        </w:tc>
      </w:tr>
      <w:tr w:rsidR="00EC23C7" w:rsidRPr="00866186" w14:paraId="31F23E9A" w14:textId="77777777" w:rsidTr="00C70DC7">
        <w:trPr>
          <w:jc w:val="center"/>
        </w:trPr>
        <w:tc>
          <w:tcPr>
            <w:tcW w:w="92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98D362" w14:textId="77777777" w:rsidR="00EC23C7" w:rsidRPr="00866186" w:rsidRDefault="006C2BFA" w:rsidP="006C2BFA">
            <w:pPr>
              <w:rPr>
                <w:rFonts w:asciiTheme="minorHAnsi" w:hAnsiTheme="minorHAnsi" w:cstheme="minorHAnsi"/>
                <w:b/>
                <w:szCs w:val="22"/>
              </w:rPr>
            </w:pPr>
            <w:r w:rsidRPr="00866186">
              <w:rPr>
                <w:rFonts w:asciiTheme="minorHAnsi" w:hAnsiTheme="minorHAnsi" w:cstheme="minorHAnsi"/>
                <w:b/>
                <w:bCs/>
                <w:szCs w:val="22"/>
              </w:rPr>
              <w:t>ASSESSMENT OF PROPOSED DEVELOPMENT:</w:t>
            </w:r>
          </w:p>
        </w:tc>
      </w:tr>
      <w:tr w:rsidR="00AB5729" w:rsidRPr="00866186" w14:paraId="53CEF1EA" w14:textId="77777777" w:rsidTr="00C70DC7">
        <w:trPr>
          <w:jc w:val="center"/>
        </w:trPr>
        <w:tc>
          <w:tcPr>
            <w:tcW w:w="92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F7D303C" w14:textId="77777777" w:rsidR="00AB5729" w:rsidRDefault="00AB5729" w:rsidP="00410D27">
            <w:pPr>
              <w:pStyle w:val="Header"/>
              <w:tabs>
                <w:tab w:val="clear" w:pos="4153"/>
                <w:tab w:val="clear" w:pos="8306"/>
              </w:tabs>
              <w:rPr>
                <w:rFonts w:asciiTheme="minorHAnsi" w:hAnsiTheme="minorHAnsi" w:cstheme="minorHAnsi"/>
                <w:b/>
                <w:szCs w:val="22"/>
              </w:rPr>
            </w:pPr>
            <w:r>
              <w:rPr>
                <w:rFonts w:asciiTheme="minorHAnsi" w:hAnsiTheme="minorHAnsi" w:cstheme="minorHAnsi"/>
                <w:b/>
                <w:szCs w:val="22"/>
              </w:rPr>
              <w:t>Site Description and Surrounding Area:</w:t>
            </w:r>
          </w:p>
          <w:p w14:paraId="39A039D6" w14:textId="77777777" w:rsidR="00AB5729" w:rsidRDefault="00AB5729" w:rsidP="00410D27">
            <w:pPr>
              <w:pStyle w:val="Header"/>
              <w:tabs>
                <w:tab w:val="clear" w:pos="4153"/>
                <w:tab w:val="clear" w:pos="8306"/>
              </w:tabs>
              <w:rPr>
                <w:rFonts w:asciiTheme="minorHAnsi" w:hAnsiTheme="minorHAnsi" w:cstheme="minorHAnsi"/>
                <w:bCs/>
                <w:szCs w:val="22"/>
              </w:rPr>
            </w:pPr>
            <w:r>
              <w:rPr>
                <w:rFonts w:asciiTheme="minorHAnsi" w:hAnsiTheme="minorHAnsi" w:cstheme="minorHAnsi"/>
                <w:bCs/>
                <w:szCs w:val="22"/>
              </w:rPr>
              <w:t xml:space="preserve">The application site </w:t>
            </w:r>
            <w:r w:rsidR="00544226">
              <w:rPr>
                <w:rFonts w:asciiTheme="minorHAnsi" w:hAnsiTheme="minorHAnsi" w:cstheme="minorHAnsi"/>
                <w:bCs/>
                <w:szCs w:val="22"/>
              </w:rPr>
              <w:t>lies to the south-east of the settlement of Chatburn and comprises a parcel of undeveloped pastureland contained by trees and hedgerows. The application site is in common ownership with Glencroft, an existing dwelling located towards the south-eastern extents of Pendle Avenue.</w:t>
            </w:r>
          </w:p>
          <w:p w14:paraId="35A860C2" w14:textId="77777777" w:rsidR="00544226" w:rsidRDefault="00544226" w:rsidP="00410D27">
            <w:pPr>
              <w:pStyle w:val="Header"/>
              <w:tabs>
                <w:tab w:val="clear" w:pos="4153"/>
                <w:tab w:val="clear" w:pos="8306"/>
              </w:tabs>
              <w:rPr>
                <w:rFonts w:asciiTheme="minorHAnsi" w:hAnsiTheme="minorHAnsi" w:cstheme="minorHAnsi"/>
                <w:bCs/>
                <w:szCs w:val="22"/>
              </w:rPr>
            </w:pPr>
          </w:p>
          <w:p w14:paraId="0681C993" w14:textId="380D77F6" w:rsidR="00544226" w:rsidRDefault="00544226" w:rsidP="00410D27">
            <w:pPr>
              <w:pStyle w:val="Header"/>
              <w:tabs>
                <w:tab w:val="clear" w:pos="4153"/>
                <w:tab w:val="clear" w:pos="8306"/>
              </w:tabs>
              <w:rPr>
                <w:rFonts w:asciiTheme="minorHAnsi" w:hAnsiTheme="minorHAnsi" w:cstheme="minorHAnsi"/>
                <w:bCs/>
                <w:szCs w:val="22"/>
              </w:rPr>
            </w:pPr>
            <w:r>
              <w:rPr>
                <w:rFonts w:asciiTheme="minorHAnsi" w:hAnsiTheme="minorHAnsi" w:cstheme="minorHAnsi"/>
                <w:bCs/>
                <w:szCs w:val="22"/>
              </w:rPr>
              <w:t xml:space="preserve">The site is bounded to the north by Heys Brook and lies partly within flood zones 2 and 3. </w:t>
            </w:r>
            <w:r w:rsidR="00693787">
              <w:rPr>
                <w:rFonts w:asciiTheme="minorHAnsi" w:hAnsiTheme="minorHAnsi" w:cstheme="minorHAnsi"/>
                <w:bCs/>
                <w:szCs w:val="22"/>
              </w:rPr>
              <w:t xml:space="preserve">The site falls towards the north and Heys Brook. </w:t>
            </w:r>
            <w:r>
              <w:rPr>
                <w:rFonts w:asciiTheme="minorHAnsi" w:hAnsiTheme="minorHAnsi" w:cstheme="minorHAnsi"/>
                <w:bCs/>
                <w:szCs w:val="22"/>
              </w:rPr>
              <w:t>Planning consent was granted on land to the north for the demolition and rebuild of the existing dwelling and the erection of an additional dwelling under planning application 3/2020/0112.</w:t>
            </w:r>
          </w:p>
          <w:p w14:paraId="2ADB2A92" w14:textId="77777777" w:rsidR="00544226" w:rsidRDefault="00544226" w:rsidP="00410D27">
            <w:pPr>
              <w:pStyle w:val="Header"/>
              <w:tabs>
                <w:tab w:val="clear" w:pos="4153"/>
                <w:tab w:val="clear" w:pos="8306"/>
              </w:tabs>
              <w:rPr>
                <w:rFonts w:asciiTheme="minorHAnsi" w:hAnsiTheme="minorHAnsi" w:cstheme="minorHAnsi"/>
                <w:bCs/>
                <w:szCs w:val="22"/>
              </w:rPr>
            </w:pPr>
          </w:p>
          <w:p w14:paraId="41AC057A" w14:textId="77777777" w:rsidR="00A15BB0" w:rsidRDefault="00A15BB0" w:rsidP="00410D27">
            <w:pPr>
              <w:pStyle w:val="Header"/>
              <w:tabs>
                <w:tab w:val="clear" w:pos="4153"/>
                <w:tab w:val="clear" w:pos="8306"/>
              </w:tabs>
              <w:rPr>
                <w:rFonts w:asciiTheme="minorHAnsi" w:hAnsiTheme="minorHAnsi" w:cstheme="minorHAnsi"/>
                <w:bCs/>
                <w:szCs w:val="22"/>
              </w:rPr>
            </w:pPr>
            <w:r>
              <w:rPr>
                <w:rFonts w:asciiTheme="minorHAnsi" w:hAnsiTheme="minorHAnsi" w:cstheme="minorHAnsi"/>
                <w:bCs/>
                <w:szCs w:val="22"/>
              </w:rPr>
              <w:t>Public footpath 3-11-FP12 runs directly through the site.</w:t>
            </w:r>
          </w:p>
          <w:p w14:paraId="5948AAD7" w14:textId="44E288EF" w:rsidR="00A15BB0" w:rsidRPr="00AB5729" w:rsidRDefault="00A15BB0" w:rsidP="00410D27">
            <w:pPr>
              <w:pStyle w:val="Header"/>
              <w:tabs>
                <w:tab w:val="clear" w:pos="4153"/>
                <w:tab w:val="clear" w:pos="8306"/>
              </w:tabs>
              <w:rPr>
                <w:rFonts w:asciiTheme="minorHAnsi" w:hAnsiTheme="minorHAnsi" w:cstheme="minorHAnsi"/>
                <w:bCs/>
                <w:szCs w:val="22"/>
              </w:rPr>
            </w:pPr>
          </w:p>
        </w:tc>
      </w:tr>
      <w:tr w:rsidR="006C2BFA" w:rsidRPr="00866186" w14:paraId="62C41820" w14:textId="77777777" w:rsidTr="00C70DC7">
        <w:trPr>
          <w:jc w:val="center"/>
        </w:trPr>
        <w:tc>
          <w:tcPr>
            <w:tcW w:w="92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587848" w14:textId="77777777" w:rsidR="007E0D23" w:rsidRPr="00866186" w:rsidRDefault="0029334A" w:rsidP="00410D27">
            <w:pPr>
              <w:pStyle w:val="Header"/>
              <w:tabs>
                <w:tab w:val="clear" w:pos="4153"/>
                <w:tab w:val="clear" w:pos="8306"/>
              </w:tabs>
              <w:rPr>
                <w:rFonts w:asciiTheme="minorHAnsi" w:hAnsiTheme="minorHAnsi" w:cstheme="minorHAnsi"/>
                <w:b/>
                <w:szCs w:val="22"/>
              </w:rPr>
            </w:pPr>
            <w:r w:rsidRPr="00866186">
              <w:rPr>
                <w:rFonts w:asciiTheme="minorHAnsi" w:hAnsiTheme="minorHAnsi" w:cstheme="minorHAnsi"/>
                <w:b/>
                <w:szCs w:val="22"/>
              </w:rPr>
              <w:t>Proposed Development for which consent is sought:</w:t>
            </w:r>
          </w:p>
          <w:p w14:paraId="454FA9F7" w14:textId="77777777" w:rsidR="0053656A" w:rsidRDefault="00544226" w:rsidP="0053656A">
            <w:pPr>
              <w:pStyle w:val="Header"/>
              <w:tabs>
                <w:tab w:val="clear" w:pos="4153"/>
                <w:tab w:val="clear" w:pos="8306"/>
              </w:tabs>
              <w:jc w:val="both"/>
              <w:rPr>
                <w:rFonts w:asciiTheme="minorHAnsi" w:hAnsiTheme="minorHAnsi" w:cstheme="minorHAnsi"/>
                <w:szCs w:val="22"/>
              </w:rPr>
            </w:pPr>
            <w:r>
              <w:rPr>
                <w:rFonts w:asciiTheme="minorHAnsi" w:hAnsiTheme="minorHAnsi" w:cstheme="minorHAnsi"/>
                <w:szCs w:val="22"/>
              </w:rPr>
              <w:t>Outline planning consent is sought for the erection of up to two residential dwellings</w:t>
            </w:r>
            <w:r w:rsidR="008E2749">
              <w:rPr>
                <w:rFonts w:asciiTheme="minorHAnsi" w:hAnsiTheme="minorHAnsi" w:cstheme="minorHAnsi"/>
                <w:szCs w:val="22"/>
              </w:rPr>
              <w:t>. Matters of access and layout are applied for at this stage with all other matters reserved.</w:t>
            </w:r>
          </w:p>
          <w:p w14:paraId="36F6DA59" w14:textId="77777777" w:rsidR="008E2749" w:rsidRDefault="008E2749" w:rsidP="0053656A">
            <w:pPr>
              <w:pStyle w:val="Header"/>
              <w:tabs>
                <w:tab w:val="clear" w:pos="4153"/>
                <w:tab w:val="clear" w:pos="8306"/>
              </w:tabs>
              <w:jc w:val="both"/>
              <w:rPr>
                <w:rFonts w:asciiTheme="minorHAnsi" w:hAnsiTheme="minorHAnsi" w:cstheme="minorHAnsi"/>
                <w:szCs w:val="22"/>
              </w:rPr>
            </w:pPr>
          </w:p>
          <w:p w14:paraId="05DCC26E" w14:textId="77777777" w:rsidR="008E2749" w:rsidRDefault="008E2749" w:rsidP="0053656A">
            <w:pPr>
              <w:pStyle w:val="Header"/>
              <w:tabs>
                <w:tab w:val="clear" w:pos="4153"/>
                <w:tab w:val="clear" w:pos="8306"/>
              </w:tabs>
              <w:jc w:val="both"/>
              <w:rPr>
                <w:rFonts w:asciiTheme="minorHAnsi" w:hAnsiTheme="minorHAnsi" w:cstheme="minorHAnsi"/>
                <w:szCs w:val="22"/>
              </w:rPr>
            </w:pPr>
            <w:r>
              <w:rPr>
                <w:rFonts w:asciiTheme="minorHAnsi" w:hAnsiTheme="minorHAnsi" w:cstheme="minorHAnsi"/>
                <w:szCs w:val="22"/>
              </w:rPr>
              <w:t>The submitted Site Plan indicates two dwellings with associated parking and garden areas with access taken through the previously approved development to the north. The access road to the site would be required to cross Heys Brook via a suspended bridge.</w:t>
            </w:r>
          </w:p>
          <w:p w14:paraId="1A4EF971" w14:textId="54957CAC" w:rsidR="008E2749" w:rsidRPr="00866186" w:rsidRDefault="008E2749" w:rsidP="0053656A">
            <w:pPr>
              <w:pStyle w:val="Header"/>
              <w:tabs>
                <w:tab w:val="clear" w:pos="4153"/>
                <w:tab w:val="clear" w:pos="8306"/>
              </w:tabs>
              <w:jc w:val="both"/>
              <w:rPr>
                <w:rFonts w:asciiTheme="minorHAnsi" w:hAnsiTheme="minorHAnsi" w:cstheme="minorHAnsi"/>
                <w:szCs w:val="22"/>
              </w:rPr>
            </w:pPr>
          </w:p>
        </w:tc>
      </w:tr>
      <w:tr w:rsidR="00EA09F9" w:rsidRPr="00866186" w14:paraId="2917869F" w14:textId="77777777" w:rsidTr="00C70DC7">
        <w:trPr>
          <w:jc w:val="center"/>
        </w:trPr>
        <w:tc>
          <w:tcPr>
            <w:tcW w:w="92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498FDE" w14:textId="0DEB178C" w:rsidR="0074247B" w:rsidRDefault="007E620A" w:rsidP="00EB3FEC">
            <w:pPr>
              <w:contextualSpacing/>
              <w:jc w:val="both"/>
              <w:rPr>
                <w:rFonts w:asciiTheme="minorHAnsi" w:hAnsiTheme="minorHAnsi" w:cstheme="minorHAnsi"/>
                <w:b/>
                <w:szCs w:val="22"/>
              </w:rPr>
            </w:pPr>
            <w:r w:rsidRPr="00AF0D4F">
              <w:rPr>
                <w:rFonts w:asciiTheme="minorHAnsi" w:hAnsiTheme="minorHAnsi" w:cstheme="minorHAnsi"/>
                <w:b/>
                <w:szCs w:val="22"/>
              </w:rPr>
              <w:t>Principle of Developmen</w:t>
            </w:r>
            <w:r w:rsidR="00AF0D4F" w:rsidRPr="00AF0D4F">
              <w:rPr>
                <w:rFonts w:asciiTheme="minorHAnsi" w:hAnsiTheme="minorHAnsi" w:cstheme="minorHAnsi"/>
                <w:b/>
                <w:szCs w:val="22"/>
              </w:rPr>
              <w:t>t:</w:t>
            </w:r>
          </w:p>
          <w:p w14:paraId="33033B87" w14:textId="77777777" w:rsidR="00AF0D4F" w:rsidRPr="00AF0D4F" w:rsidRDefault="00AF0D4F" w:rsidP="00AF0D4F">
            <w:pPr>
              <w:contextualSpacing/>
              <w:jc w:val="both"/>
              <w:rPr>
                <w:rFonts w:asciiTheme="minorHAnsi" w:hAnsiTheme="minorHAnsi" w:cstheme="minorHAnsi"/>
                <w:bCs/>
                <w:szCs w:val="22"/>
              </w:rPr>
            </w:pPr>
            <w:r w:rsidRPr="00AF0D4F">
              <w:rPr>
                <w:rFonts w:asciiTheme="minorHAnsi" w:hAnsiTheme="minorHAnsi" w:cstheme="minorHAnsi"/>
                <w:bCs/>
                <w:szCs w:val="22"/>
              </w:rPr>
              <w:t>The latest published position in relation to housing land supply is contained in the Council’s Five-Year Supply Statement (Published May 2020) which demonstrates a deliverable 13.9-year housing land supply from the base date of 31st March 2020 against a Local Housing Need Requirement figure of 143 dwellings per year calculated using the ‘Standard Method’ (as per para. 3. of PPG Guidance ‘Housing supply and delivery). Therefore, the Council is able to comfortably demonstrate a deliverable 5-year supply of housing land. The relevant policies for the supply of housing contained in the adopted Core Strategy can be afforded full weight and the presumption in favour of sustainable development is not engaged.</w:t>
            </w:r>
          </w:p>
          <w:p w14:paraId="1E0F817D" w14:textId="77777777" w:rsidR="00AF0D4F" w:rsidRPr="00AF0D4F" w:rsidRDefault="00AF0D4F" w:rsidP="00AF0D4F">
            <w:pPr>
              <w:contextualSpacing/>
              <w:jc w:val="both"/>
              <w:rPr>
                <w:rFonts w:asciiTheme="minorHAnsi" w:hAnsiTheme="minorHAnsi" w:cstheme="minorHAnsi"/>
                <w:bCs/>
                <w:szCs w:val="22"/>
              </w:rPr>
            </w:pPr>
          </w:p>
          <w:p w14:paraId="3233FC66" w14:textId="381D9673" w:rsidR="00AF0D4F" w:rsidRPr="00AF0D4F" w:rsidRDefault="00AF0D4F" w:rsidP="00AF0D4F">
            <w:pPr>
              <w:contextualSpacing/>
              <w:jc w:val="both"/>
              <w:rPr>
                <w:rFonts w:asciiTheme="minorHAnsi" w:hAnsiTheme="minorHAnsi" w:cstheme="minorHAnsi"/>
                <w:bCs/>
                <w:szCs w:val="22"/>
              </w:rPr>
            </w:pPr>
            <w:r w:rsidRPr="00AF0D4F">
              <w:rPr>
                <w:rFonts w:asciiTheme="minorHAnsi" w:hAnsiTheme="minorHAnsi" w:cstheme="minorHAnsi"/>
                <w:bCs/>
                <w:szCs w:val="22"/>
              </w:rPr>
              <w:lastRenderedPageBreak/>
              <w:t>Taken from the Housing Land Availability Schedule (HLAS) March 2020, housing completion rates in the borough have significantly exceeded the Core Strategy housing requirement figure of 280 dwellings per year since 2014</w:t>
            </w:r>
            <w:r>
              <w:rPr>
                <w:rFonts w:asciiTheme="minorHAnsi" w:hAnsiTheme="minorHAnsi" w:cstheme="minorHAnsi"/>
                <w:bCs/>
                <w:szCs w:val="22"/>
              </w:rPr>
              <w:t xml:space="preserve">. </w:t>
            </w:r>
            <w:r w:rsidRPr="00AF0D4F">
              <w:rPr>
                <w:rFonts w:asciiTheme="minorHAnsi" w:hAnsiTheme="minorHAnsi" w:cstheme="minorHAnsi"/>
                <w:bCs/>
                <w:szCs w:val="22"/>
              </w:rPr>
              <w:t>The Government’s objective to significantly boost the supply of homes is being met in the Ribble Valley.</w:t>
            </w:r>
          </w:p>
          <w:p w14:paraId="0360120F" w14:textId="77777777" w:rsidR="00AF0D4F" w:rsidRPr="00AF0D4F" w:rsidRDefault="00AF0D4F" w:rsidP="00AF0D4F">
            <w:pPr>
              <w:contextualSpacing/>
              <w:jc w:val="both"/>
              <w:rPr>
                <w:rFonts w:asciiTheme="minorHAnsi" w:hAnsiTheme="minorHAnsi" w:cstheme="minorHAnsi"/>
                <w:bCs/>
                <w:szCs w:val="22"/>
              </w:rPr>
            </w:pPr>
          </w:p>
          <w:p w14:paraId="17A17523" w14:textId="559D093B" w:rsidR="00AF0D4F" w:rsidRPr="00AF0D4F" w:rsidRDefault="00AF0D4F" w:rsidP="00AF0D4F">
            <w:pPr>
              <w:contextualSpacing/>
              <w:jc w:val="both"/>
              <w:rPr>
                <w:rFonts w:asciiTheme="minorHAnsi" w:hAnsiTheme="minorHAnsi" w:cstheme="minorHAnsi"/>
                <w:bCs/>
                <w:szCs w:val="22"/>
              </w:rPr>
            </w:pPr>
            <w:r w:rsidRPr="00AF0D4F">
              <w:rPr>
                <w:rFonts w:asciiTheme="minorHAnsi" w:hAnsiTheme="minorHAnsi" w:cstheme="minorHAnsi"/>
                <w:bCs/>
                <w:szCs w:val="22"/>
              </w:rPr>
              <w:t xml:space="preserve">Key Statement DS1 sets out the Borough’s housing strategy and provides the overarching vision aimed at achieving a sustainable pattern of development. The majority of new housing development will be concentrated within the strategic site at Standen and the Borough’s principal settlements of Clitheroe, Whalley and Longridge. In addition, development will be focused towards the Tier 1 Villages, which are the more sustainable of the 32 defined settlements. </w:t>
            </w:r>
            <w:r>
              <w:rPr>
                <w:rFonts w:asciiTheme="minorHAnsi" w:hAnsiTheme="minorHAnsi" w:cstheme="minorHAnsi"/>
                <w:bCs/>
                <w:szCs w:val="22"/>
              </w:rPr>
              <w:t>Chatburn</w:t>
            </w:r>
            <w:r w:rsidRPr="00AF0D4F">
              <w:rPr>
                <w:rFonts w:asciiTheme="minorHAnsi" w:hAnsiTheme="minorHAnsi" w:cstheme="minorHAnsi"/>
                <w:bCs/>
                <w:szCs w:val="22"/>
              </w:rPr>
              <w:t xml:space="preserve"> is identified as a Tier 1 Village by Key Statement DS1. The appeal site lies in an area defined as open countryside, outside of the </w:t>
            </w:r>
            <w:r>
              <w:rPr>
                <w:rFonts w:asciiTheme="minorHAnsi" w:hAnsiTheme="minorHAnsi" w:cstheme="minorHAnsi"/>
                <w:bCs/>
                <w:szCs w:val="22"/>
              </w:rPr>
              <w:t>Chatburn</w:t>
            </w:r>
            <w:r w:rsidRPr="00AF0D4F">
              <w:rPr>
                <w:rFonts w:asciiTheme="minorHAnsi" w:hAnsiTheme="minorHAnsi" w:cstheme="minorHAnsi"/>
                <w:bCs/>
                <w:szCs w:val="22"/>
              </w:rPr>
              <w:t xml:space="preserve"> settlement boundary</w:t>
            </w:r>
            <w:r w:rsidR="003614D5">
              <w:rPr>
                <w:rFonts w:asciiTheme="minorHAnsi" w:hAnsiTheme="minorHAnsi" w:cstheme="minorHAnsi"/>
                <w:bCs/>
                <w:szCs w:val="22"/>
              </w:rPr>
              <w:t xml:space="preserve"> which following the south side of Heys Brook.</w:t>
            </w:r>
          </w:p>
          <w:p w14:paraId="28176F39" w14:textId="77777777" w:rsidR="00AF0D4F" w:rsidRPr="00AF0D4F" w:rsidRDefault="00AF0D4F" w:rsidP="00AF0D4F">
            <w:pPr>
              <w:contextualSpacing/>
              <w:jc w:val="both"/>
              <w:rPr>
                <w:rFonts w:asciiTheme="minorHAnsi" w:hAnsiTheme="minorHAnsi" w:cstheme="minorHAnsi"/>
                <w:bCs/>
                <w:szCs w:val="22"/>
              </w:rPr>
            </w:pPr>
          </w:p>
          <w:p w14:paraId="26129754" w14:textId="504719BB" w:rsidR="00AF0D4F" w:rsidRPr="00AF0D4F" w:rsidRDefault="00AF0D4F" w:rsidP="00AF0D4F">
            <w:pPr>
              <w:contextualSpacing/>
              <w:jc w:val="both"/>
              <w:rPr>
                <w:rFonts w:asciiTheme="minorHAnsi" w:hAnsiTheme="minorHAnsi" w:cstheme="minorHAnsi"/>
                <w:bCs/>
                <w:szCs w:val="22"/>
              </w:rPr>
            </w:pPr>
            <w:r w:rsidRPr="00AF0D4F">
              <w:rPr>
                <w:rFonts w:asciiTheme="minorHAnsi" w:hAnsiTheme="minorHAnsi" w:cstheme="minorHAnsi"/>
                <w:bCs/>
                <w:szCs w:val="22"/>
              </w:rPr>
              <w:t>Policy DMG2 (1) states ‘development proposals in the principal settlements of Clitheroe, Longridge and Whalley and the Tier 1 Villages should consolidate, expand or round-off development so that it is closely related to the main built-up areas, ensuring this is appropriate to the scale of, and in keeping with, the existing settlement.’ The appeal proposal does not comply with the above part of Policy DMG2 (1) as the appeal site is not located</w:t>
            </w:r>
            <w:r w:rsidRPr="003614D5">
              <w:rPr>
                <w:rFonts w:asciiTheme="minorHAnsi" w:hAnsiTheme="minorHAnsi" w:cstheme="minorHAnsi"/>
                <w:bCs/>
                <w:szCs w:val="22"/>
              </w:rPr>
              <w:t xml:space="preserve"> </w:t>
            </w:r>
            <w:r w:rsidRPr="003614D5">
              <w:rPr>
                <w:rFonts w:asciiTheme="minorHAnsi" w:hAnsiTheme="minorHAnsi" w:cstheme="minorHAnsi"/>
                <w:bCs/>
                <w:szCs w:val="22"/>
                <w:u w:val="single"/>
              </w:rPr>
              <w:t>in</w:t>
            </w:r>
            <w:r w:rsidRPr="00AF0D4F">
              <w:rPr>
                <w:rFonts w:asciiTheme="minorHAnsi" w:hAnsiTheme="minorHAnsi" w:cstheme="minorHAnsi"/>
                <w:bCs/>
                <w:szCs w:val="22"/>
              </w:rPr>
              <w:t xml:space="preserve"> the principal settlements of Clitheroe, Longridge and Whalley or a Tier 1 Village.</w:t>
            </w:r>
          </w:p>
          <w:p w14:paraId="32443F24" w14:textId="77777777" w:rsidR="00AF0D4F" w:rsidRPr="00AF0D4F" w:rsidRDefault="00AF0D4F" w:rsidP="00AF0D4F">
            <w:pPr>
              <w:contextualSpacing/>
              <w:jc w:val="both"/>
              <w:rPr>
                <w:rFonts w:asciiTheme="minorHAnsi" w:hAnsiTheme="minorHAnsi" w:cstheme="minorHAnsi"/>
                <w:bCs/>
                <w:szCs w:val="22"/>
              </w:rPr>
            </w:pPr>
          </w:p>
          <w:p w14:paraId="7F3728CF" w14:textId="299290B0" w:rsidR="00AF0D4F" w:rsidRPr="00AF0D4F" w:rsidRDefault="00AF0D4F" w:rsidP="00AF0D4F">
            <w:pPr>
              <w:contextualSpacing/>
              <w:jc w:val="both"/>
              <w:rPr>
                <w:rFonts w:asciiTheme="minorHAnsi" w:hAnsiTheme="minorHAnsi" w:cstheme="minorHAnsi"/>
                <w:bCs/>
                <w:szCs w:val="22"/>
              </w:rPr>
            </w:pPr>
            <w:r w:rsidRPr="00AF0D4F">
              <w:rPr>
                <w:rFonts w:asciiTheme="minorHAnsi" w:hAnsiTheme="minorHAnsi" w:cstheme="minorHAnsi"/>
                <w:bCs/>
                <w:szCs w:val="22"/>
              </w:rPr>
              <w:t>The second part of Policy DMG2 therefore applies to the appeal site given its location in the open countryside and outside of defined settlements areas. The provision of three new open market residential dwellings in this location fails to meet any of the considerations listed in Policy DMG2 (2). The development proposal also fails to comply with Policy DMH3 which limits new residential development in the open countryside and AONB to residential development essential for the purposes of agriculture or which meets an identified local need (as defined in the Core Strategy Glossary) none of which apply in this case.</w:t>
            </w:r>
          </w:p>
          <w:p w14:paraId="02257A26" w14:textId="1E0D9D04" w:rsidR="00AF0D4F" w:rsidRDefault="00AF0D4F" w:rsidP="00AF0D4F">
            <w:pPr>
              <w:contextualSpacing/>
              <w:jc w:val="both"/>
              <w:rPr>
                <w:rFonts w:asciiTheme="minorHAnsi" w:hAnsiTheme="minorHAnsi" w:cstheme="minorHAnsi"/>
                <w:bCs/>
                <w:szCs w:val="22"/>
              </w:rPr>
            </w:pPr>
          </w:p>
          <w:p w14:paraId="2F3A5822" w14:textId="4841669B" w:rsidR="005D1788" w:rsidRPr="005D1788" w:rsidRDefault="003614D5" w:rsidP="005D1788">
            <w:pPr>
              <w:contextualSpacing/>
              <w:jc w:val="both"/>
              <w:rPr>
                <w:rFonts w:asciiTheme="minorHAnsi" w:hAnsiTheme="minorHAnsi" w:cstheme="minorHAnsi"/>
                <w:bCs/>
                <w:szCs w:val="22"/>
              </w:rPr>
            </w:pPr>
            <w:r>
              <w:rPr>
                <w:rFonts w:asciiTheme="minorHAnsi" w:hAnsiTheme="minorHAnsi" w:cstheme="minorHAnsi"/>
                <w:bCs/>
                <w:szCs w:val="22"/>
              </w:rPr>
              <w:t>Reference to appeal decision APP/T2350/W/19/3223816</w:t>
            </w:r>
            <w:r w:rsidR="00063B3D">
              <w:rPr>
                <w:rFonts w:asciiTheme="minorHAnsi" w:hAnsiTheme="minorHAnsi" w:cstheme="minorHAnsi"/>
                <w:bCs/>
                <w:szCs w:val="22"/>
              </w:rPr>
              <w:t xml:space="preserve"> Land to the South of Chatburn Old Road</w:t>
            </w:r>
            <w:r>
              <w:rPr>
                <w:rFonts w:asciiTheme="minorHAnsi" w:hAnsiTheme="minorHAnsi" w:cstheme="minorHAnsi"/>
                <w:bCs/>
                <w:szCs w:val="22"/>
              </w:rPr>
              <w:t xml:space="preserve"> is noted</w:t>
            </w:r>
            <w:r w:rsidR="004A75AF">
              <w:rPr>
                <w:rFonts w:asciiTheme="minorHAnsi" w:hAnsiTheme="minorHAnsi" w:cstheme="minorHAnsi"/>
                <w:bCs/>
                <w:szCs w:val="22"/>
              </w:rPr>
              <w:t xml:space="preserve"> in support of the application</w:t>
            </w:r>
            <w:r w:rsidR="00063B3D">
              <w:rPr>
                <w:rFonts w:asciiTheme="minorHAnsi" w:hAnsiTheme="minorHAnsi" w:cstheme="minorHAnsi"/>
                <w:bCs/>
                <w:szCs w:val="22"/>
              </w:rPr>
              <w:t>.</w:t>
            </w:r>
            <w:r>
              <w:rPr>
                <w:rFonts w:asciiTheme="minorHAnsi" w:hAnsiTheme="minorHAnsi" w:cstheme="minorHAnsi"/>
                <w:bCs/>
                <w:szCs w:val="22"/>
              </w:rPr>
              <w:t xml:space="preserve"> </w:t>
            </w:r>
            <w:r w:rsidR="00063B3D">
              <w:rPr>
                <w:rFonts w:asciiTheme="minorHAnsi" w:hAnsiTheme="minorHAnsi" w:cstheme="minorHAnsi"/>
                <w:bCs/>
                <w:szCs w:val="22"/>
              </w:rPr>
              <w:t>However</w:t>
            </w:r>
            <w:r w:rsidR="004A75AF">
              <w:rPr>
                <w:rFonts w:asciiTheme="minorHAnsi" w:hAnsiTheme="minorHAnsi" w:cstheme="minorHAnsi"/>
                <w:bCs/>
                <w:szCs w:val="22"/>
              </w:rPr>
              <w:t>,</w:t>
            </w:r>
            <w:r>
              <w:rPr>
                <w:rFonts w:asciiTheme="minorHAnsi" w:hAnsiTheme="minorHAnsi" w:cstheme="minorHAnsi"/>
                <w:bCs/>
                <w:szCs w:val="22"/>
              </w:rPr>
              <w:t xml:space="preserve"> </w:t>
            </w:r>
            <w:r w:rsidR="00063B3D">
              <w:rPr>
                <w:rFonts w:asciiTheme="minorHAnsi" w:hAnsiTheme="minorHAnsi" w:cstheme="minorHAnsi"/>
                <w:bCs/>
                <w:szCs w:val="22"/>
              </w:rPr>
              <w:t xml:space="preserve">more </w:t>
            </w:r>
            <w:r>
              <w:rPr>
                <w:rFonts w:asciiTheme="minorHAnsi" w:hAnsiTheme="minorHAnsi" w:cstheme="minorHAnsi"/>
                <w:bCs/>
                <w:szCs w:val="22"/>
              </w:rPr>
              <w:t xml:space="preserve">recent appeal decisions </w:t>
            </w:r>
            <w:r w:rsidR="00063B3D">
              <w:rPr>
                <w:rFonts w:asciiTheme="minorHAnsi" w:hAnsiTheme="minorHAnsi" w:cstheme="minorHAnsi"/>
                <w:bCs/>
                <w:szCs w:val="22"/>
              </w:rPr>
              <w:t>at Land to the South of Chapel</w:t>
            </w:r>
            <w:r w:rsidR="004A75AF">
              <w:rPr>
                <w:rFonts w:asciiTheme="minorHAnsi" w:hAnsiTheme="minorHAnsi" w:cstheme="minorHAnsi"/>
                <w:bCs/>
                <w:szCs w:val="22"/>
              </w:rPr>
              <w:t xml:space="preserve"> Hill</w:t>
            </w:r>
            <w:r w:rsidR="00063B3D">
              <w:rPr>
                <w:rFonts w:asciiTheme="minorHAnsi" w:hAnsiTheme="minorHAnsi" w:cstheme="minorHAnsi"/>
                <w:bCs/>
                <w:szCs w:val="22"/>
              </w:rPr>
              <w:t>, Longridge (</w:t>
            </w:r>
            <w:r w:rsidR="00063B3D" w:rsidRPr="00063B3D">
              <w:rPr>
                <w:rFonts w:asciiTheme="minorHAnsi" w:hAnsiTheme="minorHAnsi" w:cstheme="minorHAnsi"/>
                <w:bCs/>
                <w:szCs w:val="22"/>
              </w:rPr>
              <w:t>APP/T2350/W/20/3251360</w:t>
            </w:r>
            <w:r w:rsidR="00063B3D">
              <w:rPr>
                <w:rFonts w:asciiTheme="minorHAnsi" w:hAnsiTheme="minorHAnsi" w:cstheme="minorHAnsi"/>
                <w:bCs/>
                <w:szCs w:val="22"/>
              </w:rPr>
              <w:t>) and Land at Wiswell Lane, Whalley</w:t>
            </w:r>
            <w:r w:rsidR="00063B3D">
              <w:t xml:space="preserve"> (</w:t>
            </w:r>
            <w:r w:rsidR="00063B3D" w:rsidRPr="00063B3D">
              <w:rPr>
                <w:rFonts w:asciiTheme="minorHAnsi" w:hAnsiTheme="minorHAnsi" w:cstheme="minorHAnsi"/>
                <w:bCs/>
                <w:szCs w:val="22"/>
              </w:rPr>
              <w:t>APP/T2350/W/20/3248156</w:t>
            </w:r>
            <w:r w:rsidR="00063B3D">
              <w:rPr>
                <w:rFonts w:asciiTheme="minorHAnsi" w:hAnsiTheme="minorHAnsi" w:cstheme="minorHAnsi"/>
                <w:bCs/>
                <w:szCs w:val="22"/>
              </w:rPr>
              <w:t xml:space="preserve">) </w:t>
            </w:r>
            <w:r w:rsidR="004A75AF">
              <w:rPr>
                <w:rFonts w:asciiTheme="minorHAnsi" w:hAnsiTheme="minorHAnsi" w:cstheme="minorHAnsi"/>
                <w:bCs/>
                <w:szCs w:val="22"/>
              </w:rPr>
              <w:t xml:space="preserve">have </w:t>
            </w:r>
            <w:r w:rsidR="00063B3D">
              <w:rPr>
                <w:rFonts w:asciiTheme="minorHAnsi" w:hAnsiTheme="minorHAnsi" w:cstheme="minorHAnsi"/>
                <w:bCs/>
                <w:szCs w:val="22"/>
              </w:rPr>
              <w:t>clarif</w:t>
            </w:r>
            <w:r w:rsidR="004A75AF">
              <w:rPr>
                <w:rFonts w:asciiTheme="minorHAnsi" w:hAnsiTheme="minorHAnsi" w:cstheme="minorHAnsi"/>
                <w:bCs/>
                <w:szCs w:val="22"/>
              </w:rPr>
              <w:t>ied</w:t>
            </w:r>
            <w:r w:rsidR="00063B3D">
              <w:rPr>
                <w:rFonts w:asciiTheme="minorHAnsi" w:hAnsiTheme="minorHAnsi" w:cstheme="minorHAnsi"/>
                <w:bCs/>
                <w:szCs w:val="22"/>
              </w:rPr>
              <w:t xml:space="preserve"> the</w:t>
            </w:r>
            <w:r w:rsidR="004A75AF">
              <w:rPr>
                <w:rFonts w:asciiTheme="minorHAnsi" w:hAnsiTheme="minorHAnsi" w:cstheme="minorHAnsi"/>
                <w:bCs/>
                <w:szCs w:val="22"/>
              </w:rPr>
              <w:t xml:space="preserve"> correct</w:t>
            </w:r>
            <w:r w:rsidR="00063B3D">
              <w:rPr>
                <w:rFonts w:asciiTheme="minorHAnsi" w:hAnsiTheme="minorHAnsi" w:cstheme="minorHAnsi"/>
                <w:bCs/>
                <w:szCs w:val="22"/>
              </w:rPr>
              <w:t xml:space="preserve"> interpretation of Core Strategy policies DMG2 and DMH3. </w:t>
            </w:r>
            <w:r w:rsidR="005D1788">
              <w:rPr>
                <w:rFonts w:asciiTheme="minorHAnsi" w:hAnsiTheme="minorHAnsi" w:cstheme="minorHAnsi"/>
                <w:bCs/>
                <w:szCs w:val="22"/>
              </w:rPr>
              <w:t>T</w:t>
            </w:r>
            <w:r w:rsidR="005D1788" w:rsidRPr="00653B79">
              <w:rPr>
                <w:rFonts w:asciiTheme="minorHAnsi" w:hAnsiTheme="minorHAnsi" w:cstheme="minorHAnsi"/>
              </w:rPr>
              <w:t>he first part of Policy DMG2, DMG2 (1)</w:t>
            </w:r>
            <w:r w:rsidR="005D1788">
              <w:rPr>
                <w:rFonts w:asciiTheme="minorHAnsi" w:hAnsiTheme="minorHAnsi" w:cstheme="minorHAnsi"/>
              </w:rPr>
              <w:t>,</w:t>
            </w:r>
            <w:r w:rsidR="005D1788" w:rsidRPr="00653B79">
              <w:rPr>
                <w:rFonts w:asciiTheme="minorHAnsi" w:hAnsiTheme="minorHAnsi" w:cstheme="minorHAnsi"/>
              </w:rPr>
              <w:t xml:space="preserve"> is only engaged where a proposal is </w:t>
            </w:r>
            <w:r w:rsidR="005D1788" w:rsidRPr="00653B79">
              <w:rPr>
                <w:rFonts w:asciiTheme="minorHAnsi" w:hAnsiTheme="minorHAnsi" w:cstheme="minorHAnsi"/>
                <w:u w:val="single"/>
              </w:rPr>
              <w:t>in</w:t>
            </w:r>
            <w:r w:rsidR="005D1788" w:rsidRPr="00653B79">
              <w:rPr>
                <w:rFonts w:asciiTheme="minorHAnsi" w:hAnsiTheme="minorHAnsi" w:cstheme="minorHAnsi"/>
              </w:rPr>
              <w:t xml:space="preserve"> a Principal or tier 1 settlement.</w:t>
            </w:r>
            <w:r w:rsidR="005D1788" w:rsidRPr="00653B79">
              <w:rPr>
                <w:rFonts w:asciiTheme="minorHAnsi" w:hAnsiTheme="minorHAnsi" w:cstheme="minorHAnsi"/>
                <w:bCs/>
              </w:rPr>
              <w:t xml:space="preserve"> The first part of Policy DMG2 reads;</w:t>
            </w:r>
          </w:p>
          <w:p w14:paraId="6C53D97B" w14:textId="77777777" w:rsidR="005D1788" w:rsidRPr="00653B79" w:rsidRDefault="005D1788" w:rsidP="005D1788">
            <w:pPr>
              <w:rPr>
                <w:rFonts w:asciiTheme="minorHAnsi" w:hAnsiTheme="minorHAnsi" w:cstheme="minorHAnsi"/>
                <w:bCs/>
              </w:rPr>
            </w:pPr>
          </w:p>
          <w:p w14:paraId="67CB284F" w14:textId="77777777" w:rsidR="005D1788" w:rsidRPr="00653B79" w:rsidRDefault="005D1788" w:rsidP="005D1788">
            <w:pPr>
              <w:rPr>
                <w:rFonts w:asciiTheme="minorHAnsi" w:hAnsiTheme="minorHAnsi" w:cstheme="minorHAnsi"/>
                <w:i/>
              </w:rPr>
            </w:pPr>
            <w:r w:rsidRPr="00653B79">
              <w:rPr>
                <w:rFonts w:asciiTheme="minorHAnsi" w:hAnsiTheme="minorHAnsi" w:cstheme="minorHAnsi"/>
                <w:i/>
              </w:rPr>
              <w:t xml:space="preserve">‘Development proposals </w:t>
            </w:r>
            <w:r w:rsidRPr="00653B79">
              <w:rPr>
                <w:rFonts w:asciiTheme="minorHAnsi" w:hAnsiTheme="minorHAnsi" w:cstheme="minorHAnsi"/>
                <w:i/>
                <w:u w:val="single"/>
              </w:rPr>
              <w:t>in</w:t>
            </w:r>
            <w:r w:rsidRPr="00653B79">
              <w:rPr>
                <w:rFonts w:asciiTheme="minorHAnsi" w:hAnsiTheme="minorHAnsi" w:cstheme="minorHAnsi"/>
                <w:i/>
              </w:rPr>
              <w:t xml:space="preserve"> the Principal settlements of Clitheroe, Longridge and Whalley and the tier 1 villages should consolidate, expand or round-off development so that it is closely related to the main built up areas, ensuring this is appropriate to the scale of, and in keeping with, the existing settlement.’</w:t>
            </w:r>
          </w:p>
          <w:p w14:paraId="77D65CCD" w14:textId="77777777" w:rsidR="005D1788" w:rsidRPr="00653B79" w:rsidRDefault="005D1788" w:rsidP="005D1788">
            <w:pPr>
              <w:rPr>
                <w:rFonts w:asciiTheme="minorHAnsi" w:hAnsiTheme="minorHAnsi" w:cstheme="minorHAnsi"/>
                <w:bCs/>
              </w:rPr>
            </w:pPr>
          </w:p>
          <w:p w14:paraId="75B31935" w14:textId="716924A1" w:rsidR="005D1788" w:rsidRDefault="005D1788" w:rsidP="005D1788">
            <w:pPr>
              <w:rPr>
                <w:rFonts w:asciiTheme="minorHAnsi" w:hAnsiTheme="minorHAnsi" w:cstheme="minorHAnsi"/>
                <w:bCs/>
              </w:rPr>
            </w:pPr>
            <w:r w:rsidRPr="00653B79">
              <w:rPr>
                <w:rFonts w:asciiTheme="minorHAnsi" w:hAnsiTheme="minorHAnsi" w:cstheme="minorHAnsi"/>
                <w:bCs/>
              </w:rPr>
              <w:t>Of particular relevance are paragraphs 10-1</w:t>
            </w:r>
            <w:r>
              <w:rPr>
                <w:rFonts w:asciiTheme="minorHAnsi" w:hAnsiTheme="minorHAnsi" w:cstheme="minorHAnsi"/>
                <w:bCs/>
              </w:rPr>
              <w:t>1</w:t>
            </w:r>
            <w:r w:rsidRPr="00653B79">
              <w:rPr>
                <w:rFonts w:asciiTheme="minorHAnsi" w:hAnsiTheme="minorHAnsi" w:cstheme="minorHAnsi"/>
                <w:bCs/>
              </w:rPr>
              <w:t xml:space="preserve"> </w:t>
            </w:r>
            <w:r>
              <w:rPr>
                <w:rFonts w:asciiTheme="minorHAnsi" w:hAnsiTheme="minorHAnsi" w:cstheme="minorHAnsi"/>
                <w:bCs/>
              </w:rPr>
              <w:t xml:space="preserve">(below) </w:t>
            </w:r>
            <w:r w:rsidRPr="00653B79">
              <w:rPr>
                <w:rFonts w:asciiTheme="minorHAnsi" w:hAnsiTheme="minorHAnsi" w:cstheme="minorHAnsi"/>
                <w:bCs/>
              </w:rPr>
              <w:t xml:space="preserve">of the </w:t>
            </w:r>
            <w:r>
              <w:rPr>
                <w:rFonts w:asciiTheme="minorHAnsi" w:hAnsiTheme="minorHAnsi" w:cstheme="minorHAnsi"/>
                <w:bCs/>
              </w:rPr>
              <w:t>Wiswell Lane appeal decision</w:t>
            </w:r>
            <w:r w:rsidRPr="00653B79">
              <w:rPr>
                <w:rFonts w:asciiTheme="minorHAnsi" w:hAnsiTheme="minorHAnsi" w:cstheme="minorHAnsi"/>
                <w:bCs/>
              </w:rPr>
              <w:t xml:space="preserve"> in which the Inspector considers the first part of Policy DMG2</w:t>
            </w:r>
            <w:r>
              <w:rPr>
                <w:rFonts w:asciiTheme="minorHAnsi" w:hAnsiTheme="minorHAnsi" w:cstheme="minorHAnsi"/>
                <w:bCs/>
              </w:rPr>
              <w:t>.</w:t>
            </w:r>
          </w:p>
          <w:p w14:paraId="72DB0674" w14:textId="77777777" w:rsidR="005D1788" w:rsidRPr="00653B79" w:rsidRDefault="005D1788" w:rsidP="005D1788">
            <w:pPr>
              <w:rPr>
                <w:rFonts w:asciiTheme="minorHAnsi" w:hAnsiTheme="minorHAnsi" w:cstheme="minorHAnsi"/>
                <w:bCs/>
              </w:rPr>
            </w:pPr>
          </w:p>
          <w:p w14:paraId="57938840" w14:textId="77777777" w:rsidR="005D1788" w:rsidRPr="005D1788" w:rsidRDefault="005D1788" w:rsidP="005D1788">
            <w:pPr>
              <w:pStyle w:val="Default"/>
              <w:ind w:left="720"/>
              <w:rPr>
                <w:rFonts w:asciiTheme="minorHAnsi" w:hAnsiTheme="minorHAnsi" w:cstheme="minorHAnsi"/>
                <w:bCs/>
                <w:sz w:val="20"/>
                <w:szCs w:val="22"/>
              </w:rPr>
            </w:pPr>
            <w:r w:rsidRPr="005D1788">
              <w:rPr>
                <w:rFonts w:asciiTheme="minorHAnsi" w:hAnsiTheme="minorHAnsi" w:cstheme="minorHAnsi"/>
                <w:bCs/>
                <w:sz w:val="20"/>
                <w:szCs w:val="22"/>
              </w:rPr>
              <w:t>“10. The first part of policy DMG2 states that development proposals in the principal settlements, such as Whalley, should consolidate, expand or round-off development so that it is closely related to the main built up areas of the existing settlement and appropriate to the scale of, and in keeping with, the existing settlement. Whether the appeal site is ‘in’ Whalley is a key point of dispute between the parties. The appellant considers the site to be within the settlement of Whalley, but agrees that it is outside of the drawn settlement boundary as referred to above.</w:t>
            </w:r>
          </w:p>
          <w:p w14:paraId="51DEDFAF" w14:textId="77777777" w:rsidR="005D1788" w:rsidRPr="005D1788" w:rsidRDefault="005D1788" w:rsidP="005D1788">
            <w:pPr>
              <w:pStyle w:val="Default"/>
              <w:rPr>
                <w:rFonts w:asciiTheme="minorHAnsi" w:hAnsiTheme="minorHAnsi" w:cstheme="minorHAnsi"/>
                <w:bCs/>
                <w:sz w:val="20"/>
                <w:szCs w:val="22"/>
              </w:rPr>
            </w:pPr>
            <w:r w:rsidRPr="005D1788">
              <w:rPr>
                <w:rFonts w:asciiTheme="minorHAnsi" w:hAnsiTheme="minorHAnsi" w:cstheme="minorHAnsi"/>
                <w:bCs/>
                <w:sz w:val="20"/>
                <w:szCs w:val="22"/>
              </w:rPr>
              <w:t xml:space="preserve"> </w:t>
            </w:r>
          </w:p>
          <w:p w14:paraId="6E380DA5" w14:textId="77777777" w:rsidR="005D1788" w:rsidRPr="005D1788" w:rsidRDefault="005D1788" w:rsidP="005D1788">
            <w:pPr>
              <w:pStyle w:val="Default"/>
              <w:ind w:left="720"/>
              <w:rPr>
                <w:rFonts w:asciiTheme="minorHAnsi" w:hAnsiTheme="minorHAnsi" w:cstheme="minorHAnsi"/>
                <w:bCs/>
                <w:sz w:val="20"/>
                <w:szCs w:val="22"/>
              </w:rPr>
            </w:pPr>
            <w:r w:rsidRPr="005D1788">
              <w:rPr>
                <w:rFonts w:asciiTheme="minorHAnsi" w:hAnsiTheme="minorHAnsi" w:cstheme="minorHAnsi"/>
                <w:bCs/>
                <w:sz w:val="20"/>
                <w:szCs w:val="22"/>
              </w:rPr>
              <w:t>11. Settlements are described in the glossary of the CS as being the defined settlement. This term is, in turn, clarified as relating to a settlement of a size and form that justifies treatment as a settlement, and those smaller than the identified limit will not be given settlement boundaries. Thus, a settlement in terms of the first part of DMG2 is one drawn with settlement boundaries. Consequently, I find that the appeal site is not ‘in’ the settlement of Whalley for the purposes of the first part of DMG2.</w:t>
            </w:r>
          </w:p>
          <w:p w14:paraId="7770614F" w14:textId="77777777" w:rsidR="005D1788" w:rsidRPr="00E74192" w:rsidRDefault="005D1788" w:rsidP="005D1788">
            <w:pPr>
              <w:rPr>
                <w:rFonts w:asciiTheme="minorHAnsi" w:hAnsiTheme="minorHAnsi" w:cstheme="minorHAnsi"/>
                <w:b/>
              </w:rPr>
            </w:pPr>
          </w:p>
          <w:p w14:paraId="2D5202F8" w14:textId="77777777" w:rsidR="005D1788" w:rsidRPr="00E74192" w:rsidRDefault="005D1788" w:rsidP="005D1788">
            <w:pPr>
              <w:rPr>
                <w:rFonts w:asciiTheme="minorHAnsi" w:hAnsiTheme="minorHAnsi" w:cstheme="minorHAnsi"/>
                <w:color w:val="000000"/>
              </w:rPr>
            </w:pPr>
            <w:r w:rsidRPr="00E74192">
              <w:rPr>
                <w:rFonts w:asciiTheme="minorHAnsi" w:hAnsiTheme="minorHAnsi" w:cstheme="minorHAnsi"/>
                <w:color w:val="000000"/>
              </w:rPr>
              <w:lastRenderedPageBreak/>
              <w:t>T</w:t>
            </w:r>
            <w:r w:rsidRPr="00397C52">
              <w:rPr>
                <w:rFonts w:asciiTheme="minorHAnsi" w:hAnsiTheme="minorHAnsi" w:cstheme="minorHAnsi"/>
                <w:color w:val="000000"/>
              </w:rPr>
              <w:t xml:space="preserve">he definition of </w:t>
            </w:r>
            <w:r w:rsidRPr="00E74192">
              <w:rPr>
                <w:rFonts w:asciiTheme="minorHAnsi" w:hAnsiTheme="minorHAnsi" w:cstheme="minorHAnsi"/>
                <w:color w:val="000000"/>
              </w:rPr>
              <w:t>‘</w:t>
            </w:r>
            <w:r w:rsidRPr="00397C52">
              <w:rPr>
                <w:rFonts w:asciiTheme="minorHAnsi" w:hAnsiTheme="minorHAnsi" w:cstheme="minorHAnsi"/>
                <w:color w:val="000000"/>
              </w:rPr>
              <w:t>rounding-off</w:t>
            </w:r>
            <w:r w:rsidRPr="00E74192">
              <w:rPr>
                <w:rFonts w:asciiTheme="minorHAnsi" w:hAnsiTheme="minorHAnsi" w:cstheme="minorHAnsi"/>
                <w:color w:val="000000"/>
              </w:rPr>
              <w:t>’</w:t>
            </w:r>
            <w:r w:rsidRPr="00397C52">
              <w:rPr>
                <w:rFonts w:asciiTheme="minorHAnsi" w:hAnsiTheme="minorHAnsi" w:cstheme="minorHAnsi"/>
                <w:color w:val="000000"/>
              </w:rPr>
              <w:t xml:space="preserve"> within the glossary of the C</w:t>
            </w:r>
            <w:r w:rsidRPr="00E74192">
              <w:rPr>
                <w:rFonts w:asciiTheme="minorHAnsi" w:hAnsiTheme="minorHAnsi" w:cstheme="minorHAnsi"/>
                <w:color w:val="000000"/>
              </w:rPr>
              <w:t>ore Strategy</w:t>
            </w:r>
            <w:r w:rsidRPr="00397C52">
              <w:rPr>
                <w:rFonts w:asciiTheme="minorHAnsi" w:hAnsiTheme="minorHAnsi" w:cstheme="minorHAnsi"/>
                <w:color w:val="000000"/>
              </w:rPr>
              <w:t xml:space="preserve"> specifically requires development to be within the settlement boundary. </w:t>
            </w:r>
            <w:r w:rsidRPr="00E74192">
              <w:rPr>
                <w:rFonts w:asciiTheme="minorHAnsi" w:hAnsiTheme="minorHAnsi" w:cstheme="minorHAnsi"/>
                <w:color w:val="000000"/>
              </w:rPr>
              <w:t xml:space="preserve">Whilst the other two definitions, ‘consolidation’ and ‘expansion’, do not </w:t>
            </w:r>
            <w:r>
              <w:rPr>
                <w:rFonts w:asciiTheme="minorHAnsi" w:hAnsiTheme="minorHAnsi" w:cstheme="minorHAnsi"/>
                <w:color w:val="000000"/>
              </w:rPr>
              <w:t>explicitly</w:t>
            </w:r>
            <w:r w:rsidRPr="00E74192">
              <w:rPr>
                <w:rFonts w:asciiTheme="minorHAnsi" w:hAnsiTheme="minorHAnsi" w:cstheme="minorHAnsi"/>
                <w:color w:val="000000"/>
              </w:rPr>
              <w:t xml:space="preserve"> </w:t>
            </w:r>
            <w:r w:rsidRPr="00397C52">
              <w:rPr>
                <w:rFonts w:asciiTheme="minorHAnsi" w:hAnsiTheme="minorHAnsi" w:cstheme="minorHAnsi"/>
                <w:color w:val="000000"/>
              </w:rPr>
              <w:t>require development to be within the settlement boundary</w:t>
            </w:r>
            <w:r w:rsidRPr="00E74192">
              <w:rPr>
                <w:rFonts w:asciiTheme="minorHAnsi" w:hAnsiTheme="minorHAnsi" w:cstheme="minorHAnsi"/>
                <w:color w:val="000000"/>
              </w:rPr>
              <w:t xml:space="preserve">, it should not be taken that they are permissive of </w:t>
            </w:r>
            <w:r>
              <w:rPr>
                <w:rFonts w:asciiTheme="minorHAnsi" w:hAnsiTheme="minorHAnsi" w:cstheme="minorHAnsi"/>
                <w:color w:val="000000"/>
              </w:rPr>
              <w:t xml:space="preserve">housing </w:t>
            </w:r>
            <w:r w:rsidRPr="00E74192">
              <w:rPr>
                <w:rFonts w:asciiTheme="minorHAnsi" w:hAnsiTheme="minorHAnsi" w:cstheme="minorHAnsi"/>
                <w:color w:val="000000"/>
              </w:rPr>
              <w:t xml:space="preserve">development beyond </w:t>
            </w:r>
            <w:r>
              <w:rPr>
                <w:rFonts w:asciiTheme="minorHAnsi" w:hAnsiTheme="minorHAnsi" w:cstheme="minorHAnsi"/>
                <w:color w:val="000000"/>
              </w:rPr>
              <w:t xml:space="preserve">the </w:t>
            </w:r>
            <w:r w:rsidRPr="00E74192">
              <w:rPr>
                <w:rFonts w:asciiTheme="minorHAnsi" w:hAnsiTheme="minorHAnsi" w:cstheme="minorHAnsi"/>
                <w:color w:val="000000"/>
              </w:rPr>
              <w:t xml:space="preserve">defined </w:t>
            </w:r>
            <w:r>
              <w:rPr>
                <w:rFonts w:asciiTheme="minorHAnsi" w:hAnsiTheme="minorHAnsi" w:cstheme="minorHAnsi"/>
                <w:color w:val="000000"/>
              </w:rPr>
              <w:t xml:space="preserve">Principal and Tier 1 </w:t>
            </w:r>
            <w:r w:rsidRPr="00E74192">
              <w:rPr>
                <w:rFonts w:asciiTheme="minorHAnsi" w:hAnsiTheme="minorHAnsi" w:cstheme="minorHAnsi"/>
                <w:color w:val="000000"/>
              </w:rPr>
              <w:t>settlement</w:t>
            </w:r>
            <w:r>
              <w:rPr>
                <w:rFonts w:asciiTheme="minorHAnsi" w:hAnsiTheme="minorHAnsi" w:cstheme="minorHAnsi"/>
                <w:color w:val="000000"/>
              </w:rPr>
              <w:t>s</w:t>
            </w:r>
            <w:r w:rsidRPr="00E74192">
              <w:rPr>
                <w:rFonts w:asciiTheme="minorHAnsi" w:hAnsiTheme="minorHAnsi" w:cstheme="minorHAnsi"/>
                <w:color w:val="000000"/>
              </w:rPr>
              <w:t xml:space="preserve">. </w:t>
            </w:r>
          </w:p>
          <w:p w14:paraId="3E48B3E5" w14:textId="77777777" w:rsidR="005D1788" w:rsidRPr="00E74192" w:rsidRDefault="005D1788" w:rsidP="005D1788">
            <w:pPr>
              <w:rPr>
                <w:rFonts w:asciiTheme="minorHAnsi" w:hAnsiTheme="minorHAnsi" w:cstheme="minorHAnsi"/>
                <w:color w:val="000000"/>
              </w:rPr>
            </w:pPr>
          </w:p>
          <w:p w14:paraId="062A1CD4" w14:textId="77777777" w:rsidR="005D1788" w:rsidRPr="004F2002" w:rsidRDefault="005D1788" w:rsidP="005D1788">
            <w:pPr>
              <w:rPr>
                <w:rFonts w:asciiTheme="minorHAnsi" w:hAnsiTheme="minorHAnsi" w:cstheme="minorHAnsi"/>
              </w:rPr>
            </w:pPr>
            <w:r w:rsidRPr="00E74192">
              <w:rPr>
                <w:rFonts w:asciiTheme="minorHAnsi" w:hAnsiTheme="minorHAnsi" w:cstheme="minorHAnsi"/>
                <w:color w:val="000000"/>
              </w:rPr>
              <w:t xml:space="preserve">Expansion or consolidation can be undertaken within a defined settlement </w:t>
            </w:r>
            <w:r w:rsidRPr="00E74192">
              <w:rPr>
                <w:rFonts w:asciiTheme="minorHAnsi" w:hAnsiTheme="minorHAnsi" w:cstheme="minorHAnsi"/>
              </w:rPr>
              <w:t>particularly where such a settlement boundary encompasses or includes land that is yet to be developed, such as a greenfield site. In respect of the above it is clear that the policy is supportive of the growth of settlements, but that such growth must be undertaken inside the defined settlement boundaries.</w:t>
            </w:r>
          </w:p>
          <w:p w14:paraId="18A0B32E" w14:textId="77777777" w:rsidR="005D1788" w:rsidRPr="004F2002" w:rsidRDefault="005D1788" w:rsidP="005D1788">
            <w:pPr>
              <w:rPr>
                <w:rFonts w:asciiTheme="minorHAnsi" w:hAnsiTheme="minorHAnsi" w:cstheme="minorHAnsi"/>
                <w:color w:val="000000"/>
                <w:szCs w:val="22"/>
              </w:rPr>
            </w:pPr>
          </w:p>
          <w:p w14:paraId="6806AE18" w14:textId="77777777" w:rsidR="005D1788" w:rsidRPr="004F2002" w:rsidRDefault="005D1788" w:rsidP="005D1788">
            <w:pPr>
              <w:pStyle w:val="Default"/>
              <w:jc w:val="both"/>
              <w:rPr>
                <w:rFonts w:asciiTheme="minorHAnsi" w:hAnsiTheme="minorHAnsi" w:cstheme="minorHAnsi"/>
                <w:sz w:val="22"/>
                <w:szCs w:val="22"/>
              </w:rPr>
            </w:pPr>
            <w:r w:rsidRPr="004F2002">
              <w:rPr>
                <w:rFonts w:asciiTheme="minorHAnsi" w:hAnsiTheme="minorHAnsi" w:cstheme="minorHAnsi"/>
                <w:sz w:val="22"/>
                <w:szCs w:val="22"/>
              </w:rPr>
              <w:t>The interplay between the wording of Policy DMG2 and the glossary definitions of consolidation, expansion and rounding-off was considered in detail by the Wiswell Lane Inspector at paragraph 12-14 of his decision notice</w:t>
            </w:r>
            <w:r>
              <w:rPr>
                <w:rFonts w:asciiTheme="minorHAnsi" w:hAnsiTheme="minorHAnsi" w:cstheme="minorHAnsi"/>
                <w:sz w:val="22"/>
                <w:szCs w:val="22"/>
              </w:rPr>
              <w:t xml:space="preserve"> below: -</w:t>
            </w:r>
          </w:p>
          <w:p w14:paraId="6351CC5F" w14:textId="77777777" w:rsidR="005D1788" w:rsidRPr="00653B79" w:rsidRDefault="005D1788" w:rsidP="005D1788">
            <w:pPr>
              <w:pStyle w:val="Default"/>
              <w:rPr>
                <w:rFonts w:asciiTheme="minorHAnsi" w:hAnsiTheme="minorHAnsi" w:cstheme="minorHAnsi"/>
                <w:b/>
                <w:sz w:val="20"/>
                <w:szCs w:val="22"/>
              </w:rPr>
            </w:pPr>
          </w:p>
          <w:p w14:paraId="541A49CD" w14:textId="77777777" w:rsidR="005D1788" w:rsidRPr="005D1788" w:rsidRDefault="005D1788" w:rsidP="005D1788">
            <w:pPr>
              <w:pStyle w:val="Default"/>
              <w:ind w:left="720"/>
              <w:rPr>
                <w:rFonts w:asciiTheme="minorHAnsi" w:hAnsiTheme="minorHAnsi" w:cstheme="minorHAnsi"/>
                <w:bCs/>
                <w:color w:val="auto"/>
                <w:sz w:val="20"/>
                <w:szCs w:val="22"/>
              </w:rPr>
            </w:pPr>
            <w:r w:rsidRPr="005D1788">
              <w:rPr>
                <w:rFonts w:asciiTheme="minorHAnsi" w:hAnsiTheme="minorHAnsi" w:cstheme="minorHAnsi"/>
                <w:bCs/>
                <w:sz w:val="20"/>
                <w:szCs w:val="22"/>
              </w:rPr>
              <w:t xml:space="preserve">12. The first part of policy DMG2 is also conditional upon the relationship of the proposed development to the existing settlement, be it consolidation, expansion or rounding-off. The definition of consolidation refers to locating new development so that it adjoins the main built up area of the settlement and where appropriate both the main urban area and an area of sporadic or isolated development. Expansion is defined as limited growth of a settlement that </w:t>
            </w:r>
            <w:r w:rsidRPr="005D1788">
              <w:rPr>
                <w:rFonts w:asciiTheme="minorHAnsi" w:hAnsiTheme="minorHAnsi" w:cstheme="minorHAnsi"/>
                <w:bCs/>
                <w:color w:val="auto"/>
                <w:sz w:val="20"/>
                <w:szCs w:val="22"/>
              </w:rPr>
              <w:t xml:space="preserve">generally should be in scale and keeping with the existing urban area. However, the definition of rounding-off within the glossary of the CS specifically requires development to be within the settlement boundary. </w:t>
            </w:r>
          </w:p>
          <w:p w14:paraId="0F8E2FE4" w14:textId="77777777" w:rsidR="005D1788" w:rsidRPr="005D1788" w:rsidRDefault="005D1788" w:rsidP="005D1788">
            <w:pPr>
              <w:pStyle w:val="Default"/>
              <w:rPr>
                <w:rFonts w:asciiTheme="minorHAnsi" w:hAnsiTheme="minorHAnsi" w:cstheme="minorHAnsi"/>
                <w:bCs/>
                <w:color w:val="auto"/>
                <w:sz w:val="16"/>
                <w:szCs w:val="18"/>
              </w:rPr>
            </w:pPr>
          </w:p>
          <w:p w14:paraId="5CCFFF50" w14:textId="77777777" w:rsidR="005D1788" w:rsidRPr="005D1788" w:rsidRDefault="005D1788" w:rsidP="005D1788">
            <w:pPr>
              <w:pStyle w:val="Default"/>
              <w:ind w:left="720"/>
              <w:rPr>
                <w:rFonts w:asciiTheme="minorHAnsi" w:hAnsiTheme="minorHAnsi" w:cstheme="minorHAnsi"/>
                <w:bCs/>
                <w:color w:val="auto"/>
                <w:sz w:val="20"/>
                <w:szCs w:val="22"/>
              </w:rPr>
            </w:pPr>
            <w:r w:rsidRPr="005D1788">
              <w:rPr>
                <w:rFonts w:asciiTheme="minorHAnsi" w:hAnsiTheme="minorHAnsi" w:cstheme="minorHAnsi"/>
                <w:bCs/>
                <w:color w:val="auto"/>
                <w:sz w:val="20"/>
                <w:szCs w:val="22"/>
              </w:rPr>
              <w:t xml:space="preserve">13. The appellant considers the first two definitions expressly allow development to take place on land outside the settlement boundary, and that the wording of ‘in’ within the context of DMG2 should really be ‘at’. However, the definitions in the glossary are there to support the interpretation of policy, not to change the wording, or indeed meaning, of policy. Although neither of these two definitions include specific reference to settlement boundaries, they both refer to existing development in the form of the main built up or urban areas. </w:t>
            </w:r>
          </w:p>
          <w:p w14:paraId="328296D3" w14:textId="77777777" w:rsidR="005D1788" w:rsidRPr="005D1788" w:rsidRDefault="005D1788" w:rsidP="005D1788">
            <w:pPr>
              <w:pStyle w:val="Default"/>
              <w:rPr>
                <w:rFonts w:asciiTheme="minorHAnsi" w:hAnsiTheme="minorHAnsi" w:cstheme="minorHAnsi"/>
                <w:bCs/>
                <w:color w:val="auto"/>
                <w:sz w:val="20"/>
                <w:szCs w:val="22"/>
              </w:rPr>
            </w:pPr>
          </w:p>
          <w:p w14:paraId="56E0F2AB" w14:textId="77777777" w:rsidR="005D1788" w:rsidRPr="005D1788" w:rsidRDefault="005D1788" w:rsidP="005D1788">
            <w:pPr>
              <w:ind w:left="720"/>
              <w:rPr>
                <w:rFonts w:asciiTheme="minorHAnsi" w:hAnsiTheme="minorHAnsi" w:cstheme="minorHAnsi"/>
                <w:bCs/>
                <w:sz w:val="20"/>
              </w:rPr>
            </w:pPr>
            <w:r w:rsidRPr="005D1788">
              <w:rPr>
                <w:rFonts w:asciiTheme="minorHAnsi" w:hAnsiTheme="minorHAnsi" w:cstheme="minorHAnsi"/>
                <w:bCs/>
                <w:sz w:val="20"/>
                <w:szCs w:val="22"/>
              </w:rPr>
              <w:t>14. These definitions are, to my mind, compatible with the wording of the policy, namely that new development should consolidate or expand the existing main built up or urban areas; not, as the appellant suggests, consolidate or expand settlement boundaries. This is because, the Council pointed out at the hearing, this first part of DMG2 allows for the circumstance where a settlement boundary encompasses or includes land that is yet to be developed, thereby allowing limited growth of the settlement.</w:t>
            </w:r>
            <w:r w:rsidRPr="005D1788">
              <w:rPr>
                <w:rFonts w:asciiTheme="minorHAnsi" w:hAnsiTheme="minorHAnsi" w:cstheme="minorHAnsi"/>
                <w:bCs/>
                <w:sz w:val="20"/>
              </w:rPr>
              <w:t>”</w:t>
            </w:r>
          </w:p>
          <w:p w14:paraId="405179F4" w14:textId="10C056CB" w:rsidR="005D1788" w:rsidRDefault="005D1788" w:rsidP="00EB3FEC">
            <w:pPr>
              <w:contextualSpacing/>
              <w:jc w:val="both"/>
              <w:rPr>
                <w:rFonts w:asciiTheme="minorHAnsi" w:hAnsiTheme="minorHAnsi" w:cstheme="minorHAnsi"/>
                <w:bCs/>
                <w:szCs w:val="22"/>
              </w:rPr>
            </w:pPr>
          </w:p>
          <w:p w14:paraId="71342D4F" w14:textId="77777777" w:rsidR="005D1788" w:rsidRDefault="005D1788" w:rsidP="005D1788">
            <w:pPr>
              <w:contextualSpacing/>
              <w:jc w:val="both"/>
              <w:rPr>
                <w:rFonts w:asciiTheme="minorHAnsi" w:hAnsiTheme="minorHAnsi" w:cstheme="minorHAnsi"/>
                <w:bCs/>
                <w:szCs w:val="22"/>
              </w:rPr>
            </w:pPr>
            <w:r>
              <w:rPr>
                <w:rFonts w:asciiTheme="minorHAnsi" w:hAnsiTheme="minorHAnsi" w:cstheme="minorHAnsi"/>
                <w:bCs/>
                <w:szCs w:val="22"/>
              </w:rPr>
              <w:t xml:space="preserve">Further to this, the appeal Inspector for </w:t>
            </w:r>
            <w:r w:rsidRPr="00063B3D">
              <w:rPr>
                <w:rFonts w:asciiTheme="minorHAnsi" w:hAnsiTheme="minorHAnsi" w:cstheme="minorHAnsi"/>
                <w:bCs/>
                <w:szCs w:val="22"/>
              </w:rPr>
              <w:t>Land to the South of Chatburn Old Road</w:t>
            </w:r>
            <w:r>
              <w:rPr>
                <w:rFonts w:asciiTheme="minorHAnsi" w:hAnsiTheme="minorHAnsi" w:cstheme="minorHAnsi"/>
                <w:bCs/>
                <w:szCs w:val="22"/>
              </w:rPr>
              <w:t xml:space="preserve"> concluded that the minimum housing requirement for Chatburn had not been met at that time. In allowing that appeal, an additional 9 dwellings were added to the supply of housing for Chatburn. The LPA is satisfied that the housing requirement for Chatburn has been met and there is no impetus to grant consent for additional housing on land outside the settlement boundary contrary to policies DMG2 and DMH3 of the Core Strategy.</w:t>
            </w:r>
          </w:p>
          <w:p w14:paraId="7D3D05E1" w14:textId="5B8BB3E9" w:rsidR="00341766" w:rsidRPr="00866186" w:rsidRDefault="00341766" w:rsidP="00EB3FEC">
            <w:pPr>
              <w:contextualSpacing/>
              <w:jc w:val="both"/>
              <w:rPr>
                <w:rFonts w:asciiTheme="minorHAnsi" w:hAnsiTheme="minorHAnsi" w:cstheme="minorHAnsi"/>
                <w:bCs/>
                <w:szCs w:val="22"/>
              </w:rPr>
            </w:pPr>
          </w:p>
        </w:tc>
      </w:tr>
      <w:tr w:rsidR="005D1788" w:rsidRPr="00866186" w14:paraId="59FAB0AA" w14:textId="77777777" w:rsidTr="00C70DC7">
        <w:trPr>
          <w:jc w:val="center"/>
        </w:trPr>
        <w:tc>
          <w:tcPr>
            <w:tcW w:w="92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468368" w14:textId="4608F87B" w:rsidR="00C84C51" w:rsidRPr="005F52A9" w:rsidRDefault="005D1788" w:rsidP="005D1788">
            <w:pPr>
              <w:contextualSpacing/>
              <w:jc w:val="both"/>
              <w:rPr>
                <w:rFonts w:asciiTheme="minorHAnsi" w:hAnsiTheme="minorHAnsi" w:cstheme="minorHAnsi"/>
                <w:b/>
                <w:szCs w:val="22"/>
              </w:rPr>
            </w:pPr>
            <w:r w:rsidRPr="005F52A9">
              <w:rPr>
                <w:rFonts w:asciiTheme="minorHAnsi" w:hAnsiTheme="minorHAnsi" w:cstheme="minorHAnsi"/>
                <w:b/>
                <w:szCs w:val="22"/>
              </w:rPr>
              <w:lastRenderedPageBreak/>
              <w:t>Design and visual appearance</w:t>
            </w:r>
            <w:r w:rsidR="005F52A9">
              <w:rPr>
                <w:rFonts w:asciiTheme="minorHAnsi" w:hAnsiTheme="minorHAnsi" w:cstheme="minorHAnsi"/>
                <w:b/>
                <w:szCs w:val="22"/>
              </w:rPr>
              <w:t>:</w:t>
            </w:r>
          </w:p>
          <w:p w14:paraId="1394D6D9" w14:textId="77777777" w:rsidR="00C84C51" w:rsidRPr="00E476C4" w:rsidRDefault="00C84C51" w:rsidP="005D1788">
            <w:pPr>
              <w:contextualSpacing/>
              <w:jc w:val="both"/>
              <w:rPr>
                <w:rFonts w:asciiTheme="minorHAnsi" w:hAnsiTheme="minorHAnsi" w:cstheme="minorHAnsi"/>
                <w:bCs/>
                <w:szCs w:val="22"/>
              </w:rPr>
            </w:pPr>
            <w:r w:rsidRPr="00E476C4">
              <w:rPr>
                <w:rFonts w:asciiTheme="minorHAnsi" w:hAnsiTheme="minorHAnsi" w:cstheme="minorHAnsi"/>
                <w:bCs/>
                <w:szCs w:val="22"/>
              </w:rPr>
              <w:t xml:space="preserve">The proposed dwelling(s) would be located to the south of Glencroft. The application site, whilst stated to be ‘garden land associated’ with Glencroft, contains no features to indicate domestic use. It is physically separated from the residential planning unit of Glencroft by the brook and its development would result in encroachment into the open countryside. </w:t>
            </w:r>
          </w:p>
          <w:p w14:paraId="1E9010C7" w14:textId="77777777" w:rsidR="00C84C51" w:rsidRPr="00E476C4" w:rsidRDefault="00C84C51" w:rsidP="005D1788">
            <w:pPr>
              <w:contextualSpacing/>
              <w:jc w:val="both"/>
              <w:rPr>
                <w:rFonts w:asciiTheme="minorHAnsi" w:hAnsiTheme="minorHAnsi" w:cstheme="minorHAnsi"/>
                <w:szCs w:val="22"/>
              </w:rPr>
            </w:pPr>
          </w:p>
          <w:p w14:paraId="4C2C9B1F" w14:textId="2CD08B9D" w:rsidR="00C84C51" w:rsidRPr="00E476C4" w:rsidRDefault="00C84C51" w:rsidP="005D1788">
            <w:pPr>
              <w:contextualSpacing/>
              <w:jc w:val="both"/>
              <w:rPr>
                <w:rFonts w:asciiTheme="minorHAnsi" w:hAnsiTheme="minorHAnsi" w:cstheme="minorHAnsi"/>
                <w:bCs/>
                <w:szCs w:val="22"/>
              </w:rPr>
            </w:pPr>
            <w:r w:rsidRPr="00E476C4">
              <w:rPr>
                <w:rFonts w:asciiTheme="minorHAnsi" w:hAnsiTheme="minorHAnsi" w:cstheme="minorHAnsi"/>
                <w:szCs w:val="22"/>
              </w:rPr>
              <w:t>Policy DMG2 of the Core Strategy requires, amongst other things, that within the open countryside, development should be in keeping with the character of the landscape. Visually the site forms part of an area of land which is free from permanent built form. It is surrounded by fields and</w:t>
            </w:r>
            <w:r w:rsidR="00E476C4" w:rsidRPr="00E476C4">
              <w:rPr>
                <w:rFonts w:asciiTheme="minorHAnsi" w:hAnsiTheme="minorHAnsi" w:cstheme="minorHAnsi"/>
                <w:szCs w:val="22"/>
              </w:rPr>
              <w:t>, a</w:t>
            </w:r>
            <w:r w:rsidRPr="00E476C4">
              <w:rPr>
                <w:rFonts w:asciiTheme="minorHAnsi" w:hAnsiTheme="minorHAnsi" w:cstheme="minorHAnsi"/>
                <w:szCs w:val="22"/>
              </w:rPr>
              <w:t>s such, it is relatively open and makes an important contribution to the visual transition to the wider countryside beyond. Thus, the proposal would not be in keeping with the character of the local landscape.</w:t>
            </w:r>
          </w:p>
          <w:p w14:paraId="68C49E52" w14:textId="77777777" w:rsidR="005D1788" w:rsidRPr="00AF0D4F" w:rsidRDefault="005D1788" w:rsidP="00EB3FEC">
            <w:pPr>
              <w:contextualSpacing/>
              <w:jc w:val="both"/>
              <w:rPr>
                <w:rFonts w:asciiTheme="minorHAnsi" w:hAnsiTheme="minorHAnsi" w:cstheme="minorHAnsi"/>
                <w:b/>
                <w:szCs w:val="22"/>
              </w:rPr>
            </w:pPr>
          </w:p>
        </w:tc>
      </w:tr>
      <w:tr w:rsidR="005D1788" w:rsidRPr="00866186" w14:paraId="28C8B7EC" w14:textId="77777777" w:rsidTr="00C70DC7">
        <w:trPr>
          <w:jc w:val="center"/>
        </w:trPr>
        <w:tc>
          <w:tcPr>
            <w:tcW w:w="92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0379770" w14:textId="6A03EEBA" w:rsidR="005D1788" w:rsidRPr="005F52A9" w:rsidRDefault="005F52A9" w:rsidP="005D1788">
            <w:pPr>
              <w:contextualSpacing/>
              <w:jc w:val="both"/>
              <w:rPr>
                <w:rFonts w:asciiTheme="minorHAnsi" w:hAnsiTheme="minorHAnsi" w:cstheme="minorHAnsi"/>
                <w:b/>
                <w:szCs w:val="22"/>
              </w:rPr>
            </w:pPr>
            <w:r>
              <w:rPr>
                <w:rFonts w:asciiTheme="minorHAnsi" w:hAnsiTheme="minorHAnsi" w:cstheme="minorHAnsi"/>
                <w:b/>
                <w:szCs w:val="22"/>
              </w:rPr>
              <w:lastRenderedPageBreak/>
              <w:t>Effect on Residential Amenity:</w:t>
            </w:r>
          </w:p>
          <w:p w14:paraId="582025DE" w14:textId="2444E64F" w:rsidR="00287537" w:rsidRDefault="00287537" w:rsidP="00287537">
            <w:pPr>
              <w:pStyle w:val="Header"/>
              <w:tabs>
                <w:tab w:val="clear" w:pos="4153"/>
                <w:tab w:val="clear" w:pos="8306"/>
              </w:tabs>
              <w:rPr>
                <w:rFonts w:asciiTheme="minorHAnsi" w:hAnsiTheme="minorHAnsi" w:cstheme="minorHAnsi"/>
                <w:bCs/>
                <w:szCs w:val="22"/>
              </w:rPr>
            </w:pPr>
            <w:r w:rsidRPr="00287537">
              <w:rPr>
                <w:rFonts w:asciiTheme="minorHAnsi" w:hAnsiTheme="minorHAnsi" w:cstheme="minorHAnsi"/>
                <w:bCs/>
                <w:szCs w:val="22"/>
              </w:rPr>
              <w:t>It is important to consider the impact of the development of existing residents and future occupants of proposed dwellings. As noted above, land to the north benefits from planning permission for the demolition and rebuild of the existing dwelling and the erection of an additional dwelling under</w:t>
            </w:r>
            <w:r>
              <w:rPr>
                <w:rFonts w:asciiTheme="minorHAnsi" w:hAnsiTheme="minorHAnsi" w:cstheme="minorHAnsi"/>
                <w:bCs/>
                <w:szCs w:val="22"/>
              </w:rPr>
              <w:t xml:space="preserve"> </w:t>
            </w:r>
            <w:r w:rsidRPr="00287537">
              <w:rPr>
                <w:rFonts w:asciiTheme="minorHAnsi" w:hAnsiTheme="minorHAnsi" w:cstheme="minorHAnsi"/>
                <w:bCs/>
                <w:szCs w:val="22"/>
              </w:rPr>
              <w:t>planning application 3/2020/0112.</w:t>
            </w:r>
            <w:r>
              <w:rPr>
                <w:rFonts w:asciiTheme="minorHAnsi" w:hAnsiTheme="minorHAnsi" w:cstheme="minorHAnsi"/>
                <w:bCs/>
                <w:szCs w:val="22"/>
              </w:rPr>
              <w:t xml:space="preserve"> The only property that could be directly impacted </w:t>
            </w:r>
            <w:r w:rsidR="005F52A9">
              <w:rPr>
                <w:rFonts w:asciiTheme="minorHAnsi" w:hAnsiTheme="minorHAnsi" w:cstheme="minorHAnsi"/>
                <w:bCs/>
                <w:szCs w:val="22"/>
              </w:rPr>
              <w:t>is the existing dwelling, Glencroft, or the two proposed new build dwellings with consent. Dwellings along the northside of Pendle Avenue would be a sufficient distance from the development proposals to avoid any loss of light, privacy or outlook.</w:t>
            </w:r>
          </w:p>
          <w:p w14:paraId="02441BC7" w14:textId="09EA41D1" w:rsidR="005F52A9" w:rsidRDefault="005F52A9" w:rsidP="00287537">
            <w:pPr>
              <w:pStyle w:val="Header"/>
              <w:tabs>
                <w:tab w:val="clear" w:pos="4153"/>
                <w:tab w:val="clear" w:pos="8306"/>
              </w:tabs>
              <w:rPr>
                <w:rFonts w:asciiTheme="minorHAnsi" w:hAnsiTheme="minorHAnsi" w:cstheme="minorHAnsi"/>
                <w:bCs/>
                <w:szCs w:val="22"/>
              </w:rPr>
            </w:pPr>
          </w:p>
          <w:p w14:paraId="7AEB9BF5" w14:textId="14DEE522" w:rsidR="005F52A9" w:rsidRPr="00287537" w:rsidRDefault="005F52A9" w:rsidP="00287537">
            <w:pPr>
              <w:pStyle w:val="Header"/>
              <w:tabs>
                <w:tab w:val="clear" w:pos="4153"/>
                <w:tab w:val="clear" w:pos="8306"/>
              </w:tabs>
              <w:rPr>
                <w:rFonts w:asciiTheme="minorHAnsi" w:hAnsiTheme="minorHAnsi" w:cstheme="minorHAnsi"/>
                <w:bCs/>
                <w:szCs w:val="22"/>
              </w:rPr>
            </w:pPr>
            <w:r>
              <w:rPr>
                <w:rFonts w:asciiTheme="minorHAnsi" w:hAnsiTheme="minorHAnsi" w:cstheme="minorHAnsi"/>
                <w:bCs/>
                <w:szCs w:val="22"/>
              </w:rPr>
              <w:t>The separation distances between existing and proposed dwellings, as denoted on the proposed site plan, are generally considered to be acceptable. The proposed new dwellings have been orientated such that their front elevations do not directly face the rear elevations of the dwelling(s) to the north and as such interface distances between first floor windows/balconies exceed the required 21 metre distance.</w:t>
            </w:r>
          </w:p>
          <w:p w14:paraId="76D01BD5" w14:textId="77777777" w:rsidR="005D1788" w:rsidRPr="00287537" w:rsidRDefault="005D1788" w:rsidP="00333DF2">
            <w:pPr>
              <w:overflowPunct/>
              <w:jc w:val="both"/>
              <w:textAlignment w:val="auto"/>
              <w:rPr>
                <w:rFonts w:asciiTheme="minorHAnsi" w:hAnsiTheme="minorHAnsi" w:cstheme="minorHAnsi"/>
                <w:bCs/>
                <w:szCs w:val="22"/>
                <w:u w:val="single"/>
              </w:rPr>
            </w:pPr>
          </w:p>
        </w:tc>
      </w:tr>
      <w:tr w:rsidR="005F52A9" w:rsidRPr="00866186" w14:paraId="08AE79BB" w14:textId="77777777" w:rsidTr="00C70DC7">
        <w:trPr>
          <w:jc w:val="center"/>
        </w:trPr>
        <w:tc>
          <w:tcPr>
            <w:tcW w:w="92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FAD779" w14:textId="77777777" w:rsidR="005F52A9" w:rsidRPr="005F52A9" w:rsidRDefault="005F52A9" w:rsidP="005F52A9">
            <w:pPr>
              <w:contextualSpacing/>
              <w:jc w:val="both"/>
              <w:rPr>
                <w:rFonts w:asciiTheme="minorHAnsi" w:hAnsiTheme="minorHAnsi" w:cstheme="minorHAnsi"/>
                <w:b/>
                <w:szCs w:val="22"/>
              </w:rPr>
            </w:pPr>
            <w:r w:rsidRPr="005F52A9">
              <w:rPr>
                <w:rFonts w:asciiTheme="minorHAnsi" w:hAnsiTheme="minorHAnsi" w:cstheme="minorHAnsi"/>
                <w:b/>
                <w:szCs w:val="22"/>
              </w:rPr>
              <w:t>Highway Safety:</w:t>
            </w:r>
          </w:p>
          <w:p w14:paraId="66E5368A" w14:textId="77777777" w:rsidR="005F52A9" w:rsidRDefault="00A15BB0" w:rsidP="005D1788">
            <w:pPr>
              <w:contextualSpacing/>
              <w:jc w:val="both"/>
              <w:rPr>
                <w:rFonts w:asciiTheme="minorHAnsi" w:hAnsiTheme="minorHAnsi" w:cstheme="minorHAnsi"/>
                <w:bCs/>
                <w:szCs w:val="22"/>
              </w:rPr>
            </w:pPr>
            <w:r>
              <w:rPr>
                <w:rFonts w:asciiTheme="minorHAnsi" w:hAnsiTheme="minorHAnsi" w:cstheme="minorHAnsi"/>
                <w:bCs/>
                <w:szCs w:val="22"/>
              </w:rPr>
              <w:t>The County Highways Officer has confirmed that the proposed development would not have a significant impact on highway safety subject to appropriate conditions. The site would be accessed along Pendle Avenue, an unclassified road and would require a bridge over the brook for access. It is noted that the proposed route of the new access, between the previously consented dwellings to the north, would conflict with parking spaces already approved.</w:t>
            </w:r>
          </w:p>
          <w:p w14:paraId="42F9912C" w14:textId="77777777" w:rsidR="00A15BB0" w:rsidRDefault="00A15BB0" w:rsidP="005D1788">
            <w:pPr>
              <w:contextualSpacing/>
              <w:jc w:val="both"/>
              <w:rPr>
                <w:rFonts w:asciiTheme="minorHAnsi" w:hAnsiTheme="minorHAnsi" w:cstheme="minorHAnsi"/>
                <w:bCs/>
                <w:szCs w:val="22"/>
              </w:rPr>
            </w:pPr>
          </w:p>
          <w:p w14:paraId="01578433" w14:textId="562E8616" w:rsidR="00A15BB0" w:rsidRDefault="00A15BB0" w:rsidP="005D1788">
            <w:pPr>
              <w:contextualSpacing/>
              <w:jc w:val="both"/>
              <w:rPr>
                <w:rFonts w:asciiTheme="minorHAnsi" w:hAnsiTheme="minorHAnsi" w:cstheme="minorHAnsi"/>
                <w:bCs/>
                <w:szCs w:val="22"/>
              </w:rPr>
            </w:pPr>
            <w:r>
              <w:rPr>
                <w:rFonts w:asciiTheme="minorHAnsi" w:hAnsiTheme="minorHAnsi" w:cstheme="minorHAnsi"/>
                <w:bCs/>
                <w:szCs w:val="22"/>
              </w:rPr>
              <w:t xml:space="preserve">Taking into account the proposed site layout, there would be adequate spaces within the site for vehicles to enter and leave the site in forward gear although no information has been provided to demonstrate manoeuvrability for delivery or refuse vehicles. </w:t>
            </w:r>
          </w:p>
          <w:p w14:paraId="1E971DED" w14:textId="77777777" w:rsidR="00A15BB0" w:rsidRDefault="00A15BB0" w:rsidP="005D1788">
            <w:pPr>
              <w:contextualSpacing/>
              <w:jc w:val="both"/>
              <w:rPr>
                <w:rFonts w:asciiTheme="minorHAnsi" w:hAnsiTheme="minorHAnsi" w:cstheme="minorHAnsi"/>
                <w:bCs/>
                <w:szCs w:val="22"/>
              </w:rPr>
            </w:pPr>
          </w:p>
          <w:p w14:paraId="0921F051" w14:textId="6F2ADCFA" w:rsidR="00A15BB0" w:rsidRDefault="00A15BB0" w:rsidP="005D1788">
            <w:pPr>
              <w:contextualSpacing/>
              <w:jc w:val="both"/>
              <w:rPr>
                <w:rFonts w:asciiTheme="minorHAnsi" w:hAnsiTheme="minorHAnsi" w:cstheme="minorHAnsi"/>
                <w:bCs/>
                <w:szCs w:val="22"/>
              </w:rPr>
            </w:pPr>
            <w:r>
              <w:rPr>
                <w:rFonts w:asciiTheme="minorHAnsi" w:hAnsiTheme="minorHAnsi" w:cstheme="minorHAnsi"/>
                <w:bCs/>
                <w:szCs w:val="22"/>
              </w:rPr>
              <w:t xml:space="preserve">There would be a requirement to divert the public right of way which runs directly through the site. No details have been provided to indicate the proposed </w:t>
            </w:r>
            <w:r w:rsidR="00633F7A">
              <w:rPr>
                <w:rFonts w:asciiTheme="minorHAnsi" w:hAnsiTheme="minorHAnsi" w:cstheme="minorHAnsi"/>
                <w:bCs/>
                <w:szCs w:val="22"/>
              </w:rPr>
              <w:t>re-</w:t>
            </w:r>
            <w:r>
              <w:rPr>
                <w:rFonts w:asciiTheme="minorHAnsi" w:hAnsiTheme="minorHAnsi" w:cstheme="minorHAnsi"/>
                <w:bCs/>
                <w:szCs w:val="22"/>
              </w:rPr>
              <w:t>rout</w:t>
            </w:r>
            <w:r w:rsidR="00633F7A">
              <w:rPr>
                <w:rFonts w:asciiTheme="minorHAnsi" w:hAnsiTheme="minorHAnsi" w:cstheme="minorHAnsi"/>
                <w:bCs/>
                <w:szCs w:val="22"/>
              </w:rPr>
              <w:t>ing</w:t>
            </w:r>
            <w:r>
              <w:rPr>
                <w:rFonts w:asciiTheme="minorHAnsi" w:hAnsiTheme="minorHAnsi" w:cstheme="minorHAnsi"/>
                <w:bCs/>
                <w:szCs w:val="22"/>
              </w:rPr>
              <w:t xml:space="preserve"> of the PROW</w:t>
            </w:r>
            <w:r w:rsidR="00633F7A">
              <w:rPr>
                <w:rFonts w:asciiTheme="minorHAnsi" w:hAnsiTheme="minorHAnsi" w:cstheme="minorHAnsi"/>
                <w:bCs/>
                <w:szCs w:val="22"/>
              </w:rPr>
              <w:t xml:space="preserve"> and there is no other land within the applicant’s ownership through which the PROW could be diverted.</w:t>
            </w:r>
          </w:p>
          <w:p w14:paraId="6FD0FAEE" w14:textId="77777777" w:rsidR="00A15BB0" w:rsidRDefault="00A15BB0" w:rsidP="005D1788">
            <w:pPr>
              <w:contextualSpacing/>
              <w:jc w:val="both"/>
              <w:rPr>
                <w:rFonts w:asciiTheme="minorHAnsi" w:hAnsiTheme="minorHAnsi" w:cstheme="minorHAnsi"/>
                <w:bCs/>
                <w:szCs w:val="22"/>
              </w:rPr>
            </w:pPr>
          </w:p>
          <w:p w14:paraId="3903CB89" w14:textId="77777777" w:rsidR="00A15BB0" w:rsidRDefault="00A15BB0" w:rsidP="005D1788">
            <w:pPr>
              <w:contextualSpacing/>
              <w:jc w:val="both"/>
              <w:rPr>
                <w:rFonts w:asciiTheme="minorHAnsi" w:hAnsiTheme="minorHAnsi" w:cstheme="minorHAnsi"/>
                <w:bCs/>
                <w:szCs w:val="22"/>
              </w:rPr>
            </w:pPr>
            <w:r>
              <w:rPr>
                <w:rFonts w:asciiTheme="minorHAnsi" w:hAnsiTheme="minorHAnsi" w:cstheme="minorHAnsi"/>
                <w:bCs/>
                <w:szCs w:val="22"/>
              </w:rPr>
              <w:t xml:space="preserve">Concerns regarding rights of access </w:t>
            </w:r>
            <w:r w:rsidR="00333DF2">
              <w:rPr>
                <w:rFonts w:asciiTheme="minorHAnsi" w:hAnsiTheme="minorHAnsi" w:cstheme="minorHAnsi"/>
                <w:bCs/>
                <w:szCs w:val="22"/>
              </w:rPr>
              <w:t>along Pendle Avenue are noted but this is not necessarily a planning matter.</w:t>
            </w:r>
          </w:p>
          <w:p w14:paraId="2A2C831B" w14:textId="75938FE2" w:rsidR="00333DF2" w:rsidRPr="00A15BB0" w:rsidRDefault="00333DF2" w:rsidP="005D1788">
            <w:pPr>
              <w:contextualSpacing/>
              <w:jc w:val="both"/>
              <w:rPr>
                <w:rFonts w:asciiTheme="minorHAnsi" w:hAnsiTheme="minorHAnsi" w:cstheme="minorHAnsi"/>
                <w:bCs/>
                <w:szCs w:val="22"/>
              </w:rPr>
            </w:pPr>
          </w:p>
        </w:tc>
      </w:tr>
      <w:tr w:rsidR="00333DF2" w:rsidRPr="00866186" w14:paraId="70FAFD3C" w14:textId="77777777" w:rsidTr="00C70DC7">
        <w:trPr>
          <w:jc w:val="center"/>
        </w:trPr>
        <w:tc>
          <w:tcPr>
            <w:tcW w:w="92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A42A49F" w14:textId="61A4191D" w:rsidR="00333DF2" w:rsidRDefault="00333DF2" w:rsidP="00333DF2">
            <w:pPr>
              <w:contextualSpacing/>
              <w:jc w:val="both"/>
              <w:rPr>
                <w:rFonts w:asciiTheme="minorHAnsi" w:hAnsiTheme="minorHAnsi" w:cstheme="minorHAnsi"/>
                <w:b/>
                <w:szCs w:val="22"/>
              </w:rPr>
            </w:pPr>
            <w:r w:rsidRPr="00333DF2">
              <w:rPr>
                <w:rFonts w:asciiTheme="minorHAnsi" w:hAnsiTheme="minorHAnsi" w:cstheme="minorHAnsi"/>
                <w:b/>
                <w:szCs w:val="22"/>
              </w:rPr>
              <w:t>Other Considerations:</w:t>
            </w:r>
          </w:p>
          <w:p w14:paraId="6F645F46" w14:textId="1A927E07" w:rsidR="00333DF2" w:rsidRDefault="00333DF2" w:rsidP="00333DF2">
            <w:pPr>
              <w:contextualSpacing/>
              <w:jc w:val="both"/>
              <w:rPr>
                <w:rFonts w:asciiTheme="minorHAnsi" w:hAnsiTheme="minorHAnsi" w:cstheme="minorHAnsi"/>
                <w:bCs/>
                <w:szCs w:val="22"/>
              </w:rPr>
            </w:pPr>
            <w:r>
              <w:rPr>
                <w:rFonts w:asciiTheme="minorHAnsi" w:hAnsiTheme="minorHAnsi" w:cstheme="minorHAnsi"/>
                <w:bCs/>
                <w:szCs w:val="22"/>
              </w:rPr>
              <w:t>The Preliminary Ecological Appraisal of the site confirms that plant species present are considered to be of low ecological value.</w:t>
            </w:r>
            <w:r w:rsidR="008E1825">
              <w:rPr>
                <w:rFonts w:asciiTheme="minorHAnsi" w:hAnsiTheme="minorHAnsi" w:cstheme="minorHAnsi"/>
                <w:bCs/>
                <w:szCs w:val="22"/>
              </w:rPr>
              <w:t xml:space="preserve"> A small area of woodland to the east of the site has moderate value and would be retained and protected within the proposed development. The woodland fragments are likely to provide shelter for foraging bats and high-quality bat habitat extends from the site. No indications of roosting or suitable roost sites were located within trees.</w:t>
            </w:r>
          </w:p>
          <w:p w14:paraId="00F9910A" w14:textId="013DCC7B" w:rsidR="008E1825" w:rsidRDefault="008E1825" w:rsidP="00333DF2">
            <w:pPr>
              <w:contextualSpacing/>
              <w:jc w:val="both"/>
              <w:rPr>
                <w:rFonts w:asciiTheme="minorHAnsi" w:hAnsiTheme="minorHAnsi" w:cstheme="minorHAnsi"/>
                <w:bCs/>
                <w:szCs w:val="22"/>
              </w:rPr>
            </w:pPr>
          </w:p>
          <w:p w14:paraId="3ADA45BB" w14:textId="3A64A261" w:rsidR="008E1825" w:rsidRPr="00693787" w:rsidRDefault="008E1825" w:rsidP="00333DF2">
            <w:pPr>
              <w:contextualSpacing/>
              <w:jc w:val="both"/>
              <w:rPr>
                <w:rFonts w:asciiTheme="minorHAnsi" w:hAnsiTheme="minorHAnsi" w:cstheme="minorHAnsi"/>
                <w:bCs/>
                <w:szCs w:val="22"/>
              </w:rPr>
            </w:pPr>
            <w:r>
              <w:rPr>
                <w:rFonts w:asciiTheme="minorHAnsi" w:hAnsiTheme="minorHAnsi" w:cstheme="minorHAnsi"/>
                <w:bCs/>
                <w:szCs w:val="22"/>
              </w:rPr>
              <w:t xml:space="preserve">The Arboricultural Impact Assessment and Method Statement identifies a requirement to remove three </w:t>
            </w:r>
            <w:r w:rsidR="00D83541">
              <w:rPr>
                <w:rFonts w:asciiTheme="minorHAnsi" w:hAnsiTheme="minorHAnsi" w:cstheme="minorHAnsi"/>
                <w:bCs/>
                <w:szCs w:val="22"/>
              </w:rPr>
              <w:t xml:space="preserve">trees </w:t>
            </w:r>
            <w:r>
              <w:rPr>
                <w:rFonts w:asciiTheme="minorHAnsi" w:hAnsiTheme="minorHAnsi" w:cstheme="minorHAnsi"/>
                <w:bCs/>
                <w:szCs w:val="22"/>
              </w:rPr>
              <w:t>at the site (</w:t>
            </w:r>
            <w:r w:rsidR="00D83541">
              <w:rPr>
                <w:rFonts w:asciiTheme="minorHAnsi" w:hAnsiTheme="minorHAnsi" w:cstheme="minorHAnsi"/>
                <w:bCs/>
                <w:szCs w:val="22"/>
              </w:rPr>
              <w:t xml:space="preserve">T3, T4 and T5) in addition to low qualities groups. A landscaping scheme for the site should provide suitable replacement tree planting and enhancement of the biodiversity potential of the site in accordance with the compensatory planning and habitat enhancement details </w:t>
            </w:r>
            <w:r w:rsidR="00D83541" w:rsidRPr="00693787">
              <w:rPr>
                <w:rFonts w:asciiTheme="minorHAnsi" w:hAnsiTheme="minorHAnsi" w:cstheme="minorHAnsi"/>
                <w:bCs/>
                <w:szCs w:val="22"/>
              </w:rPr>
              <w:t>contained at section 7 of the Preliminary Ecological Appraisal.</w:t>
            </w:r>
          </w:p>
          <w:p w14:paraId="5EA06A72" w14:textId="4B20711A" w:rsidR="00333DF2" w:rsidRPr="00693787" w:rsidRDefault="00333DF2" w:rsidP="00333DF2">
            <w:pPr>
              <w:contextualSpacing/>
              <w:jc w:val="both"/>
              <w:rPr>
                <w:rFonts w:asciiTheme="minorHAnsi" w:hAnsiTheme="minorHAnsi" w:cstheme="minorHAnsi"/>
                <w:b/>
                <w:szCs w:val="22"/>
              </w:rPr>
            </w:pPr>
          </w:p>
          <w:p w14:paraId="4F790CCC" w14:textId="76738583" w:rsidR="00D83541" w:rsidRDefault="00D83541" w:rsidP="004B35C7">
            <w:pPr>
              <w:jc w:val="both"/>
              <w:rPr>
                <w:rFonts w:asciiTheme="minorHAnsi" w:hAnsiTheme="minorHAnsi" w:cstheme="minorHAnsi"/>
                <w:szCs w:val="22"/>
              </w:rPr>
            </w:pPr>
            <w:r w:rsidRPr="00693787">
              <w:rPr>
                <w:rFonts w:asciiTheme="minorHAnsi" w:hAnsiTheme="minorHAnsi" w:cstheme="minorHAnsi"/>
                <w:szCs w:val="22"/>
              </w:rPr>
              <w:t>The application site</w:t>
            </w:r>
            <w:r w:rsidR="00693787" w:rsidRPr="00693787">
              <w:rPr>
                <w:rFonts w:asciiTheme="minorHAnsi" w:hAnsiTheme="minorHAnsi" w:cstheme="minorHAnsi"/>
                <w:szCs w:val="22"/>
              </w:rPr>
              <w:t xml:space="preserve"> to the north</w:t>
            </w:r>
            <w:r w:rsidRPr="00693787">
              <w:rPr>
                <w:rFonts w:asciiTheme="minorHAnsi" w:hAnsiTheme="minorHAnsi" w:cstheme="minorHAnsi"/>
                <w:szCs w:val="22"/>
              </w:rPr>
              <w:t xml:space="preserve"> lies </w:t>
            </w:r>
            <w:r w:rsidR="00693787" w:rsidRPr="00693787">
              <w:rPr>
                <w:rFonts w:asciiTheme="minorHAnsi" w:hAnsiTheme="minorHAnsi" w:cstheme="minorHAnsi"/>
                <w:szCs w:val="22"/>
              </w:rPr>
              <w:t xml:space="preserve">within </w:t>
            </w:r>
            <w:r w:rsidRPr="00693787">
              <w:rPr>
                <w:rFonts w:asciiTheme="minorHAnsi" w:hAnsiTheme="minorHAnsi" w:cstheme="minorHAnsi"/>
                <w:szCs w:val="22"/>
              </w:rPr>
              <w:t>Flood Zon</w:t>
            </w:r>
            <w:r w:rsidR="00693787" w:rsidRPr="00693787">
              <w:rPr>
                <w:rFonts w:asciiTheme="minorHAnsi" w:hAnsiTheme="minorHAnsi" w:cstheme="minorHAnsi"/>
                <w:szCs w:val="22"/>
              </w:rPr>
              <w:t xml:space="preserve">es 2 and 3 </w:t>
            </w:r>
            <w:r w:rsidRPr="00693787">
              <w:rPr>
                <w:rFonts w:asciiTheme="minorHAnsi" w:hAnsiTheme="minorHAnsi" w:cstheme="minorHAnsi"/>
                <w:szCs w:val="22"/>
              </w:rPr>
              <w:t xml:space="preserve">– </w:t>
            </w:r>
            <w:r w:rsidR="00693787" w:rsidRPr="00693787">
              <w:rPr>
                <w:rFonts w:asciiTheme="minorHAnsi" w:hAnsiTheme="minorHAnsi" w:cstheme="minorHAnsi"/>
                <w:szCs w:val="22"/>
              </w:rPr>
              <w:t>part of the site to the south is within Flood Zone 1.</w:t>
            </w:r>
            <w:r w:rsidR="00693787">
              <w:rPr>
                <w:rFonts w:asciiTheme="minorHAnsi" w:hAnsiTheme="minorHAnsi" w:cstheme="minorHAnsi"/>
                <w:szCs w:val="22"/>
              </w:rPr>
              <w:t xml:space="preserve"> The proposed dwellings, at least in part, would lie within </w:t>
            </w:r>
            <w:r w:rsidR="000422DD">
              <w:rPr>
                <w:rFonts w:asciiTheme="minorHAnsi" w:hAnsiTheme="minorHAnsi" w:cstheme="minorHAnsi"/>
                <w:szCs w:val="22"/>
              </w:rPr>
              <w:t xml:space="preserve">Flood Zones 2 and 3 as would the site </w:t>
            </w:r>
            <w:r w:rsidR="000422DD" w:rsidRPr="004B35C7">
              <w:rPr>
                <w:rFonts w:asciiTheme="minorHAnsi" w:hAnsiTheme="minorHAnsi" w:cstheme="minorHAnsi"/>
                <w:szCs w:val="22"/>
              </w:rPr>
              <w:t>access.</w:t>
            </w:r>
            <w:r w:rsidR="004B35C7">
              <w:rPr>
                <w:rFonts w:asciiTheme="minorHAnsi" w:hAnsiTheme="minorHAnsi" w:cstheme="minorHAnsi"/>
                <w:szCs w:val="22"/>
              </w:rPr>
              <w:t xml:space="preserve"> </w:t>
            </w:r>
            <w:r w:rsidRPr="004B35C7">
              <w:rPr>
                <w:rFonts w:asciiTheme="minorHAnsi" w:hAnsiTheme="minorHAnsi" w:cstheme="minorHAnsi"/>
                <w:szCs w:val="22"/>
              </w:rPr>
              <w:t>Residential development is categorised as ‘</w:t>
            </w:r>
            <w:r w:rsidR="004B35C7" w:rsidRPr="004B35C7">
              <w:rPr>
                <w:rFonts w:asciiTheme="minorHAnsi" w:hAnsiTheme="minorHAnsi" w:cstheme="minorHAnsi"/>
                <w:szCs w:val="22"/>
              </w:rPr>
              <w:t>more vulnerable’</w:t>
            </w:r>
            <w:r w:rsidRPr="004B35C7">
              <w:rPr>
                <w:rFonts w:asciiTheme="minorHAnsi" w:hAnsiTheme="minorHAnsi" w:cstheme="minorHAnsi"/>
                <w:szCs w:val="22"/>
              </w:rPr>
              <w:t xml:space="preserve"> in the National Planning Guidance. According to Flood Risk Standing Advice </w:t>
            </w:r>
            <w:r w:rsidR="004B35C7" w:rsidRPr="004B35C7">
              <w:rPr>
                <w:rFonts w:asciiTheme="minorHAnsi" w:hAnsiTheme="minorHAnsi" w:cstheme="minorHAnsi"/>
                <w:szCs w:val="22"/>
              </w:rPr>
              <w:t>the applicant is required to satisfy the Exception and Sequential Tests</w:t>
            </w:r>
            <w:r w:rsidR="004B35C7">
              <w:rPr>
                <w:rFonts w:asciiTheme="minorHAnsi" w:hAnsiTheme="minorHAnsi" w:cstheme="minorHAnsi"/>
                <w:szCs w:val="22"/>
              </w:rPr>
              <w:t>.</w:t>
            </w:r>
          </w:p>
          <w:p w14:paraId="48D5E0F6" w14:textId="5DFF9240" w:rsidR="004B35C7" w:rsidRDefault="004B35C7" w:rsidP="004B35C7">
            <w:pPr>
              <w:jc w:val="both"/>
              <w:rPr>
                <w:rFonts w:asciiTheme="minorHAnsi" w:hAnsiTheme="minorHAnsi" w:cstheme="minorHAnsi"/>
                <w:szCs w:val="22"/>
              </w:rPr>
            </w:pPr>
          </w:p>
          <w:p w14:paraId="309A8548" w14:textId="2D8D453A" w:rsidR="003361E8" w:rsidRDefault="003361E8" w:rsidP="004B35C7">
            <w:pPr>
              <w:jc w:val="both"/>
              <w:rPr>
                <w:rFonts w:asciiTheme="minorHAnsi" w:hAnsiTheme="minorHAnsi" w:cstheme="minorHAnsi"/>
                <w:szCs w:val="22"/>
              </w:rPr>
            </w:pPr>
            <w:r>
              <w:rPr>
                <w:rFonts w:asciiTheme="minorHAnsi" w:hAnsiTheme="minorHAnsi" w:cstheme="minorHAnsi"/>
                <w:szCs w:val="22"/>
              </w:rPr>
              <w:t>The Environment Agency have provided a detailed response and raise the following points:</w:t>
            </w:r>
          </w:p>
          <w:p w14:paraId="1FA592FF" w14:textId="2E04FAB5" w:rsidR="003361E8" w:rsidRDefault="003361E8" w:rsidP="004B35C7">
            <w:pPr>
              <w:jc w:val="both"/>
              <w:rPr>
                <w:rFonts w:asciiTheme="minorHAnsi" w:hAnsiTheme="minorHAnsi" w:cstheme="minorHAnsi"/>
                <w:szCs w:val="22"/>
              </w:rPr>
            </w:pPr>
          </w:p>
          <w:p w14:paraId="0EED158C" w14:textId="40008747" w:rsidR="004B35C7" w:rsidRPr="008773A8" w:rsidRDefault="003361E8" w:rsidP="003F7B07">
            <w:pPr>
              <w:pStyle w:val="ListParagraph"/>
              <w:numPr>
                <w:ilvl w:val="0"/>
                <w:numId w:val="14"/>
              </w:numPr>
              <w:jc w:val="both"/>
              <w:rPr>
                <w:rFonts w:asciiTheme="minorHAnsi" w:hAnsiTheme="minorHAnsi" w:cstheme="minorHAnsi"/>
                <w:i/>
                <w:iCs/>
                <w:sz w:val="21"/>
                <w:szCs w:val="21"/>
              </w:rPr>
            </w:pPr>
            <w:r w:rsidRPr="008773A8">
              <w:rPr>
                <w:rFonts w:asciiTheme="minorHAnsi" w:hAnsiTheme="minorHAnsi" w:cstheme="minorHAnsi"/>
                <w:i/>
                <w:iCs/>
                <w:sz w:val="21"/>
                <w:szCs w:val="21"/>
              </w:rPr>
              <w:lastRenderedPageBreak/>
              <w:t xml:space="preserve">The </w:t>
            </w:r>
            <w:r w:rsidR="004B35C7" w:rsidRPr="008773A8">
              <w:rPr>
                <w:rFonts w:asciiTheme="minorHAnsi" w:hAnsiTheme="minorHAnsi" w:cstheme="minorHAnsi"/>
                <w:i/>
                <w:iCs/>
                <w:sz w:val="21"/>
                <w:szCs w:val="21"/>
              </w:rPr>
              <w:t>flood extents do not follow the</w:t>
            </w:r>
            <w:r w:rsidRPr="008773A8">
              <w:rPr>
                <w:rFonts w:asciiTheme="minorHAnsi" w:hAnsiTheme="minorHAnsi" w:cstheme="minorHAnsi"/>
                <w:i/>
                <w:iCs/>
                <w:sz w:val="21"/>
                <w:szCs w:val="21"/>
              </w:rPr>
              <w:t xml:space="preserve"> </w:t>
            </w:r>
            <w:r w:rsidR="004B35C7" w:rsidRPr="008773A8">
              <w:rPr>
                <w:rFonts w:asciiTheme="minorHAnsi" w:hAnsiTheme="minorHAnsi" w:cstheme="minorHAnsi"/>
                <w:i/>
                <w:iCs/>
                <w:sz w:val="21"/>
                <w:szCs w:val="21"/>
              </w:rPr>
              <w:t>topography in this area, which demonstrates that the</w:t>
            </w:r>
            <w:r w:rsidR="004B35C7" w:rsidRPr="008773A8">
              <w:rPr>
                <w:rFonts w:asciiTheme="minorHAnsi" w:hAnsiTheme="minorHAnsi" w:cstheme="minorHAnsi"/>
                <w:i/>
                <w:iCs/>
                <w:szCs w:val="22"/>
              </w:rPr>
              <w:t xml:space="preserve"> </w:t>
            </w:r>
            <w:r w:rsidR="004B35C7" w:rsidRPr="008773A8">
              <w:rPr>
                <w:rFonts w:asciiTheme="minorHAnsi" w:hAnsiTheme="minorHAnsi" w:cstheme="minorHAnsi"/>
                <w:i/>
                <w:iCs/>
                <w:sz w:val="21"/>
                <w:szCs w:val="21"/>
              </w:rPr>
              <w:t>modelled flood extents at this</w:t>
            </w:r>
            <w:r w:rsidRPr="008773A8">
              <w:rPr>
                <w:rFonts w:asciiTheme="minorHAnsi" w:hAnsiTheme="minorHAnsi" w:cstheme="minorHAnsi"/>
                <w:i/>
                <w:iCs/>
                <w:sz w:val="21"/>
                <w:szCs w:val="21"/>
              </w:rPr>
              <w:t xml:space="preserve"> </w:t>
            </w:r>
            <w:r w:rsidR="004B35C7" w:rsidRPr="008773A8">
              <w:rPr>
                <w:rFonts w:asciiTheme="minorHAnsi" w:hAnsiTheme="minorHAnsi" w:cstheme="minorHAnsi"/>
                <w:i/>
                <w:iCs/>
                <w:sz w:val="21"/>
                <w:szCs w:val="21"/>
              </w:rPr>
              <w:t>location are not realistic. Due to the flood risk in this area and the proposed development being served by the</w:t>
            </w:r>
            <w:r w:rsidRPr="008773A8">
              <w:rPr>
                <w:rFonts w:asciiTheme="minorHAnsi" w:hAnsiTheme="minorHAnsi" w:cstheme="minorHAnsi"/>
                <w:i/>
                <w:iCs/>
                <w:sz w:val="21"/>
                <w:szCs w:val="21"/>
              </w:rPr>
              <w:t xml:space="preserve"> </w:t>
            </w:r>
            <w:r w:rsidR="004B35C7" w:rsidRPr="008773A8">
              <w:rPr>
                <w:rFonts w:asciiTheme="minorHAnsi" w:hAnsiTheme="minorHAnsi" w:cstheme="minorHAnsi"/>
                <w:i/>
                <w:iCs/>
                <w:sz w:val="21"/>
                <w:szCs w:val="21"/>
              </w:rPr>
              <w:t>proposed singular point of access, it is important that a more detailed assessment of</w:t>
            </w:r>
            <w:r w:rsidRPr="008773A8">
              <w:rPr>
                <w:rFonts w:asciiTheme="minorHAnsi" w:hAnsiTheme="minorHAnsi" w:cstheme="minorHAnsi"/>
                <w:i/>
                <w:iCs/>
                <w:sz w:val="21"/>
                <w:szCs w:val="21"/>
              </w:rPr>
              <w:t xml:space="preserve"> </w:t>
            </w:r>
            <w:r w:rsidR="004B35C7" w:rsidRPr="008773A8">
              <w:rPr>
                <w:rFonts w:asciiTheme="minorHAnsi" w:hAnsiTheme="minorHAnsi" w:cstheme="minorHAnsi"/>
                <w:i/>
                <w:iCs/>
                <w:sz w:val="21"/>
                <w:szCs w:val="21"/>
              </w:rPr>
              <w:t>flood risk is undertaken.</w:t>
            </w:r>
          </w:p>
          <w:p w14:paraId="38604FC9" w14:textId="5B015974" w:rsidR="004B35C7" w:rsidRPr="008773A8" w:rsidRDefault="004B35C7" w:rsidP="003361E8">
            <w:pPr>
              <w:tabs>
                <w:tab w:val="left" w:pos="2610"/>
              </w:tabs>
              <w:jc w:val="both"/>
              <w:rPr>
                <w:rFonts w:asciiTheme="minorHAnsi" w:hAnsiTheme="minorHAnsi" w:cstheme="minorHAnsi"/>
                <w:i/>
                <w:iCs/>
                <w:sz w:val="21"/>
                <w:szCs w:val="21"/>
              </w:rPr>
            </w:pPr>
          </w:p>
          <w:p w14:paraId="0FDB2893" w14:textId="06FC6C4F" w:rsidR="003361E8" w:rsidRPr="008773A8" w:rsidRDefault="004B35C7" w:rsidP="003F7B07">
            <w:pPr>
              <w:pStyle w:val="ListParagraph"/>
              <w:numPr>
                <w:ilvl w:val="0"/>
                <w:numId w:val="14"/>
              </w:numPr>
              <w:jc w:val="both"/>
              <w:rPr>
                <w:rFonts w:asciiTheme="minorHAnsi" w:hAnsiTheme="minorHAnsi" w:cstheme="minorHAnsi"/>
                <w:i/>
                <w:iCs/>
                <w:sz w:val="21"/>
                <w:szCs w:val="21"/>
              </w:rPr>
            </w:pPr>
            <w:r w:rsidRPr="008773A8">
              <w:rPr>
                <w:rFonts w:asciiTheme="minorHAnsi" w:hAnsiTheme="minorHAnsi" w:cstheme="minorHAnsi"/>
                <w:i/>
                <w:iCs/>
                <w:sz w:val="21"/>
                <w:szCs w:val="21"/>
              </w:rPr>
              <w:t>EA access to the main river, Heys Brook must be considered in more detail. A large</w:t>
            </w:r>
            <w:r w:rsidR="003361E8" w:rsidRPr="008773A8">
              <w:rPr>
                <w:rFonts w:asciiTheme="minorHAnsi" w:hAnsiTheme="minorHAnsi" w:cstheme="minorHAnsi"/>
                <w:i/>
                <w:iCs/>
                <w:sz w:val="21"/>
                <w:szCs w:val="21"/>
              </w:rPr>
              <w:t xml:space="preserve"> </w:t>
            </w:r>
            <w:r w:rsidRPr="008773A8">
              <w:rPr>
                <w:rFonts w:asciiTheme="minorHAnsi" w:hAnsiTheme="minorHAnsi" w:cstheme="minorHAnsi"/>
                <w:i/>
                <w:iCs/>
                <w:sz w:val="21"/>
                <w:szCs w:val="21"/>
              </w:rPr>
              <w:t>amount of development appears to be proposed within 8m of the top of bank of Heys</w:t>
            </w:r>
            <w:r w:rsidR="003361E8" w:rsidRPr="008773A8">
              <w:rPr>
                <w:rFonts w:asciiTheme="minorHAnsi" w:hAnsiTheme="minorHAnsi" w:cstheme="minorHAnsi"/>
                <w:i/>
                <w:iCs/>
                <w:sz w:val="21"/>
                <w:szCs w:val="21"/>
              </w:rPr>
              <w:t xml:space="preserve"> </w:t>
            </w:r>
            <w:r w:rsidRPr="008773A8">
              <w:rPr>
                <w:rFonts w:asciiTheme="minorHAnsi" w:hAnsiTheme="minorHAnsi" w:cstheme="minorHAnsi"/>
                <w:i/>
                <w:iCs/>
                <w:sz w:val="21"/>
                <w:szCs w:val="21"/>
              </w:rPr>
              <w:t>Brook which would impair the EA’s access for maintenance and improvement works to</w:t>
            </w:r>
            <w:r w:rsidR="003361E8" w:rsidRPr="008773A8">
              <w:rPr>
                <w:rFonts w:asciiTheme="minorHAnsi" w:hAnsiTheme="minorHAnsi" w:cstheme="minorHAnsi"/>
                <w:i/>
                <w:iCs/>
                <w:sz w:val="21"/>
                <w:szCs w:val="21"/>
              </w:rPr>
              <w:t xml:space="preserve"> </w:t>
            </w:r>
            <w:r w:rsidRPr="008773A8">
              <w:rPr>
                <w:rFonts w:asciiTheme="minorHAnsi" w:hAnsiTheme="minorHAnsi" w:cstheme="minorHAnsi"/>
                <w:i/>
                <w:iCs/>
                <w:sz w:val="21"/>
                <w:szCs w:val="21"/>
              </w:rPr>
              <w:t>the river. This includes fencing, suspended paths and drives and buildings.</w:t>
            </w:r>
            <w:r w:rsidR="003361E8" w:rsidRPr="008773A8">
              <w:rPr>
                <w:rFonts w:asciiTheme="minorHAnsi" w:hAnsiTheme="minorHAnsi" w:cstheme="minorHAnsi"/>
                <w:i/>
                <w:iCs/>
                <w:sz w:val="21"/>
                <w:szCs w:val="21"/>
              </w:rPr>
              <w:t xml:space="preserve"> </w:t>
            </w:r>
            <w:r w:rsidRPr="008773A8">
              <w:rPr>
                <w:rFonts w:asciiTheme="minorHAnsi" w:hAnsiTheme="minorHAnsi" w:cstheme="minorHAnsi"/>
                <w:i/>
                <w:iCs/>
                <w:sz w:val="21"/>
                <w:szCs w:val="21"/>
              </w:rPr>
              <w:t>The EA requires that 8m from the top of the bank must remain development-free. It is</w:t>
            </w:r>
            <w:r w:rsidR="003361E8" w:rsidRPr="008773A8">
              <w:rPr>
                <w:rFonts w:asciiTheme="minorHAnsi" w:hAnsiTheme="minorHAnsi" w:cstheme="minorHAnsi"/>
                <w:i/>
                <w:iCs/>
                <w:sz w:val="21"/>
                <w:szCs w:val="21"/>
              </w:rPr>
              <w:t xml:space="preserve"> </w:t>
            </w:r>
            <w:r w:rsidRPr="008773A8">
              <w:rPr>
                <w:rFonts w:asciiTheme="minorHAnsi" w:hAnsiTheme="minorHAnsi" w:cstheme="minorHAnsi"/>
                <w:i/>
                <w:iCs/>
                <w:sz w:val="21"/>
                <w:szCs w:val="21"/>
              </w:rPr>
              <w:t>unlikely that a permit for development within this area would be forthcoming.</w:t>
            </w:r>
          </w:p>
          <w:p w14:paraId="5A7946BA" w14:textId="77777777" w:rsidR="003361E8" w:rsidRPr="008773A8" w:rsidRDefault="003361E8" w:rsidP="004B35C7">
            <w:pPr>
              <w:jc w:val="both"/>
              <w:rPr>
                <w:rFonts w:asciiTheme="minorHAnsi" w:hAnsiTheme="minorHAnsi" w:cstheme="minorHAnsi"/>
                <w:i/>
                <w:iCs/>
                <w:sz w:val="21"/>
                <w:szCs w:val="21"/>
              </w:rPr>
            </w:pPr>
          </w:p>
          <w:p w14:paraId="15C32FFC" w14:textId="1A02298C" w:rsidR="004B35C7" w:rsidRPr="008773A8" w:rsidRDefault="004B35C7" w:rsidP="008773A8">
            <w:pPr>
              <w:pStyle w:val="ListParagraph"/>
              <w:numPr>
                <w:ilvl w:val="0"/>
                <w:numId w:val="14"/>
              </w:numPr>
              <w:jc w:val="both"/>
              <w:rPr>
                <w:rFonts w:asciiTheme="minorHAnsi" w:hAnsiTheme="minorHAnsi" w:cstheme="minorHAnsi"/>
                <w:i/>
                <w:iCs/>
                <w:sz w:val="21"/>
                <w:szCs w:val="21"/>
              </w:rPr>
            </w:pPr>
            <w:r w:rsidRPr="008773A8">
              <w:rPr>
                <w:rFonts w:asciiTheme="minorHAnsi" w:hAnsiTheme="minorHAnsi" w:cstheme="minorHAnsi"/>
                <w:i/>
                <w:iCs/>
                <w:sz w:val="21"/>
                <w:szCs w:val="21"/>
              </w:rPr>
              <w:t>It is a concern that access and egress has not been adequately assessed to and from</w:t>
            </w:r>
            <w:r w:rsidR="003361E8" w:rsidRPr="008773A8">
              <w:rPr>
                <w:rFonts w:asciiTheme="minorHAnsi" w:hAnsiTheme="minorHAnsi" w:cstheme="minorHAnsi"/>
                <w:i/>
                <w:iCs/>
                <w:sz w:val="21"/>
                <w:szCs w:val="21"/>
              </w:rPr>
              <w:t xml:space="preserve"> </w:t>
            </w:r>
            <w:r w:rsidRPr="008773A8">
              <w:rPr>
                <w:rFonts w:asciiTheme="minorHAnsi" w:hAnsiTheme="minorHAnsi" w:cstheme="minorHAnsi"/>
                <w:i/>
                <w:iCs/>
                <w:sz w:val="21"/>
                <w:szCs w:val="21"/>
              </w:rPr>
              <w:t>the site. It is likely that access to these properties will be cut off in a flood event</w:t>
            </w:r>
            <w:r w:rsidR="003361E8" w:rsidRPr="008773A8">
              <w:rPr>
                <w:rFonts w:asciiTheme="minorHAnsi" w:hAnsiTheme="minorHAnsi" w:cstheme="minorHAnsi"/>
                <w:i/>
                <w:iCs/>
                <w:sz w:val="21"/>
                <w:szCs w:val="21"/>
              </w:rPr>
              <w:t xml:space="preserve"> </w:t>
            </w:r>
            <w:r w:rsidRPr="008773A8">
              <w:rPr>
                <w:rFonts w:asciiTheme="minorHAnsi" w:hAnsiTheme="minorHAnsi" w:cstheme="minorHAnsi"/>
                <w:i/>
                <w:iCs/>
                <w:sz w:val="21"/>
                <w:szCs w:val="21"/>
              </w:rPr>
              <w:t>potentially resulting in a risk to life. Currently, the proposal has outlined that there is a</w:t>
            </w:r>
            <w:r w:rsidR="003361E8" w:rsidRPr="008773A8">
              <w:rPr>
                <w:rFonts w:asciiTheme="minorHAnsi" w:hAnsiTheme="minorHAnsi" w:cstheme="minorHAnsi"/>
                <w:i/>
                <w:iCs/>
                <w:sz w:val="21"/>
                <w:szCs w:val="21"/>
              </w:rPr>
              <w:t xml:space="preserve"> </w:t>
            </w:r>
            <w:r w:rsidRPr="008773A8">
              <w:rPr>
                <w:rFonts w:asciiTheme="minorHAnsi" w:hAnsiTheme="minorHAnsi" w:cstheme="minorHAnsi"/>
                <w:i/>
                <w:iCs/>
                <w:sz w:val="21"/>
                <w:szCs w:val="21"/>
              </w:rPr>
              <w:t>singular point of access and egress to the site which will cross the watercourse and its</w:t>
            </w:r>
            <w:r w:rsidR="003361E8" w:rsidRPr="008773A8">
              <w:rPr>
                <w:rFonts w:asciiTheme="minorHAnsi" w:hAnsiTheme="minorHAnsi" w:cstheme="minorHAnsi"/>
                <w:i/>
                <w:iCs/>
                <w:sz w:val="21"/>
                <w:szCs w:val="21"/>
              </w:rPr>
              <w:t xml:space="preserve"> </w:t>
            </w:r>
            <w:r w:rsidRPr="008773A8">
              <w:rPr>
                <w:rFonts w:asciiTheme="minorHAnsi" w:hAnsiTheme="minorHAnsi" w:cstheme="minorHAnsi"/>
                <w:i/>
                <w:iCs/>
                <w:sz w:val="21"/>
                <w:szCs w:val="21"/>
              </w:rPr>
              <w:t>flood plain. Inadequate assessment of the access and egress to the site has been made</w:t>
            </w:r>
            <w:r w:rsidR="003361E8" w:rsidRPr="008773A8">
              <w:rPr>
                <w:rFonts w:asciiTheme="minorHAnsi" w:hAnsiTheme="minorHAnsi" w:cstheme="minorHAnsi"/>
                <w:i/>
                <w:iCs/>
                <w:sz w:val="21"/>
                <w:szCs w:val="21"/>
              </w:rPr>
              <w:t xml:space="preserve"> </w:t>
            </w:r>
            <w:r w:rsidRPr="008773A8">
              <w:rPr>
                <w:rFonts w:asciiTheme="minorHAnsi" w:hAnsiTheme="minorHAnsi" w:cstheme="minorHAnsi"/>
                <w:i/>
                <w:iCs/>
                <w:sz w:val="21"/>
                <w:szCs w:val="21"/>
              </w:rPr>
              <w:t>and based on the information available at present, the properties are likely to remain</w:t>
            </w:r>
            <w:r w:rsidR="003361E8" w:rsidRPr="008773A8">
              <w:rPr>
                <w:rFonts w:asciiTheme="minorHAnsi" w:hAnsiTheme="minorHAnsi" w:cstheme="minorHAnsi"/>
                <w:i/>
                <w:iCs/>
                <w:sz w:val="21"/>
                <w:szCs w:val="21"/>
              </w:rPr>
              <w:t xml:space="preserve"> </w:t>
            </w:r>
            <w:r w:rsidRPr="008773A8">
              <w:rPr>
                <w:rFonts w:asciiTheme="minorHAnsi" w:hAnsiTheme="minorHAnsi" w:cstheme="minorHAnsi"/>
                <w:i/>
                <w:iCs/>
                <w:sz w:val="21"/>
                <w:szCs w:val="21"/>
              </w:rPr>
              <w:t>cut-off and isolated in a flood event.</w:t>
            </w:r>
            <w:r w:rsidR="003361E8" w:rsidRPr="008773A8">
              <w:rPr>
                <w:rFonts w:asciiTheme="minorHAnsi" w:hAnsiTheme="minorHAnsi" w:cstheme="minorHAnsi"/>
                <w:i/>
                <w:iCs/>
                <w:sz w:val="21"/>
                <w:szCs w:val="21"/>
              </w:rPr>
              <w:t xml:space="preserve"> </w:t>
            </w:r>
            <w:r w:rsidRPr="008773A8">
              <w:rPr>
                <w:rFonts w:asciiTheme="minorHAnsi" w:hAnsiTheme="minorHAnsi" w:cstheme="minorHAnsi"/>
                <w:i/>
                <w:iCs/>
                <w:sz w:val="21"/>
                <w:szCs w:val="21"/>
              </w:rPr>
              <w:t>In addition, there are a number of details which have not been provided which would</w:t>
            </w:r>
            <w:r w:rsidR="003361E8" w:rsidRPr="008773A8">
              <w:rPr>
                <w:rFonts w:asciiTheme="minorHAnsi" w:hAnsiTheme="minorHAnsi" w:cstheme="minorHAnsi"/>
                <w:i/>
                <w:iCs/>
                <w:sz w:val="21"/>
                <w:szCs w:val="21"/>
              </w:rPr>
              <w:t xml:space="preserve"> </w:t>
            </w:r>
            <w:r w:rsidRPr="008773A8">
              <w:rPr>
                <w:rFonts w:asciiTheme="minorHAnsi" w:hAnsiTheme="minorHAnsi" w:cstheme="minorHAnsi"/>
                <w:i/>
                <w:iCs/>
                <w:sz w:val="21"/>
                <w:szCs w:val="21"/>
              </w:rPr>
              <w:t>further affect flood risk and access this includes;</w:t>
            </w:r>
            <w:r w:rsidR="008773A8" w:rsidRPr="008773A8">
              <w:rPr>
                <w:rFonts w:asciiTheme="minorHAnsi" w:hAnsiTheme="minorHAnsi" w:cstheme="minorHAnsi"/>
                <w:i/>
                <w:iCs/>
                <w:sz w:val="21"/>
                <w:szCs w:val="21"/>
              </w:rPr>
              <w:t xml:space="preserve"> 1) </w:t>
            </w:r>
            <w:r w:rsidRPr="008773A8">
              <w:rPr>
                <w:rFonts w:asciiTheme="minorHAnsi" w:hAnsiTheme="minorHAnsi" w:cstheme="minorHAnsi"/>
                <w:i/>
                <w:iCs/>
                <w:sz w:val="21"/>
                <w:szCs w:val="21"/>
              </w:rPr>
              <w:t>Bridge</w:t>
            </w:r>
            <w:r w:rsidR="008773A8" w:rsidRPr="008773A8">
              <w:rPr>
                <w:rFonts w:asciiTheme="minorHAnsi" w:hAnsiTheme="minorHAnsi" w:cstheme="minorHAnsi"/>
                <w:i/>
                <w:iCs/>
                <w:sz w:val="21"/>
                <w:szCs w:val="21"/>
              </w:rPr>
              <w:t xml:space="preserve"> and 2) </w:t>
            </w:r>
            <w:r w:rsidRPr="008773A8">
              <w:rPr>
                <w:rFonts w:asciiTheme="minorHAnsi" w:hAnsiTheme="minorHAnsi" w:cstheme="minorHAnsi"/>
                <w:i/>
                <w:iCs/>
                <w:sz w:val="21"/>
                <w:szCs w:val="21"/>
              </w:rPr>
              <w:t>Suspended driveway and footpaths</w:t>
            </w:r>
            <w:r w:rsidR="008773A8" w:rsidRPr="008773A8">
              <w:rPr>
                <w:rFonts w:asciiTheme="minorHAnsi" w:hAnsiTheme="minorHAnsi" w:cstheme="minorHAnsi"/>
                <w:i/>
                <w:iCs/>
                <w:sz w:val="21"/>
                <w:szCs w:val="21"/>
              </w:rPr>
              <w:t>.</w:t>
            </w:r>
          </w:p>
          <w:p w14:paraId="1A381EAB" w14:textId="77777777" w:rsidR="003F7B07" w:rsidRPr="008773A8" w:rsidRDefault="003F7B07" w:rsidP="004B35C7">
            <w:pPr>
              <w:jc w:val="both"/>
              <w:rPr>
                <w:rFonts w:asciiTheme="minorHAnsi" w:hAnsiTheme="minorHAnsi" w:cstheme="minorHAnsi"/>
                <w:i/>
                <w:iCs/>
                <w:sz w:val="21"/>
                <w:szCs w:val="21"/>
              </w:rPr>
            </w:pPr>
          </w:p>
          <w:p w14:paraId="710B24E0" w14:textId="60109440" w:rsidR="004B35C7" w:rsidRPr="008773A8" w:rsidRDefault="003F7B07" w:rsidP="003F7B07">
            <w:pPr>
              <w:pStyle w:val="ListParagraph"/>
              <w:numPr>
                <w:ilvl w:val="0"/>
                <w:numId w:val="14"/>
              </w:numPr>
              <w:jc w:val="both"/>
              <w:rPr>
                <w:rFonts w:asciiTheme="minorHAnsi" w:hAnsiTheme="minorHAnsi" w:cstheme="minorHAnsi"/>
                <w:i/>
                <w:iCs/>
                <w:sz w:val="21"/>
                <w:szCs w:val="21"/>
              </w:rPr>
            </w:pPr>
            <w:r w:rsidRPr="008773A8">
              <w:rPr>
                <w:rFonts w:asciiTheme="minorHAnsi" w:hAnsiTheme="minorHAnsi" w:cstheme="minorHAnsi"/>
                <w:i/>
                <w:iCs/>
                <w:sz w:val="21"/>
                <w:szCs w:val="21"/>
              </w:rPr>
              <w:t>N</w:t>
            </w:r>
            <w:r w:rsidR="004B35C7" w:rsidRPr="008773A8">
              <w:rPr>
                <w:rFonts w:asciiTheme="minorHAnsi" w:hAnsiTheme="minorHAnsi" w:cstheme="minorHAnsi"/>
                <w:i/>
                <w:iCs/>
                <w:sz w:val="21"/>
                <w:szCs w:val="21"/>
              </w:rPr>
              <w:t>either a detailed bridge design nor an assessment of its impact on flood</w:t>
            </w:r>
            <w:r w:rsidRPr="008773A8">
              <w:rPr>
                <w:rFonts w:asciiTheme="minorHAnsi" w:hAnsiTheme="minorHAnsi" w:cstheme="minorHAnsi"/>
                <w:i/>
                <w:iCs/>
                <w:sz w:val="21"/>
                <w:szCs w:val="21"/>
              </w:rPr>
              <w:t xml:space="preserve"> </w:t>
            </w:r>
            <w:r w:rsidR="004B35C7" w:rsidRPr="008773A8">
              <w:rPr>
                <w:rFonts w:asciiTheme="minorHAnsi" w:hAnsiTheme="minorHAnsi" w:cstheme="minorHAnsi"/>
                <w:i/>
                <w:iCs/>
                <w:sz w:val="21"/>
                <w:szCs w:val="21"/>
              </w:rPr>
              <w:t>risk have been provided. Due to the broad scale nature of the available modelled</w:t>
            </w:r>
            <w:r w:rsidRPr="008773A8">
              <w:rPr>
                <w:rFonts w:asciiTheme="minorHAnsi" w:hAnsiTheme="minorHAnsi" w:cstheme="minorHAnsi"/>
                <w:i/>
                <w:iCs/>
                <w:sz w:val="21"/>
                <w:szCs w:val="21"/>
              </w:rPr>
              <w:t xml:space="preserve"> </w:t>
            </w:r>
            <w:r w:rsidR="004B35C7" w:rsidRPr="008773A8">
              <w:rPr>
                <w:rFonts w:asciiTheme="minorHAnsi" w:hAnsiTheme="minorHAnsi" w:cstheme="minorHAnsi"/>
                <w:i/>
                <w:iCs/>
                <w:sz w:val="21"/>
                <w:szCs w:val="21"/>
              </w:rPr>
              <w:t>information at this location, detailed modelling must be undertaken to demonstrate that</w:t>
            </w:r>
            <w:r w:rsidRPr="008773A8">
              <w:rPr>
                <w:rFonts w:asciiTheme="minorHAnsi" w:hAnsiTheme="minorHAnsi" w:cstheme="minorHAnsi"/>
                <w:i/>
                <w:iCs/>
                <w:sz w:val="21"/>
                <w:szCs w:val="21"/>
              </w:rPr>
              <w:t xml:space="preserve"> </w:t>
            </w:r>
            <w:r w:rsidR="004B35C7" w:rsidRPr="008773A8">
              <w:rPr>
                <w:rFonts w:asciiTheme="minorHAnsi" w:hAnsiTheme="minorHAnsi" w:cstheme="minorHAnsi"/>
                <w:i/>
                <w:iCs/>
                <w:sz w:val="21"/>
                <w:szCs w:val="21"/>
              </w:rPr>
              <w:t>the proposed bridge will not increase flood risk at the site and elsewhere in events up to</w:t>
            </w:r>
            <w:r w:rsidRPr="008773A8">
              <w:rPr>
                <w:rFonts w:asciiTheme="minorHAnsi" w:hAnsiTheme="minorHAnsi" w:cstheme="minorHAnsi"/>
                <w:i/>
                <w:iCs/>
                <w:sz w:val="21"/>
                <w:szCs w:val="21"/>
              </w:rPr>
              <w:t xml:space="preserve"> </w:t>
            </w:r>
            <w:r w:rsidR="004B35C7" w:rsidRPr="008773A8">
              <w:rPr>
                <w:rFonts w:asciiTheme="minorHAnsi" w:hAnsiTheme="minorHAnsi" w:cstheme="minorHAnsi"/>
                <w:i/>
                <w:iCs/>
                <w:sz w:val="21"/>
                <w:szCs w:val="21"/>
              </w:rPr>
              <w:t>the 1% AEP plus climate change. This is critical to confirm that the design of the bridge</w:t>
            </w:r>
            <w:r w:rsidRPr="008773A8">
              <w:rPr>
                <w:rFonts w:asciiTheme="minorHAnsi" w:hAnsiTheme="minorHAnsi" w:cstheme="minorHAnsi"/>
                <w:i/>
                <w:iCs/>
                <w:sz w:val="21"/>
                <w:szCs w:val="21"/>
              </w:rPr>
              <w:t xml:space="preserve"> </w:t>
            </w:r>
            <w:r w:rsidR="004B35C7" w:rsidRPr="008773A8">
              <w:rPr>
                <w:rFonts w:asciiTheme="minorHAnsi" w:hAnsiTheme="minorHAnsi" w:cstheme="minorHAnsi"/>
                <w:i/>
                <w:iCs/>
                <w:sz w:val="21"/>
                <w:szCs w:val="21"/>
              </w:rPr>
              <w:t>does not cause an increased risk of flooding and that flood free access is provided to</w:t>
            </w:r>
            <w:r w:rsidRPr="008773A8">
              <w:rPr>
                <w:rFonts w:asciiTheme="minorHAnsi" w:hAnsiTheme="minorHAnsi" w:cstheme="minorHAnsi"/>
                <w:i/>
                <w:iCs/>
                <w:sz w:val="21"/>
                <w:szCs w:val="21"/>
              </w:rPr>
              <w:t xml:space="preserve"> </w:t>
            </w:r>
            <w:r w:rsidR="004B35C7" w:rsidRPr="008773A8">
              <w:rPr>
                <w:rFonts w:asciiTheme="minorHAnsi" w:hAnsiTheme="minorHAnsi" w:cstheme="minorHAnsi"/>
                <w:i/>
                <w:iCs/>
                <w:sz w:val="21"/>
                <w:szCs w:val="21"/>
              </w:rPr>
              <w:t>the proposed dwellings.</w:t>
            </w:r>
          </w:p>
          <w:p w14:paraId="5392929F" w14:textId="765D0E7F" w:rsidR="004B35C7" w:rsidRPr="008773A8" w:rsidRDefault="004B35C7" w:rsidP="004B35C7">
            <w:pPr>
              <w:jc w:val="both"/>
              <w:rPr>
                <w:rFonts w:asciiTheme="minorHAnsi" w:hAnsiTheme="minorHAnsi" w:cstheme="minorHAnsi"/>
                <w:i/>
                <w:iCs/>
                <w:sz w:val="21"/>
                <w:szCs w:val="21"/>
              </w:rPr>
            </w:pPr>
          </w:p>
          <w:p w14:paraId="0FE5C543" w14:textId="2B1608BB" w:rsidR="004B35C7" w:rsidRPr="008773A8" w:rsidRDefault="004B35C7" w:rsidP="003F7B07">
            <w:pPr>
              <w:pStyle w:val="ListParagraph"/>
              <w:numPr>
                <w:ilvl w:val="0"/>
                <w:numId w:val="14"/>
              </w:numPr>
              <w:jc w:val="both"/>
              <w:rPr>
                <w:rFonts w:asciiTheme="minorHAnsi" w:hAnsiTheme="minorHAnsi" w:cstheme="minorHAnsi"/>
                <w:i/>
                <w:iCs/>
                <w:sz w:val="21"/>
                <w:szCs w:val="21"/>
              </w:rPr>
            </w:pPr>
            <w:r w:rsidRPr="008773A8">
              <w:rPr>
                <w:rFonts w:asciiTheme="minorHAnsi" w:hAnsiTheme="minorHAnsi" w:cstheme="minorHAnsi"/>
                <w:i/>
                <w:iCs/>
                <w:sz w:val="21"/>
                <w:szCs w:val="21"/>
              </w:rPr>
              <w:t>The proposed suspended driveway and footpath designs have not been provided and</w:t>
            </w:r>
            <w:r w:rsidR="003F7B07" w:rsidRPr="008773A8">
              <w:rPr>
                <w:rFonts w:asciiTheme="minorHAnsi" w:hAnsiTheme="minorHAnsi" w:cstheme="minorHAnsi"/>
                <w:i/>
                <w:iCs/>
                <w:sz w:val="21"/>
                <w:szCs w:val="21"/>
              </w:rPr>
              <w:t xml:space="preserve"> </w:t>
            </w:r>
            <w:r w:rsidRPr="008773A8">
              <w:rPr>
                <w:rFonts w:asciiTheme="minorHAnsi" w:hAnsiTheme="minorHAnsi" w:cstheme="minorHAnsi"/>
                <w:i/>
                <w:iCs/>
                <w:sz w:val="21"/>
                <w:szCs w:val="21"/>
              </w:rPr>
              <w:t>therefore very little assessment has been made in relation to the impact of the designs</w:t>
            </w:r>
            <w:r w:rsidR="003F7B07" w:rsidRPr="008773A8">
              <w:rPr>
                <w:rFonts w:asciiTheme="minorHAnsi" w:hAnsiTheme="minorHAnsi" w:cstheme="minorHAnsi"/>
                <w:i/>
                <w:iCs/>
                <w:sz w:val="21"/>
                <w:szCs w:val="21"/>
              </w:rPr>
              <w:t xml:space="preserve"> </w:t>
            </w:r>
            <w:r w:rsidRPr="008773A8">
              <w:rPr>
                <w:rFonts w:asciiTheme="minorHAnsi" w:hAnsiTheme="minorHAnsi" w:cstheme="minorHAnsi"/>
                <w:i/>
                <w:iCs/>
                <w:sz w:val="21"/>
                <w:szCs w:val="21"/>
              </w:rPr>
              <w:t>on flood risk. Suspended structures can reduce capacity within the flood plain and affect</w:t>
            </w:r>
            <w:r w:rsidR="003F7B07" w:rsidRPr="008773A8">
              <w:rPr>
                <w:rFonts w:asciiTheme="minorHAnsi" w:hAnsiTheme="minorHAnsi" w:cstheme="minorHAnsi"/>
                <w:i/>
                <w:iCs/>
                <w:sz w:val="21"/>
                <w:szCs w:val="21"/>
              </w:rPr>
              <w:t xml:space="preserve"> </w:t>
            </w:r>
            <w:r w:rsidRPr="008773A8">
              <w:rPr>
                <w:rFonts w:asciiTheme="minorHAnsi" w:hAnsiTheme="minorHAnsi" w:cstheme="minorHAnsi"/>
                <w:i/>
                <w:iCs/>
                <w:sz w:val="21"/>
                <w:szCs w:val="21"/>
              </w:rPr>
              <w:t>flood flows. The proposed designs must be provided and modelled to show that they will</w:t>
            </w:r>
            <w:r w:rsidR="003F7B07" w:rsidRPr="008773A8">
              <w:rPr>
                <w:rFonts w:asciiTheme="minorHAnsi" w:hAnsiTheme="minorHAnsi" w:cstheme="minorHAnsi"/>
                <w:i/>
                <w:iCs/>
                <w:sz w:val="21"/>
                <w:szCs w:val="21"/>
              </w:rPr>
              <w:t xml:space="preserve"> </w:t>
            </w:r>
            <w:r w:rsidRPr="008773A8">
              <w:rPr>
                <w:rFonts w:asciiTheme="minorHAnsi" w:hAnsiTheme="minorHAnsi" w:cstheme="minorHAnsi"/>
                <w:i/>
                <w:iCs/>
                <w:sz w:val="21"/>
                <w:szCs w:val="21"/>
              </w:rPr>
              <w:t>not adversely affect flood risk.</w:t>
            </w:r>
            <w:r w:rsidR="003F7B07" w:rsidRPr="008773A8">
              <w:rPr>
                <w:rFonts w:asciiTheme="minorHAnsi" w:hAnsiTheme="minorHAnsi" w:cstheme="minorHAnsi"/>
                <w:i/>
                <w:iCs/>
                <w:sz w:val="21"/>
                <w:szCs w:val="21"/>
              </w:rPr>
              <w:t xml:space="preserve"> </w:t>
            </w:r>
            <w:r w:rsidRPr="008773A8">
              <w:rPr>
                <w:rFonts w:asciiTheme="minorHAnsi" w:hAnsiTheme="minorHAnsi" w:cstheme="minorHAnsi"/>
                <w:i/>
                <w:iCs/>
                <w:sz w:val="21"/>
                <w:szCs w:val="21"/>
              </w:rPr>
              <w:t>In addition, the suspended structures will affect access to the watercourse as these are</w:t>
            </w:r>
            <w:r w:rsidR="003F7B07" w:rsidRPr="008773A8">
              <w:rPr>
                <w:rFonts w:asciiTheme="minorHAnsi" w:hAnsiTheme="minorHAnsi" w:cstheme="minorHAnsi"/>
                <w:i/>
                <w:iCs/>
                <w:sz w:val="21"/>
                <w:szCs w:val="21"/>
              </w:rPr>
              <w:t xml:space="preserve"> </w:t>
            </w:r>
            <w:r w:rsidRPr="008773A8">
              <w:rPr>
                <w:rFonts w:asciiTheme="minorHAnsi" w:hAnsiTheme="minorHAnsi" w:cstheme="minorHAnsi"/>
                <w:i/>
                <w:iCs/>
                <w:sz w:val="21"/>
                <w:szCs w:val="21"/>
              </w:rPr>
              <w:t>in close proximity to the site.</w:t>
            </w:r>
          </w:p>
          <w:p w14:paraId="1A20EACD" w14:textId="77777777" w:rsidR="003F7B07" w:rsidRPr="008773A8" w:rsidRDefault="003F7B07" w:rsidP="004B35C7">
            <w:pPr>
              <w:jc w:val="both"/>
              <w:rPr>
                <w:rFonts w:asciiTheme="minorHAnsi" w:hAnsiTheme="minorHAnsi" w:cstheme="minorHAnsi"/>
                <w:i/>
                <w:iCs/>
                <w:sz w:val="21"/>
                <w:szCs w:val="21"/>
              </w:rPr>
            </w:pPr>
          </w:p>
          <w:p w14:paraId="7A477C08" w14:textId="3B12C426" w:rsidR="004B35C7" w:rsidRPr="008773A8" w:rsidRDefault="004B35C7" w:rsidP="003F7B07">
            <w:pPr>
              <w:pStyle w:val="ListParagraph"/>
              <w:numPr>
                <w:ilvl w:val="0"/>
                <w:numId w:val="14"/>
              </w:numPr>
              <w:jc w:val="both"/>
              <w:rPr>
                <w:rFonts w:asciiTheme="minorHAnsi" w:hAnsiTheme="minorHAnsi" w:cstheme="minorHAnsi"/>
                <w:i/>
                <w:iCs/>
                <w:sz w:val="21"/>
                <w:szCs w:val="21"/>
              </w:rPr>
            </w:pPr>
            <w:r w:rsidRPr="008773A8">
              <w:rPr>
                <w:rFonts w:asciiTheme="minorHAnsi" w:hAnsiTheme="minorHAnsi" w:cstheme="minorHAnsi"/>
                <w:i/>
                <w:iCs/>
                <w:sz w:val="21"/>
                <w:szCs w:val="21"/>
              </w:rPr>
              <w:t>Whilst not being secured at outline stage - as modelling of the proposed site has been</w:t>
            </w:r>
            <w:r w:rsidR="003F7B07" w:rsidRPr="008773A8">
              <w:rPr>
                <w:rFonts w:asciiTheme="minorHAnsi" w:hAnsiTheme="minorHAnsi" w:cstheme="minorHAnsi"/>
                <w:i/>
                <w:iCs/>
                <w:sz w:val="21"/>
                <w:szCs w:val="21"/>
              </w:rPr>
              <w:t xml:space="preserve"> </w:t>
            </w:r>
            <w:r w:rsidRPr="008773A8">
              <w:rPr>
                <w:rFonts w:asciiTheme="minorHAnsi" w:hAnsiTheme="minorHAnsi" w:cstheme="minorHAnsi"/>
                <w:i/>
                <w:iCs/>
                <w:sz w:val="21"/>
                <w:szCs w:val="21"/>
              </w:rPr>
              <w:t>requested – the finished floor levels must be updated in line with the modelling.</w:t>
            </w:r>
          </w:p>
          <w:p w14:paraId="59FBBDC5" w14:textId="77777777" w:rsidR="003F7B07" w:rsidRPr="008773A8" w:rsidRDefault="003F7B07" w:rsidP="004B35C7">
            <w:pPr>
              <w:jc w:val="both"/>
              <w:rPr>
                <w:rFonts w:asciiTheme="minorHAnsi" w:hAnsiTheme="minorHAnsi" w:cstheme="minorHAnsi"/>
                <w:i/>
                <w:iCs/>
                <w:sz w:val="21"/>
                <w:szCs w:val="21"/>
              </w:rPr>
            </w:pPr>
          </w:p>
          <w:p w14:paraId="464BB4CD" w14:textId="2999872D" w:rsidR="004B35C7" w:rsidRPr="008773A8" w:rsidRDefault="004B35C7" w:rsidP="003F7B07">
            <w:pPr>
              <w:pStyle w:val="ListParagraph"/>
              <w:numPr>
                <w:ilvl w:val="0"/>
                <w:numId w:val="14"/>
              </w:numPr>
              <w:jc w:val="both"/>
              <w:rPr>
                <w:rFonts w:asciiTheme="minorHAnsi" w:hAnsiTheme="minorHAnsi" w:cstheme="minorHAnsi"/>
                <w:i/>
                <w:iCs/>
                <w:sz w:val="21"/>
                <w:szCs w:val="21"/>
              </w:rPr>
            </w:pPr>
            <w:r w:rsidRPr="008773A8">
              <w:rPr>
                <w:rFonts w:asciiTheme="minorHAnsi" w:hAnsiTheme="minorHAnsi" w:cstheme="minorHAnsi"/>
                <w:i/>
                <w:iCs/>
                <w:sz w:val="21"/>
                <w:szCs w:val="21"/>
              </w:rPr>
              <w:t>Climate change allowances must be assessed in line with the Planning Practice</w:t>
            </w:r>
            <w:r w:rsidR="003F7B07" w:rsidRPr="008773A8">
              <w:rPr>
                <w:rFonts w:asciiTheme="minorHAnsi" w:hAnsiTheme="minorHAnsi" w:cstheme="minorHAnsi"/>
                <w:i/>
                <w:iCs/>
                <w:sz w:val="21"/>
                <w:szCs w:val="21"/>
              </w:rPr>
              <w:t xml:space="preserve"> </w:t>
            </w:r>
            <w:r w:rsidRPr="008773A8">
              <w:rPr>
                <w:rFonts w:asciiTheme="minorHAnsi" w:hAnsiTheme="minorHAnsi" w:cstheme="minorHAnsi"/>
                <w:i/>
                <w:iCs/>
                <w:sz w:val="21"/>
                <w:szCs w:val="21"/>
              </w:rPr>
              <w:t>Guidance. In line with this guidance, more vulnerable developments with a</w:t>
            </w:r>
            <w:r w:rsidR="003F7B07" w:rsidRPr="008773A8">
              <w:rPr>
                <w:rFonts w:asciiTheme="minorHAnsi" w:hAnsiTheme="minorHAnsi" w:cstheme="minorHAnsi"/>
                <w:i/>
                <w:iCs/>
                <w:sz w:val="21"/>
                <w:szCs w:val="21"/>
              </w:rPr>
              <w:t xml:space="preserve"> </w:t>
            </w:r>
            <w:r w:rsidRPr="008773A8">
              <w:rPr>
                <w:rFonts w:asciiTheme="minorHAnsi" w:hAnsiTheme="minorHAnsi" w:cstheme="minorHAnsi"/>
                <w:i/>
                <w:iCs/>
                <w:sz w:val="21"/>
                <w:szCs w:val="21"/>
              </w:rPr>
              <w:t>lifetime of 100-years, should consider the 35% and 70% climate change uplifts in</w:t>
            </w:r>
            <w:r w:rsidR="003F7B07" w:rsidRPr="008773A8">
              <w:rPr>
                <w:rFonts w:asciiTheme="minorHAnsi" w:hAnsiTheme="minorHAnsi" w:cstheme="minorHAnsi"/>
                <w:i/>
                <w:iCs/>
                <w:sz w:val="21"/>
                <w:szCs w:val="21"/>
              </w:rPr>
              <w:t xml:space="preserve"> </w:t>
            </w:r>
            <w:r w:rsidRPr="008773A8">
              <w:rPr>
                <w:rFonts w:asciiTheme="minorHAnsi" w:hAnsiTheme="minorHAnsi" w:cstheme="minorHAnsi"/>
                <w:i/>
                <w:iCs/>
                <w:sz w:val="21"/>
                <w:szCs w:val="21"/>
              </w:rPr>
              <w:t>the North West.</w:t>
            </w:r>
          </w:p>
          <w:p w14:paraId="01E38884" w14:textId="77777777" w:rsidR="003F7B07" w:rsidRPr="008773A8" w:rsidRDefault="003F7B07" w:rsidP="004B35C7">
            <w:pPr>
              <w:jc w:val="both"/>
              <w:rPr>
                <w:rFonts w:asciiTheme="minorHAnsi" w:hAnsiTheme="minorHAnsi" w:cstheme="minorHAnsi"/>
                <w:i/>
                <w:iCs/>
                <w:sz w:val="21"/>
                <w:szCs w:val="21"/>
              </w:rPr>
            </w:pPr>
          </w:p>
          <w:p w14:paraId="11117B28" w14:textId="37EEDC7D" w:rsidR="004B35C7" w:rsidRPr="008773A8" w:rsidRDefault="004B35C7" w:rsidP="003F7B07">
            <w:pPr>
              <w:pStyle w:val="ListParagraph"/>
              <w:numPr>
                <w:ilvl w:val="0"/>
                <w:numId w:val="14"/>
              </w:numPr>
              <w:jc w:val="both"/>
              <w:rPr>
                <w:rFonts w:asciiTheme="minorHAnsi" w:hAnsiTheme="minorHAnsi" w:cstheme="minorHAnsi"/>
                <w:i/>
                <w:iCs/>
                <w:sz w:val="21"/>
                <w:szCs w:val="21"/>
              </w:rPr>
            </w:pPr>
            <w:r w:rsidRPr="008773A8">
              <w:rPr>
                <w:rFonts w:asciiTheme="minorHAnsi" w:hAnsiTheme="minorHAnsi" w:cstheme="minorHAnsi"/>
                <w:i/>
                <w:iCs/>
                <w:sz w:val="21"/>
                <w:szCs w:val="21"/>
              </w:rPr>
              <w:t>The FRA states that the closest main river is the River Ribble, which is incorrect.</w:t>
            </w:r>
            <w:r w:rsidR="003F7B07" w:rsidRPr="008773A8">
              <w:rPr>
                <w:rFonts w:asciiTheme="minorHAnsi" w:hAnsiTheme="minorHAnsi" w:cstheme="minorHAnsi"/>
                <w:i/>
                <w:iCs/>
                <w:sz w:val="21"/>
                <w:szCs w:val="21"/>
              </w:rPr>
              <w:t xml:space="preserve"> </w:t>
            </w:r>
            <w:r w:rsidRPr="008773A8">
              <w:rPr>
                <w:rFonts w:asciiTheme="minorHAnsi" w:hAnsiTheme="minorHAnsi" w:cstheme="minorHAnsi"/>
                <w:i/>
                <w:iCs/>
                <w:sz w:val="21"/>
                <w:szCs w:val="21"/>
              </w:rPr>
              <w:t>Heys Brook which flows through the site is also a main river.</w:t>
            </w:r>
          </w:p>
          <w:p w14:paraId="71ECC313" w14:textId="1D6DE1C0" w:rsidR="00D83541" w:rsidRDefault="00D83541" w:rsidP="00D83541">
            <w:pPr>
              <w:pStyle w:val="Default"/>
              <w:ind w:left="1440" w:hanging="720"/>
              <w:jc w:val="both"/>
              <w:rPr>
                <w:color w:val="auto"/>
                <w:sz w:val="22"/>
                <w:szCs w:val="22"/>
              </w:rPr>
            </w:pPr>
          </w:p>
          <w:p w14:paraId="3CDD20B3" w14:textId="6857D5A3" w:rsidR="009612CC" w:rsidRPr="00FF1D9E" w:rsidRDefault="009612CC" w:rsidP="009612CC">
            <w:pPr>
              <w:pStyle w:val="Default"/>
              <w:jc w:val="both"/>
              <w:rPr>
                <w:rFonts w:asciiTheme="minorHAnsi" w:hAnsiTheme="minorHAnsi" w:cstheme="minorHAnsi"/>
                <w:color w:val="auto"/>
                <w:sz w:val="22"/>
                <w:szCs w:val="22"/>
              </w:rPr>
            </w:pPr>
            <w:r w:rsidRPr="009612CC">
              <w:rPr>
                <w:rFonts w:asciiTheme="minorHAnsi" w:hAnsiTheme="minorHAnsi" w:cstheme="minorHAnsi"/>
                <w:color w:val="auto"/>
                <w:sz w:val="22"/>
                <w:szCs w:val="22"/>
              </w:rPr>
              <w:t xml:space="preserve">The Framework and NPPG state that </w:t>
            </w:r>
            <w:r w:rsidRPr="009612CC">
              <w:rPr>
                <w:rFonts w:asciiTheme="minorHAnsi" w:hAnsiTheme="minorHAnsi" w:cstheme="minorHAnsi"/>
                <w:sz w:val="22"/>
                <w:szCs w:val="22"/>
              </w:rPr>
              <w:t xml:space="preserve">inappropriate development in areas of flooding should be avoided by directing development away from areas of highest risk through the application of the </w:t>
            </w:r>
            <w:r w:rsidRPr="00FF1D9E">
              <w:rPr>
                <w:rFonts w:asciiTheme="minorHAnsi" w:hAnsiTheme="minorHAnsi" w:cstheme="minorHAnsi"/>
                <w:sz w:val="22"/>
                <w:szCs w:val="22"/>
              </w:rPr>
              <w:t xml:space="preserve">‘Sequential Test’. This requires local planning authorities to refuse new developments if there are reasonably available sites appropriate for the proposed development in areas with a lower probability of flooding. </w:t>
            </w:r>
            <w:r w:rsidRPr="00FF1D9E">
              <w:rPr>
                <w:rFonts w:asciiTheme="minorHAnsi" w:hAnsiTheme="minorHAnsi" w:cstheme="minorHAnsi"/>
                <w:color w:val="auto"/>
                <w:sz w:val="22"/>
                <w:szCs w:val="22"/>
              </w:rPr>
              <w:t>It is considered that the applicant has failed to adequately consider alternative sites on the basis of land ownership only.</w:t>
            </w:r>
          </w:p>
          <w:p w14:paraId="0CABB8B1" w14:textId="32D9160C" w:rsidR="009612CC" w:rsidRPr="00FF1D9E" w:rsidRDefault="009612CC" w:rsidP="009612CC">
            <w:pPr>
              <w:pStyle w:val="Default"/>
              <w:jc w:val="both"/>
              <w:rPr>
                <w:rFonts w:asciiTheme="minorHAnsi" w:hAnsiTheme="minorHAnsi" w:cstheme="minorHAnsi"/>
                <w:color w:val="auto"/>
                <w:sz w:val="22"/>
                <w:szCs w:val="22"/>
              </w:rPr>
            </w:pPr>
          </w:p>
          <w:p w14:paraId="24235E7E" w14:textId="2236AD02" w:rsidR="00AA0B96" w:rsidRPr="00FF1D9E" w:rsidRDefault="009612CC" w:rsidP="00FF1D9E">
            <w:pPr>
              <w:pStyle w:val="Default"/>
              <w:jc w:val="both"/>
              <w:rPr>
                <w:rFonts w:asciiTheme="minorHAnsi" w:hAnsiTheme="minorHAnsi" w:cstheme="minorHAnsi"/>
                <w:color w:val="auto"/>
                <w:sz w:val="22"/>
                <w:szCs w:val="22"/>
              </w:rPr>
            </w:pPr>
            <w:r w:rsidRPr="00FF1D9E">
              <w:rPr>
                <w:rFonts w:asciiTheme="minorHAnsi" w:hAnsiTheme="minorHAnsi" w:cstheme="minorHAnsi"/>
                <w:color w:val="auto"/>
                <w:sz w:val="22"/>
                <w:szCs w:val="22"/>
              </w:rPr>
              <w:t>Furthermore, the application has failed to satisfy the Exception Test which requires the proposed development to show that it will provide wider sustainability benefits to the community that outweigh flood risk, and that it will be safe for its lifetime, without increasing flood risk elsewhere and where possible reduce flood risk overall.</w:t>
            </w:r>
            <w:r w:rsidR="00FF1D9E" w:rsidRPr="00FF1D9E">
              <w:rPr>
                <w:rFonts w:asciiTheme="minorHAnsi" w:hAnsiTheme="minorHAnsi" w:cstheme="minorHAnsi"/>
                <w:color w:val="auto"/>
                <w:sz w:val="22"/>
                <w:szCs w:val="22"/>
              </w:rPr>
              <w:t xml:space="preserve"> </w:t>
            </w:r>
            <w:r w:rsidR="00AA0B96" w:rsidRPr="00FF1D9E">
              <w:rPr>
                <w:rFonts w:asciiTheme="minorHAnsi" w:hAnsiTheme="minorHAnsi" w:cstheme="minorHAnsi"/>
                <w:bCs/>
                <w:sz w:val="22"/>
                <w:szCs w:val="22"/>
              </w:rPr>
              <w:t>The proposed development would be contrary to Policy DME6 of the Core Strategy and the relevant paragraphs of section 14 of the Framework.</w:t>
            </w:r>
          </w:p>
          <w:p w14:paraId="237595A7" w14:textId="6FD6F289" w:rsidR="005A776B" w:rsidRPr="00AA0B96" w:rsidRDefault="005A776B" w:rsidP="00103012">
            <w:pPr>
              <w:rPr>
                <w:rFonts w:asciiTheme="minorHAnsi" w:hAnsiTheme="minorHAnsi" w:cstheme="minorHAnsi"/>
                <w:bCs/>
                <w:szCs w:val="22"/>
              </w:rPr>
            </w:pPr>
          </w:p>
        </w:tc>
      </w:tr>
      <w:tr w:rsidR="005D1788" w:rsidRPr="00866186" w14:paraId="5146E9F3" w14:textId="77777777" w:rsidTr="00C70DC7">
        <w:trPr>
          <w:jc w:val="center"/>
        </w:trPr>
        <w:tc>
          <w:tcPr>
            <w:tcW w:w="927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89EA2B" w14:textId="7A281C69" w:rsidR="005D1788" w:rsidRPr="005A776B" w:rsidRDefault="005D1788" w:rsidP="00AA0B96">
            <w:pPr>
              <w:contextualSpacing/>
              <w:jc w:val="both"/>
              <w:rPr>
                <w:rFonts w:asciiTheme="minorHAnsi" w:hAnsiTheme="minorHAnsi" w:cstheme="minorHAnsi"/>
                <w:b/>
                <w:bCs/>
                <w:szCs w:val="22"/>
              </w:rPr>
            </w:pPr>
            <w:r w:rsidRPr="005A776B">
              <w:rPr>
                <w:rFonts w:asciiTheme="minorHAnsi" w:hAnsiTheme="minorHAnsi" w:cstheme="minorHAnsi"/>
                <w:b/>
                <w:bCs/>
                <w:szCs w:val="22"/>
              </w:rPr>
              <w:lastRenderedPageBreak/>
              <w:t>Conclusion</w:t>
            </w:r>
            <w:r w:rsidR="005A776B">
              <w:rPr>
                <w:rFonts w:asciiTheme="minorHAnsi" w:hAnsiTheme="minorHAnsi" w:cstheme="minorHAnsi"/>
                <w:b/>
                <w:bCs/>
                <w:szCs w:val="22"/>
              </w:rPr>
              <w:t>:</w:t>
            </w:r>
          </w:p>
          <w:p w14:paraId="4DE933C2" w14:textId="68B2143E" w:rsidR="005D1788" w:rsidRPr="00AA0B96" w:rsidRDefault="005D1788" w:rsidP="00AA0B96">
            <w:pPr>
              <w:contextualSpacing/>
              <w:jc w:val="both"/>
              <w:rPr>
                <w:rFonts w:asciiTheme="minorHAnsi" w:hAnsiTheme="minorHAnsi" w:cstheme="minorHAnsi"/>
                <w:szCs w:val="22"/>
              </w:rPr>
            </w:pPr>
            <w:r w:rsidRPr="00AA0B96">
              <w:rPr>
                <w:rFonts w:asciiTheme="minorHAnsi" w:hAnsiTheme="minorHAnsi" w:cstheme="minorHAnsi"/>
                <w:bCs/>
                <w:szCs w:val="22"/>
              </w:rPr>
              <w:t xml:space="preserve">Considering the above, </w:t>
            </w:r>
            <w:r w:rsidRPr="00AA0B96">
              <w:rPr>
                <w:rFonts w:asciiTheme="minorHAnsi" w:hAnsiTheme="minorHAnsi" w:cstheme="minorHAnsi"/>
                <w:szCs w:val="22"/>
                <w:lang w:eastAsia="en-GB"/>
              </w:rPr>
              <w:t xml:space="preserve">the creation of </w:t>
            </w:r>
            <w:r w:rsidR="00103012" w:rsidRPr="00AA0B96">
              <w:rPr>
                <w:rFonts w:asciiTheme="minorHAnsi" w:hAnsiTheme="minorHAnsi" w:cstheme="minorHAnsi"/>
                <w:szCs w:val="22"/>
                <w:lang w:eastAsia="en-GB"/>
              </w:rPr>
              <w:t>two</w:t>
            </w:r>
            <w:r w:rsidRPr="00AA0B96">
              <w:rPr>
                <w:rFonts w:asciiTheme="minorHAnsi" w:hAnsiTheme="minorHAnsi" w:cstheme="minorHAnsi"/>
                <w:szCs w:val="22"/>
                <w:lang w:eastAsia="en-GB"/>
              </w:rPr>
              <w:t xml:space="preserve"> open market dwellings within the defined open countryside without sufficient justification </w:t>
            </w:r>
            <w:r w:rsidRPr="00AA0B96">
              <w:rPr>
                <w:rFonts w:asciiTheme="minorHAnsi" w:eastAsia="Calibri" w:hAnsiTheme="minorHAnsi" w:cstheme="minorHAnsi"/>
                <w:szCs w:val="22"/>
              </w:rPr>
              <w:t xml:space="preserve">would be contrary to </w:t>
            </w:r>
            <w:r w:rsidRPr="00AA0B96">
              <w:rPr>
                <w:rFonts w:asciiTheme="minorHAnsi" w:hAnsiTheme="minorHAnsi" w:cstheme="minorHAnsi"/>
                <w:bCs/>
                <w:szCs w:val="22"/>
              </w:rPr>
              <w:t>Policies DMG2 and DMH3 of the Core Strategy</w:t>
            </w:r>
            <w:r w:rsidR="00BA0FEF" w:rsidRPr="00AA0B96">
              <w:rPr>
                <w:rFonts w:asciiTheme="minorHAnsi" w:hAnsiTheme="minorHAnsi" w:cstheme="minorHAnsi"/>
                <w:bCs/>
                <w:szCs w:val="22"/>
              </w:rPr>
              <w:t xml:space="preserve">. The development </w:t>
            </w:r>
            <w:r w:rsidRPr="00AA0B96">
              <w:rPr>
                <w:rFonts w:asciiTheme="minorHAnsi" w:hAnsiTheme="minorHAnsi" w:cstheme="minorHAnsi"/>
                <w:szCs w:val="22"/>
              </w:rPr>
              <w:t xml:space="preserve">would </w:t>
            </w:r>
            <w:r w:rsidR="00BA0FEF" w:rsidRPr="00AA0B96">
              <w:rPr>
                <w:rFonts w:asciiTheme="minorHAnsi" w:hAnsiTheme="minorHAnsi" w:cstheme="minorHAnsi"/>
                <w:szCs w:val="22"/>
              </w:rPr>
              <w:t xml:space="preserve">also result in </w:t>
            </w:r>
            <w:r w:rsidRPr="00AA0B96">
              <w:rPr>
                <w:rFonts w:asciiTheme="minorHAnsi" w:hAnsiTheme="minorHAnsi" w:cstheme="minorHAnsi"/>
                <w:szCs w:val="22"/>
              </w:rPr>
              <w:t xml:space="preserve">harm </w:t>
            </w:r>
            <w:r w:rsidR="00BA0FEF" w:rsidRPr="00AA0B96">
              <w:rPr>
                <w:rFonts w:asciiTheme="minorHAnsi" w:hAnsiTheme="minorHAnsi" w:cstheme="minorHAnsi"/>
                <w:szCs w:val="22"/>
              </w:rPr>
              <w:t>encroachment into the open countryside</w:t>
            </w:r>
            <w:r w:rsidRPr="00AA0B96">
              <w:rPr>
                <w:rFonts w:asciiTheme="minorHAnsi" w:hAnsiTheme="minorHAnsi" w:cstheme="minorHAnsi"/>
                <w:szCs w:val="22"/>
              </w:rPr>
              <w:t xml:space="preserve">, and thus would conflict with </w:t>
            </w:r>
            <w:r w:rsidR="00BA0FEF" w:rsidRPr="00AA0B96">
              <w:rPr>
                <w:rFonts w:asciiTheme="minorHAnsi" w:hAnsiTheme="minorHAnsi" w:cstheme="minorHAnsi"/>
                <w:szCs w:val="22"/>
              </w:rPr>
              <w:t xml:space="preserve">Key Statement EN2 and </w:t>
            </w:r>
            <w:r w:rsidRPr="00AA0B96">
              <w:rPr>
                <w:rFonts w:asciiTheme="minorHAnsi" w:hAnsiTheme="minorHAnsi" w:cstheme="minorHAnsi"/>
                <w:szCs w:val="22"/>
              </w:rPr>
              <w:t>Policy DMG2 of the Core Strategy.</w:t>
            </w:r>
          </w:p>
          <w:p w14:paraId="12BF855D" w14:textId="586BF768" w:rsidR="00BA0FEF" w:rsidRPr="00AA0B96" w:rsidRDefault="00BA0FEF" w:rsidP="00AA0B96">
            <w:pPr>
              <w:contextualSpacing/>
              <w:jc w:val="both"/>
              <w:rPr>
                <w:rFonts w:asciiTheme="minorHAnsi" w:hAnsiTheme="minorHAnsi" w:cstheme="minorHAnsi"/>
                <w:bCs/>
                <w:szCs w:val="22"/>
              </w:rPr>
            </w:pPr>
          </w:p>
          <w:p w14:paraId="5CD82539" w14:textId="22EA93EC" w:rsidR="00BA0FEF" w:rsidRPr="00AA0B96" w:rsidRDefault="00AA0B96" w:rsidP="00AA0B96">
            <w:pPr>
              <w:overflowPunct/>
              <w:jc w:val="both"/>
              <w:textAlignment w:val="auto"/>
              <w:rPr>
                <w:rFonts w:asciiTheme="minorHAnsi" w:eastAsiaTheme="minorHAnsi" w:hAnsiTheme="minorHAnsi" w:cstheme="minorHAnsi"/>
                <w:szCs w:val="22"/>
              </w:rPr>
            </w:pPr>
            <w:r w:rsidRPr="00AA0B96">
              <w:rPr>
                <w:rFonts w:asciiTheme="minorHAnsi" w:eastAsiaTheme="minorHAnsi" w:hAnsiTheme="minorHAnsi" w:cstheme="minorHAnsi"/>
                <w:szCs w:val="22"/>
              </w:rPr>
              <w:t>T</w:t>
            </w:r>
            <w:r w:rsidR="00BA0FEF" w:rsidRPr="00AA0B96">
              <w:rPr>
                <w:rFonts w:asciiTheme="minorHAnsi" w:eastAsiaTheme="minorHAnsi" w:hAnsiTheme="minorHAnsi" w:cstheme="minorHAnsi"/>
                <w:szCs w:val="22"/>
              </w:rPr>
              <w:t xml:space="preserve">he applicant has failed to provide any information regarding alternative sites nor </w:t>
            </w:r>
            <w:r w:rsidRPr="00AA0B96">
              <w:rPr>
                <w:rFonts w:asciiTheme="minorHAnsi" w:eastAsiaTheme="minorHAnsi" w:hAnsiTheme="minorHAnsi" w:cstheme="minorHAnsi"/>
                <w:szCs w:val="22"/>
              </w:rPr>
              <w:t xml:space="preserve">submitted evidence to demonstrate that the development proposals would </w:t>
            </w:r>
            <w:r w:rsidR="00BA0FEF" w:rsidRPr="00AA0B96">
              <w:rPr>
                <w:rFonts w:asciiTheme="minorHAnsi" w:hAnsiTheme="minorHAnsi" w:cstheme="minorHAnsi"/>
                <w:szCs w:val="22"/>
              </w:rPr>
              <w:t>provide wider sustainability benefits to the community that outweigh flood risk, and that it will be safe for its lifetime</w:t>
            </w:r>
            <w:r w:rsidRPr="00AA0B96">
              <w:rPr>
                <w:rFonts w:asciiTheme="minorHAnsi" w:hAnsiTheme="minorHAnsi" w:cstheme="minorHAnsi"/>
                <w:szCs w:val="22"/>
              </w:rPr>
              <w:t xml:space="preserve">. </w:t>
            </w:r>
          </w:p>
          <w:p w14:paraId="067385E7" w14:textId="77777777" w:rsidR="005D1788" w:rsidRPr="00AA0B96" w:rsidRDefault="005D1788" w:rsidP="00AA0B96">
            <w:pPr>
              <w:contextualSpacing/>
              <w:jc w:val="both"/>
              <w:rPr>
                <w:rFonts w:asciiTheme="minorHAnsi" w:hAnsiTheme="minorHAnsi" w:cstheme="minorHAnsi"/>
                <w:bCs/>
                <w:szCs w:val="22"/>
              </w:rPr>
            </w:pPr>
          </w:p>
          <w:p w14:paraId="0A0108BE" w14:textId="77777777" w:rsidR="005D1788" w:rsidRPr="00AA0B96" w:rsidRDefault="005D1788" w:rsidP="00AA0B96">
            <w:pPr>
              <w:contextualSpacing/>
              <w:jc w:val="both"/>
              <w:rPr>
                <w:rFonts w:asciiTheme="minorHAnsi" w:hAnsiTheme="minorHAnsi" w:cstheme="minorHAnsi"/>
                <w:bCs/>
                <w:szCs w:val="22"/>
              </w:rPr>
            </w:pPr>
            <w:r w:rsidRPr="00AA0B96">
              <w:rPr>
                <w:rFonts w:asciiTheme="minorHAnsi" w:hAnsiTheme="minorHAnsi" w:cstheme="minorHAnsi"/>
                <w:bCs/>
                <w:szCs w:val="22"/>
              </w:rPr>
              <w:t>As such, it is recommended that the application be refused.</w:t>
            </w:r>
          </w:p>
          <w:p w14:paraId="273C599F" w14:textId="080A30DB" w:rsidR="00AA0B96" w:rsidRPr="004A75AF" w:rsidRDefault="00AA0B96" w:rsidP="005D1788">
            <w:pPr>
              <w:contextualSpacing/>
              <w:jc w:val="both"/>
              <w:rPr>
                <w:rFonts w:asciiTheme="minorHAnsi" w:hAnsiTheme="minorHAnsi" w:cstheme="minorHAnsi"/>
                <w:bCs/>
                <w:color w:val="FF0000"/>
                <w:szCs w:val="22"/>
                <w:u w:val="single"/>
              </w:rPr>
            </w:pPr>
          </w:p>
        </w:tc>
      </w:tr>
      <w:tr w:rsidR="00C70DC7" w:rsidRPr="00866186" w14:paraId="4B047A05" w14:textId="77777777" w:rsidTr="00C70DC7">
        <w:trPr>
          <w:jc w:val="center"/>
        </w:trPr>
        <w:tc>
          <w:tcPr>
            <w:tcW w:w="242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943B3C" w14:textId="77777777" w:rsidR="00C70DC7" w:rsidRPr="00866186" w:rsidRDefault="00C70DC7" w:rsidP="00EB3FEC">
            <w:pPr>
              <w:jc w:val="both"/>
              <w:rPr>
                <w:rFonts w:asciiTheme="minorHAnsi" w:hAnsiTheme="minorHAnsi" w:cstheme="minorHAnsi"/>
                <w:b/>
                <w:bCs/>
                <w:szCs w:val="22"/>
              </w:rPr>
            </w:pPr>
            <w:r w:rsidRPr="00866186">
              <w:rPr>
                <w:rFonts w:asciiTheme="minorHAnsi" w:hAnsiTheme="minorHAnsi" w:cstheme="minorHAnsi"/>
                <w:b/>
                <w:szCs w:val="22"/>
              </w:rPr>
              <w:t>RECOMMENDATION</w:t>
            </w:r>
            <w:r w:rsidRPr="00866186">
              <w:rPr>
                <w:rFonts w:asciiTheme="minorHAnsi" w:hAnsiTheme="minorHAnsi" w:cstheme="minorHAnsi"/>
                <w:szCs w:val="22"/>
              </w:rPr>
              <w:t>:</w:t>
            </w:r>
          </w:p>
        </w:tc>
        <w:tc>
          <w:tcPr>
            <w:tcW w:w="684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B12C7B" w14:textId="77777777" w:rsidR="00C70DC7" w:rsidRPr="00866186" w:rsidRDefault="00C70DC7" w:rsidP="00EB3FEC">
            <w:pPr>
              <w:jc w:val="both"/>
              <w:rPr>
                <w:rFonts w:asciiTheme="minorHAnsi" w:hAnsiTheme="minorHAnsi" w:cstheme="minorHAnsi"/>
                <w:bCs/>
                <w:szCs w:val="22"/>
              </w:rPr>
            </w:pPr>
            <w:r w:rsidRPr="00866186">
              <w:rPr>
                <w:rFonts w:asciiTheme="minorHAnsi" w:hAnsiTheme="minorHAnsi" w:cstheme="minorHAnsi"/>
                <w:bCs/>
                <w:szCs w:val="22"/>
              </w:rPr>
              <w:t>That planning permission be refused for the following reason(s):</w:t>
            </w:r>
          </w:p>
        </w:tc>
      </w:tr>
      <w:tr w:rsidR="00C70DC7" w:rsidRPr="00866186" w14:paraId="065B5CE3" w14:textId="77777777" w:rsidTr="00C70DC7">
        <w:trPr>
          <w:jc w:val="center"/>
        </w:trPr>
        <w:tc>
          <w:tcPr>
            <w:tcW w:w="6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5C9FE17" w14:textId="77777777" w:rsidR="00C70DC7" w:rsidRPr="00866186" w:rsidRDefault="00C70DC7" w:rsidP="00CD0161">
            <w:pPr>
              <w:jc w:val="center"/>
              <w:rPr>
                <w:rFonts w:asciiTheme="minorHAnsi" w:hAnsiTheme="minorHAnsi" w:cstheme="minorHAnsi"/>
                <w:b/>
                <w:szCs w:val="22"/>
              </w:rPr>
            </w:pPr>
            <w:r w:rsidRPr="00866186">
              <w:rPr>
                <w:rFonts w:asciiTheme="minorHAnsi" w:hAnsiTheme="minorHAnsi" w:cstheme="minorHAnsi"/>
                <w:b/>
                <w:szCs w:val="22"/>
              </w:rPr>
              <w:t>01</w:t>
            </w:r>
          </w:p>
        </w:tc>
        <w:tc>
          <w:tcPr>
            <w:tcW w:w="863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6059DC" w14:textId="77777777" w:rsidR="00C70DC7" w:rsidRDefault="007A086B" w:rsidP="00F24E15">
            <w:pPr>
              <w:jc w:val="both"/>
              <w:rPr>
                <w:rFonts w:asciiTheme="minorHAnsi" w:hAnsiTheme="minorHAnsi" w:cstheme="minorHAnsi"/>
                <w:szCs w:val="22"/>
              </w:rPr>
            </w:pPr>
            <w:r w:rsidRPr="00866186">
              <w:rPr>
                <w:rFonts w:asciiTheme="minorHAnsi" w:hAnsiTheme="minorHAnsi" w:cstheme="minorHAnsi"/>
                <w:szCs w:val="22"/>
              </w:rPr>
              <w:t>The proposal is considered contrary to Policies DMG2 and DMH3 of the Ribble Valley Core Strategy in that approval would lead to the creation new residential dwellings in the defined open countryside, located outside of a defined settlement boundary, without sufficient justification insofar that it has not been adequately demonstrated that the proposal is for that of local needs housing that meets a current identified and evidenced outstanding need</w:t>
            </w:r>
            <w:r w:rsidR="00F24E15" w:rsidRPr="00866186">
              <w:rPr>
                <w:rFonts w:asciiTheme="minorHAnsi" w:hAnsiTheme="minorHAnsi" w:cstheme="minorHAnsi"/>
                <w:szCs w:val="22"/>
              </w:rPr>
              <w:t>.</w:t>
            </w:r>
          </w:p>
          <w:p w14:paraId="31257DE4" w14:textId="534DD139" w:rsidR="0057696A" w:rsidRPr="00866186" w:rsidRDefault="0057696A" w:rsidP="00F24E15">
            <w:pPr>
              <w:jc w:val="both"/>
              <w:rPr>
                <w:rFonts w:asciiTheme="minorHAnsi" w:hAnsiTheme="minorHAnsi" w:cstheme="minorHAnsi"/>
                <w:szCs w:val="22"/>
              </w:rPr>
            </w:pPr>
          </w:p>
        </w:tc>
      </w:tr>
      <w:tr w:rsidR="00C70DC7" w:rsidRPr="00866186" w14:paraId="68CECA98" w14:textId="77777777" w:rsidTr="00C70DC7">
        <w:trPr>
          <w:jc w:val="center"/>
        </w:trPr>
        <w:tc>
          <w:tcPr>
            <w:tcW w:w="6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A0727C2" w14:textId="77777777" w:rsidR="00C70DC7" w:rsidRPr="00866186" w:rsidRDefault="00C70DC7" w:rsidP="00CD0161">
            <w:pPr>
              <w:jc w:val="center"/>
              <w:rPr>
                <w:rFonts w:asciiTheme="minorHAnsi" w:hAnsiTheme="minorHAnsi" w:cstheme="minorHAnsi"/>
                <w:b/>
                <w:szCs w:val="22"/>
              </w:rPr>
            </w:pPr>
            <w:r w:rsidRPr="00866186">
              <w:rPr>
                <w:rFonts w:asciiTheme="minorHAnsi" w:hAnsiTheme="minorHAnsi" w:cstheme="minorHAnsi"/>
                <w:b/>
                <w:szCs w:val="22"/>
              </w:rPr>
              <w:t>02</w:t>
            </w:r>
          </w:p>
        </w:tc>
        <w:tc>
          <w:tcPr>
            <w:tcW w:w="863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44C36D" w14:textId="6DA465FC" w:rsidR="0057696A" w:rsidRDefault="007A086B" w:rsidP="0057696A">
            <w:pPr>
              <w:contextualSpacing/>
              <w:jc w:val="both"/>
              <w:rPr>
                <w:rFonts w:asciiTheme="minorHAnsi" w:hAnsiTheme="minorHAnsi" w:cstheme="minorHAnsi"/>
                <w:bCs/>
                <w:szCs w:val="22"/>
              </w:rPr>
            </w:pPr>
            <w:r w:rsidRPr="00866186">
              <w:rPr>
                <w:rFonts w:asciiTheme="minorHAnsi" w:hAnsiTheme="minorHAnsi" w:cstheme="minorHAnsi"/>
                <w:szCs w:val="22"/>
              </w:rPr>
              <w:t xml:space="preserve">The </w:t>
            </w:r>
            <w:r w:rsidR="00495C1F" w:rsidRPr="00866186">
              <w:rPr>
                <w:rFonts w:asciiTheme="minorHAnsi" w:hAnsiTheme="minorHAnsi" w:cstheme="minorHAnsi"/>
                <w:szCs w:val="22"/>
              </w:rPr>
              <w:t>proposal is considered contrary to Key Statement EN2 and Policies DMG1, DMG2 and DMH3 of the Ribble Valley Core Strategy</w:t>
            </w:r>
            <w:r w:rsidR="00F24E15" w:rsidRPr="00866186">
              <w:rPr>
                <w:rFonts w:asciiTheme="minorHAnsi" w:hAnsiTheme="minorHAnsi" w:cstheme="minorHAnsi"/>
                <w:szCs w:val="22"/>
              </w:rPr>
              <w:t xml:space="preserve"> as it would </w:t>
            </w:r>
            <w:r w:rsidR="00EB3FEC" w:rsidRPr="00866186">
              <w:rPr>
                <w:rFonts w:asciiTheme="minorHAnsi" w:hAnsiTheme="minorHAnsi" w:cstheme="minorHAnsi"/>
                <w:szCs w:val="22"/>
              </w:rPr>
              <w:t xml:space="preserve">lead to the creation new residential dwellings </w:t>
            </w:r>
            <w:r w:rsidR="00F24E15" w:rsidRPr="00866186">
              <w:rPr>
                <w:rFonts w:asciiTheme="minorHAnsi" w:hAnsiTheme="minorHAnsi" w:cstheme="minorHAnsi"/>
                <w:szCs w:val="22"/>
              </w:rPr>
              <w:t>that would</w:t>
            </w:r>
            <w:r w:rsidR="00495C1F" w:rsidRPr="00866186">
              <w:rPr>
                <w:rFonts w:asciiTheme="minorHAnsi" w:hAnsiTheme="minorHAnsi" w:cstheme="minorHAnsi"/>
                <w:szCs w:val="22"/>
              </w:rPr>
              <w:t xml:space="preserve"> be injurious to the character and visual amenities of the area </w:t>
            </w:r>
            <w:r w:rsidR="00F24E15" w:rsidRPr="00866186">
              <w:rPr>
                <w:rFonts w:asciiTheme="minorHAnsi" w:hAnsiTheme="minorHAnsi" w:cstheme="minorHAnsi"/>
                <w:szCs w:val="22"/>
              </w:rPr>
              <w:t>and</w:t>
            </w:r>
            <w:r w:rsidR="00495C1F" w:rsidRPr="00866186">
              <w:rPr>
                <w:rFonts w:asciiTheme="minorHAnsi" w:hAnsiTheme="minorHAnsi" w:cstheme="minorHAnsi"/>
                <w:szCs w:val="22"/>
              </w:rPr>
              <w:t xml:space="preserve"> </w:t>
            </w:r>
            <w:r w:rsidR="00F24E15" w:rsidRPr="00866186">
              <w:rPr>
                <w:rFonts w:asciiTheme="minorHAnsi" w:hAnsiTheme="minorHAnsi" w:cstheme="minorHAnsi"/>
                <w:szCs w:val="22"/>
              </w:rPr>
              <w:t>would result</w:t>
            </w:r>
            <w:r w:rsidR="0057696A" w:rsidRPr="00E476C4">
              <w:rPr>
                <w:rFonts w:asciiTheme="minorHAnsi" w:hAnsiTheme="minorHAnsi" w:cstheme="minorHAnsi"/>
                <w:bCs/>
                <w:szCs w:val="22"/>
              </w:rPr>
              <w:t xml:space="preserve"> in </w:t>
            </w:r>
            <w:r w:rsidR="0057696A">
              <w:rPr>
                <w:rFonts w:asciiTheme="minorHAnsi" w:hAnsiTheme="minorHAnsi" w:cstheme="minorHAnsi"/>
                <w:bCs/>
                <w:szCs w:val="22"/>
              </w:rPr>
              <w:t xml:space="preserve">unbridled </w:t>
            </w:r>
            <w:r w:rsidR="0057696A" w:rsidRPr="00E476C4">
              <w:rPr>
                <w:rFonts w:asciiTheme="minorHAnsi" w:hAnsiTheme="minorHAnsi" w:cstheme="minorHAnsi"/>
                <w:bCs/>
                <w:szCs w:val="22"/>
              </w:rPr>
              <w:t xml:space="preserve">encroachment into the open countryside. </w:t>
            </w:r>
          </w:p>
          <w:p w14:paraId="7F8D3FA0" w14:textId="56E96829" w:rsidR="00C70DC7" w:rsidRPr="00866186" w:rsidRDefault="00C70DC7" w:rsidP="00F24E15">
            <w:pPr>
              <w:overflowPunct/>
              <w:jc w:val="both"/>
              <w:textAlignment w:val="auto"/>
              <w:rPr>
                <w:rFonts w:asciiTheme="minorHAnsi" w:eastAsiaTheme="minorHAnsi" w:hAnsiTheme="minorHAnsi" w:cstheme="minorHAnsi"/>
                <w:szCs w:val="22"/>
              </w:rPr>
            </w:pPr>
          </w:p>
        </w:tc>
      </w:tr>
      <w:tr w:rsidR="001C5BA8" w:rsidRPr="00866186" w14:paraId="020E2EC2" w14:textId="77777777" w:rsidTr="00C70DC7">
        <w:trPr>
          <w:jc w:val="center"/>
        </w:trPr>
        <w:tc>
          <w:tcPr>
            <w:tcW w:w="6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4288B66" w14:textId="1A4F46A7" w:rsidR="001C5BA8" w:rsidRPr="00866186" w:rsidRDefault="00AD72CB" w:rsidP="00CD0161">
            <w:pPr>
              <w:jc w:val="center"/>
              <w:rPr>
                <w:rFonts w:asciiTheme="minorHAnsi" w:hAnsiTheme="minorHAnsi" w:cstheme="minorHAnsi"/>
                <w:b/>
                <w:szCs w:val="22"/>
              </w:rPr>
            </w:pPr>
            <w:r>
              <w:rPr>
                <w:rFonts w:asciiTheme="minorHAnsi" w:hAnsiTheme="minorHAnsi" w:cstheme="minorHAnsi"/>
                <w:b/>
                <w:szCs w:val="22"/>
              </w:rPr>
              <w:t>03</w:t>
            </w:r>
          </w:p>
        </w:tc>
        <w:tc>
          <w:tcPr>
            <w:tcW w:w="863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A14671" w14:textId="2625E103" w:rsidR="00AD72CB" w:rsidRDefault="0054728A" w:rsidP="00F24E15">
            <w:pPr>
              <w:overflowPunct/>
              <w:jc w:val="both"/>
              <w:textAlignment w:val="auto"/>
              <w:rPr>
                <w:rFonts w:asciiTheme="minorHAnsi" w:hAnsiTheme="minorHAnsi" w:cstheme="minorHAnsi"/>
                <w:szCs w:val="22"/>
              </w:rPr>
            </w:pPr>
            <w:r w:rsidRPr="0054728A">
              <w:rPr>
                <w:rFonts w:asciiTheme="minorHAnsi" w:hAnsiTheme="minorHAnsi" w:cstheme="minorHAnsi"/>
                <w:szCs w:val="22"/>
              </w:rPr>
              <w:t>The Flood Risk Assessment (</w:t>
            </w:r>
            <w:r>
              <w:rPr>
                <w:rFonts w:asciiTheme="minorHAnsi" w:hAnsiTheme="minorHAnsi" w:cstheme="minorHAnsi"/>
                <w:szCs w:val="22"/>
              </w:rPr>
              <w:t>by Earth Environmental &amp; Geotechnical dated February 2021 (rev. A)</w:t>
            </w:r>
            <w:r w:rsidRPr="0054728A">
              <w:rPr>
                <w:rFonts w:asciiTheme="minorHAnsi" w:hAnsiTheme="minorHAnsi" w:cstheme="minorHAnsi"/>
                <w:szCs w:val="22"/>
              </w:rPr>
              <w:t>) submitted with the application does not comply with the requirements for site-specific flood risk assessments as set out in paragraphs 30-32 of the Flood risk and coastal change section of the PPG</w:t>
            </w:r>
            <w:r w:rsidR="00AD72CB">
              <w:rPr>
                <w:rFonts w:asciiTheme="minorHAnsi" w:hAnsiTheme="minorHAnsi" w:cstheme="minorHAnsi"/>
                <w:szCs w:val="22"/>
              </w:rPr>
              <w:t xml:space="preserve"> and</w:t>
            </w:r>
            <w:r w:rsidRPr="0054728A">
              <w:rPr>
                <w:rFonts w:asciiTheme="minorHAnsi" w:hAnsiTheme="minorHAnsi" w:cstheme="minorHAnsi"/>
                <w:szCs w:val="22"/>
              </w:rPr>
              <w:t xml:space="preserve"> does not therefore provide a suitable basis for assessment to be made of flood risks arising from the proposed development</w:t>
            </w:r>
            <w:r w:rsidR="00AD72CB">
              <w:rPr>
                <w:rFonts w:asciiTheme="minorHAnsi" w:hAnsiTheme="minorHAnsi" w:cstheme="minorHAnsi"/>
                <w:szCs w:val="22"/>
              </w:rPr>
              <w:t xml:space="preserve"> or that the development </w:t>
            </w:r>
            <w:r w:rsidR="00AD72CB" w:rsidRPr="00AA0B96">
              <w:rPr>
                <w:rFonts w:asciiTheme="minorHAnsi" w:hAnsiTheme="minorHAnsi" w:cstheme="minorHAnsi"/>
                <w:szCs w:val="22"/>
              </w:rPr>
              <w:t>w</w:t>
            </w:r>
            <w:r w:rsidR="00AD72CB">
              <w:rPr>
                <w:rFonts w:asciiTheme="minorHAnsi" w:hAnsiTheme="minorHAnsi" w:cstheme="minorHAnsi"/>
                <w:szCs w:val="22"/>
              </w:rPr>
              <w:t>ould</w:t>
            </w:r>
            <w:r w:rsidR="00AD72CB" w:rsidRPr="00AA0B96">
              <w:rPr>
                <w:rFonts w:asciiTheme="minorHAnsi" w:hAnsiTheme="minorHAnsi" w:cstheme="minorHAnsi"/>
                <w:szCs w:val="22"/>
              </w:rPr>
              <w:t xml:space="preserve"> be safe for its lifetime</w:t>
            </w:r>
            <w:r w:rsidR="00AD72CB">
              <w:rPr>
                <w:rFonts w:asciiTheme="minorHAnsi" w:hAnsiTheme="minorHAnsi" w:cstheme="minorHAnsi"/>
                <w:szCs w:val="22"/>
              </w:rPr>
              <w:t xml:space="preserve">. </w:t>
            </w:r>
          </w:p>
          <w:p w14:paraId="22787431" w14:textId="03518C96" w:rsidR="001C5BA8" w:rsidRPr="00866186" w:rsidRDefault="001C5BA8" w:rsidP="00F24E15">
            <w:pPr>
              <w:overflowPunct/>
              <w:jc w:val="both"/>
              <w:textAlignment w:val="auto"/>
              <w:rPr>
                <w:rFonts w:asciiTheme="minorHAnsi" w:hAnsiTheme="minorHAnsi" w:cstheme="minorHAnsi"/>
                <w:szCs w:val="22"/>
              </w:rPr>
            </w:pPr>
          </w:p>
        </w:tc>
      </w:tr>
      <w:tr w:rsidR="00373FEF" w:rsidRPr="00866186" w14:paraId="5AE1B188" w14:textId="77777777" w:rsidTr="00C70DC7">
        <w:trPr>
          <w:jc w:val="center"/>
        </w:trPr>
        <w:tc>
          <w:tcPr>
            <w:tcW w:w="6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390A3B2" w14:textId="3EEFBFB9" w:rsidR="00373FEF" w:rsidRDefault="00373FEF" w:rsidP="00CD0161">
            <w:pPr>
              <w:jc w:val="center"/>
              <w:rPr>
                <w:rFonts w:asciiTheme="minorHAnsi" w:hAnsiTheme="minorHAnsi" w:cstheme="minorHAnsi"/>
                <w:b/>
                <w:szCs w:val="22"/>
              </w:rPr>
            </w:pPr>
            <w:r>
              <w:rPr>
                <w:rFonts w:asciiTheme="minorHAnsi" w:hAnsiTheme="minorHAnsi" w:cstheme="minorHAnsi"/>
                <w:b/>
                <w:szCs w:val="22"/>
              </w:rPr>
              <w:t>04</w:t>
            </w:r>
          </w:p>
        </w:tc>
        <w:tc>
          <w:tcPr>
            <w:tcW w:w="863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49DC29" w14:textId="790DB60C" w:rsidR="00373FEF" w:rsidRDefault="00373FEF" w:rsidP="00373FEF">
            <w:pPr>
              <w:overflowPunct/>
              <w:jc w:val="both"/>
              <w:textAlignment w:val="auto"/>
              <w:rPr>
                <w:rFonts w:asciiTheme="minorHAnsi" w:hAnsiTheme="minorHAnsi" w:cstheme="minorHAnsi"/>
                <w:szCs w:val="22"/>
              </w:rPr>
            </w:pPr>
            <w:r>
              <w:rPr>
                <w:rFonts w:asciiTheme="minorHAnsi" w:hAnsiTheme="minorHAnsi" w:cstheme="minorHAnsi"/>
                <w:szCs w:val="22"/>
              </w:rPr>
              <w:t>The applicant</w:t>
            </w:r>
            <w:r w:rsidR="00FF1D9E">
              <w:rPr>
                <w:rFonts w:asciiTheme="minorHAnsi" w:hAnsiTheme="minorHAnsi" w:cstheme="minorHAnsi"/>
                <w:szCs w:val="22"/>
              </w:rPr>
              <w:t xml:space="preserve"> has</w:t>
            </w:r>
            <w:r w:rsidRPr="00AD72CB">
              <w:rPr>
                <w:rFonts w:asciiTheme="minorHAnsi" w:hAnsiTheme="minorHAnsi" w:cstheme="minorHAnsi"/>
                <w:szCs w:val="22"/>
              </w:rPr>
              <w:t xml:space="preserve"> </w:t>
            </w:r>
            <w:r>
              <w:rPr>
                <w:rFonts w:asciiTheme="minorHAnsi" w:hAnsiTheme="minorHAnsi" w:cstheme="minorHAnsi"/>
                <w:szCs w:val="22"/>
              </w:rPr>
              <w:t>not provided</w:t>
            </w:r>
            <w:r w:rsidRPr="00AD72CB">
              <w:rPr>
                <w:rFonts w:asciiTheme="minorHAnsi" w:hAnsiTheme="minorHAnsi" w:cstheme="minorHAnsi"/>
                <w:szCs w:val="22"/>
              </w:rPr>
              <w:t xml:space="preserve"> </w:t>
            </w:r>
            <w:r>
              <w:rPr>
                <w:rFonts w:asciiTheme="minorHAnsi" w:hAnsiTheme="minorHAnsi" w:cstheme="minorHAnsi"/>
                <w:szCs w:val="22"/>
              </w:rPr>
              <w:t xml:space="preserve">sufficient </w:t>
            </w:r>
            <w:r w:rsidRPr="00AD72CB">
              <w:rPr>
                <w:rFonts w:asciiTheme="minorHAnsi" w:hAnsiTheme="minorHAnsi" w:cstheme="minorHAnsi"/>
                <w:szCs w:val="22"/>
              </w:rPr>
              <w:t>information regarding alternative sites nor submitted evidence to demonstrate that the development proposals would provide wider sustainability benefits to the community that outweigh flood risk</w:t>
            </w:r>
            <w:r>
              <w:rPr>
                <w:rFonts w:asciiTheme="minorHAnsi" w:hAnsiTheme="minorHAnsi" w:cstheme="minorHAnsi"/>
                <w:szCs w:val="22"/>
              </w:rPr>
              <w:t xml:space="preserve"> and has thus failed to meet the Sequential and Exceptions tests which aim </w:t>
            </w:r>
            <w:r w:rsidRPr="00373FEF">
              <w:rPr>
                <w:rFonts w:asciiTheme="minorHAnsi" w:hAnsiTheme="minorHAnsi" w:cstheme="minorHAnsi"/>
                <w:szCs w:val="22"/>
              </w:rPr>
              <w:t>to steer new development to areas with the lowest risk of flooding.</w:t>
            </w:r>
            <w:r>
              <w:rPr>
                <w:rFonts w:asciiTheme="minorHAnsi" w:hAnsiTheme="minorHAnsi" w:cstheme="minorHAnsi"/>
                <w:szCs w:val="22"/>
              </w:rPr>
              <w:t xml:space="preserve"> </w:t>
            </w:r>
            <w:r w:rsidRPr="0054728A">
              <w:rPr>
                <w:rFonts w:asciiTheme="minorHAnsi" w:hAnsiTheme="minorHAnsi" w:cstheme="minorHAnsi"/>
                <w:szCs w:val="22"/>
              </w:rPr>
              <w:t>In the absence of such information</w:t>
            </w:r>
            <w:r>
              <w:rPr>
                <w:rFonts w:asciiTheme="minorHAnsi" w:hAnsiTheme="minorHAnsi" w:cstheme="minorHAnsi"/>
                <w:szCs w:val="22"/>
              </w:rPr>
              <w:t xml:space="preserve"> the development is contrary to</w:t>
            </w:r>
            <w:r w:rsidRPr="0054728A">
              <w:rPr>
                <w:rFonts w:asciiTheme="minorHAnsi" w:hAnsiTheme="minorHAnsi" w:cstheme="minorHAnsi"/>
                <w:szCs w:val="22"/>
              </w:rPr>
              <w:t xml:space="preserve"> Policy DME6 of the Core Strategy and paragraph 163 of the Framework.</w:t>
            </w:r>
          </w:p>
          <w:p w14:paraId="6EE4CEE2" w14:textId="4896F3D3" w:rsidR="00373FEF" w:rsidRPr="0054728A" w:rsidRDefault="00373FEF" w:rsidP="00AD72CB">
            <w:pPr>
              <w:overflowPunct/>
              <w:jc w:val="both"/>
              <w:textAlignment w:val="auto"/>
              <w:rPr>
                <w:rFonts w:asciiTheme="minorHAnsi" w:hAnsiTheme="minorHAnsi" w:cstheme="minorHAnsi"/>
                <w:szCs w:val="22"/>
              </w:rPr>
            </w:pPr>
          </w:p>
        </w:tc>
      </w:tr>
      <w:tr w:rsidR="00373FEF" w:rsidRPr="00866186" w14:paraId="13069220" w14:textId="77777777" w:rsidTr="00C70DC7">
        <w:trPr>
          <w:jc w:val="center"/>
        </w:trPr>
        <w:tc>
          <w:tcPr>
            <w:tcW w:w="6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77CD842" w14:textId="51FA4B53" w:rsidR="00373FEF" w:rsidRDefault="00373FEF" w:rsidP="00CD0161">
            <w:pPr>
              <w:jc w:val="center"/>
              <w:rPr>
                <w:rFonts w:asciiTheme="minorHAnsi" w:hAnsiTheme="minorHAnsi" w:cstheme="minorHAnsi"/>
                <w:b/>
                <w:szCs w:val="22"/>
              </w:rPr>
            </w:pPr>
            <w:r>
              <w:rPr>
                <w:rFonts w:asciiTheme="minorHAnsi" w:hAnsiTheme="minorHAnsi" w:cstheme="minorHAnsi"/>
                <w:b/>
                <w:szCs w:val="22"/>
              </w:rPr>
              <w:t>05</w:t>
            </w:r>
          </w:p>
        </w:tc>
        <w:tc>
          <w:tcPr>
            <w:tcW w:w="863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7A8E89" w14:textId="4EBAF6B5" w:rsidR="00633F7A" w:rsidRDefault="00373FEF" w:rsidP="00373FEF">
            <w:pPr>
              <w:overflowPunct/>
              <w:jc w:val="both"/>
              <w:textAlignment w:val="auto"/>
              <w:rPr>
                <w:rFonts w:asciiTheme="minorHAnsi" w:hAnsiTheme="minorHAnsi" w:cstheme="minorHAnsi"/>
                <w:szCs w:val="22"/>
              </w:rPr>
            </w:pPr>
            <w:r w:rsidRPr="00373FEF">
              <w:rPr>
                <w:rFonts w:asciiTheme="minorHAnsi" w:hAnsiTheme="minorHAnsi" w:cstheme="minorHAnsi"/>
                <w:szCs w:val="22"/>
              </w:rPr>
              <w:t xml:space="preserve">The proposed development would restrict essential maintenance and emergency access to the watercourse, </w:t>
            </w:r>
            <w:r>
              <w:rPr>
                <w:rFonts w:asciiTheme="minorHAnsi" w:hAnsiTheme="minorHAnsi" w:cstheme="minorHAnsi"/>
                <w:szCs w:val="22"/>
              </w:rPr>
              <w:t xml:space="preserve">Heys Brook. </w:t>
            </w:r>
            <w:r w:rsidRPr="00373FEF">
              <w:rPr>
                <w:rFonts w:asciiTheme="minorHAnsi" w:hAnsiTheme="minorHAnsi" w:cstheme="minorHAnsi"/>
                <w:szCs w:val="22"/>
              </w:rPr>
              <w:t xml:space="preserve">The permanent retention of a continuous unobstructed area is an essential requirement for future maintenance and/or improvement works and the proposed development </w:t>
            </w:r>
            <w:r>
              <w:rPr>
                <w:rFonts w:asciiTheme="minorHAnsi" w:hAnsiTheme="minorHAnsi" w:cstheme="minorHAnsi"/>
                <w:szCs w:val="22"/>
              </w:rPr>
              <w:t>c</w:t>
            </w:r>
            <w:r w:rsidRPr="00373FEF">
              <w:rPr>
                <w:rFonts w:asciiTheme="minorHAnsi" w:hAnsiTheme="minorHAnsi" w:cstheme="minorHAnsi"/>
                <w:szCs w:val="22"/>
              </w:rPr>
              <w:t>ould obstruct flood flows, thereby increasing the risk of flooding to surrounding areas, contrary to Core Strategy Policy DME6.</w:t>
            </w:r>
          </w:p>
          <w:p w14:paraId="2B811B71" w14:textId="6CA6101A" w:rsidR="00633F7A" w:rsidRDefault="00633F7A" w:rsidP="00373FEF">
            <w:pPr>
              <w:overflowPunct/>
              <w:jc w:val="both"/>
              <w:textAlignment w:val="auto"/>
              <w:rPr>
                <w:rFonts w:asciiTheme="minorHAnsi" w:hAnsiTheme="minorHAnsi" w:cstheme="minorHAnsi"/>
                <w:szCs w:val="22"/>
              </w:rPr>
            </w:pPr>
          </w:p>
        </w:tc>
      </w:tr>
      <w:tr w:rsidR="00633F7A" w:rsidRPr="00633F7A" w14:paraId="7FCD0770" w14:textId="77777777" w:rsidTr="00C70DC7">
        <w:trPr>
          <w:jc w:val="center"/>
        </w:trPr>
        <w:tc>
          <w:tcPr>
            <w:tcW w:w="6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F462F4A" w14:textId="4885F7A6" w:rsidR="00633F7A" w:rsidRPr="00633F7A" w:rsidRDefault="00633F7A" w:rsidP="00633F7A">
            <w:pPr>
              <w:jc w:val="center"/>
              <w:rPr>
                <w:rFonts w:asciiTheme="minorHAnsi" w:hAnsiTheme="minorHAnsi" w:cstheme="minorHAnsi"/>
                <w:b/>
                <w:szCs w:val="22"/>
              </w:rPr>
            </w:pPr>
            <w:r w:rsidRPr="00633F7A">
              <w:rPr>
                <w:rFonts w:asciiTheme="minorHAnsi" w:hAnsiTheme="minorHAnsi" w:cstheme="minorHAnsi"/>
                <w:b/>
                <w:szCs w:val="22"/>
              </w:rPr>
              <w:t>06</w:t>
            </w:r>
          </w:p>
        </w:tc>
        <w:tc>
          <w:tcPr>
            <w:tcW w:w="8631"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7A68C8" w14:textId="3F57C621" w:rsidR="00633F7A" w:rsidRPr="00633F7A" w:rsidRDefault="00633F7A" w:rsidP="00633F7A">
            <w:pPr>
              <w:overflowPunct/>
              <w:autoSpaceDE/>
              <w:autoSpaceDN/>
              <w:adjustRightInd/>
              <w:jc w:val="both"/>
              <w:textAlignment w:val="auto"/>
              <w:rPr>
                <w:rFonts w:ascii="Calibri" w:hAnsi="Calibri"/>
                <w:szCs w:val="22"/>
              </w:rPr>
            </w:pPr>
            <w:r w:rsidRPr="00633F7A">
              <w:rPr>
                <w:rFonts w:ascii="Calibri" w:hAnsi="Calibri"/>
                <w:szCs w:val="22"/>
              </w:rPr>
              <w:t>The applicant has failed to demonstrate that the proposals would retain, maintain and improve the local footpath network contrary to Policy DMB5 of the Ribble Valley Core Strategy (Adopted Version).</w:t>
            </w:r>
          </w:p>
          <w:p w14:paraId="32910080" w14:textId="77777777" w:rsidR="00633F7A" w:rsidRPr="00633F7A" w:rsidRDefault="00633F7A" w:rsidP="00633F7A">
            <w:pPr>
              <w:overflowPunct/>
              <w:jc w:val="both"/>
              <w:textAlignment w:val="auto"/>
              <w:rPr>
                <w:rFonts w:asciiTheme="minorHAnsi" w:hAnsiTheme="minorHAnsi" w:cstheme="minorHAnsi"/>
                <w:szCs w:val="22"/>
              </w:rPr>
            </w:pPr>
          </w:p>
        </w:tc>
      </w:tr>
    </w:tbl>
    <w:p w14:paraId="603F1198" w14:textId="77777777" w:rsidR="0031197A" w:rsidRPr="00D2449B" w:rsidRDefault="001C558D">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F117" w14:textId="77777777" w:rsidR="00187AE1" w:rsidRDefault="00187AE1" w:rsidP="00187AE1">
      <w:r>
        <w:separator/>
      </w:r>
    </w:p>
  </w:endnote>
  <w:endnote w:type="continuationSeparator" w:id="0">
    <w:p w14:paraId="023E6F63" w14:textId="77777777" w:rsidR="00187AE1" w:rsidRDefault="00187AE1" w:rsidP="0018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DCA4E" w14:textId="77777777" w:rsidR="00187AE1" w:rsidRDefault="00187AE1" w:rsidP="00187AE1">
      <w:r>
        <w:separator/>
      </w:r>
    </w:p>
  </w:footnote>
  <w:footnote w:type="continuationSeparator" w:id="0">
    <w:p w14:paraId="6CE7EBA1" w14:textId="77777777" w:rsidR="00187AE1" w:rsidRDefault="00187AE1" w:rsidP="00187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2D30"/>
    <w:multiLevelType w:val="hybridMultilevel"/>
    <w:tmpl w:val="777E85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03D96"/>
    <w:multiLevelType w:val="multilevel"/>
    <w:tmpl w:val="C3A4E0E0"/>
    <w:lvl w:ilvl="0">
      <w:start w:val="1"/>
      <w:numFmt w:val="decimal"/>
      <w:lvlText w:val="%1."/>
      <w:lvlJc w:val="left"/>
      <w:pPr>
        <w:ind w:left="357" w:hanging="357"/>
      </w:pPr>
      <w:rPr>
        <w:rFonts w:ascii="Calibri" w:hAnsi="Calibri" w:hint="default"/>
        <w:b/>
      </w:rPr>
    </w:lvl>
    <w:lvl w:ilvl="1">
      <w:start w:val="1"/>
      <w:numFmt w:val="decimal"/>
      <w:isLgl/>
      <w:lvlText w:val="%1.%2"/>
      <w:lvlJc w:val="left"/>
      <w:pPr>
        <w:ind w:left="737" w:hanging="377"/>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08D08FA"/>
    <w:multiLevelType w:val="hybridMultilevel"/>
    <w:tmpl w:val="C764C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97B9C"/>
    <w:multiLevelType w:val="hybridMultilevel"/>
    <w:tmpl w:val="A76C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935DF"/>
    <w:multiLevelType w:val="hybridMultilevel"/>
    <w:tmpl w:val="D8CE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4402DF"/>
    <w:multiLevelType w:val="hybridMultilevel"/>
    <w:tmpl w:val="BCB6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5D26FE"/>
    <w:multiLevelType w:val="hybridMultilevel"/>
    <w:tmpl w:val="1776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D33AC"/>
    <w:multiLevelType w:val="hybridMultilevel"/>
    <w:tmpl w:val="3A94D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F5065C"/>
    <w:multiLevelType w:val="hybridMultilevel"/>
    <w:tmpl w:val="BCB4C870"/>
    <w:lvl w:ilvl="0" w:tplc="AE14B344">
      <w:start w:val="1"/>
      <w:numFmt w:val="decimal"/>
      <w:lvlText w:val="%1."/>
      <w:lvlJc w:val="left"/>
      <w:pPr>
        <w:ind w:left="842" w:hanging="360"/>
      </w:pPr>
      <w:rPr>
        <w:rFonts w:hint="default"/>
      </w:rPr>
    </w:lvl>
    <w:lvl w:ilvl="1" w:tplc="08090019" w:tentative="1">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9" w15:restartNumberingAfterBreak="0">
    <w:nsid w:val="47DC7F01"/>
    <w:multiLevelType w:val="multilevel"/>
    <w:tmpl w:val="B97C683C"/>
    <w:lvl w:ilvl="0">
      <w:start w:val="1"/>
      <w:numFmt w:val="decimal"/>
      <w:lvlText w:val="%1."/>
      <w:lvlJc w:val="left"/>
      <w:pPr>
        <w:tabs>
          <w:tab w:val="num" w:pos="1134"/>
        </w:tabs>
        <w:ind w:left="1134" w:hanging="567"/>
      </w:pPr>
      <w:rPr>
        <w:rFonts w:hint="default"/>
      </w:rPr>
    </w:lvl>
    <w:lvl w:ilvl="1">
      <w:start w:val="1"/>
      <w:numFmt w:val="decimal"/>
      <w:lvlText w:val="%1.%2."/>
      <w:lvlJc w:val="left"/>
      <w:pPr>
        <w:tabs>
          <w:tab w:val="num" w:pos="681"/>
        </w:tabs>
        <w:ind w:left="964" w:hanging="170"/>
      </w:pPr>
      <w:rPr>
        <w:rFonts w:hint="default"/>
      </w:rPr>
    </w:lvl>
    <w:lvl w:ilvl="2">
      <w:start w:val="1"/>
      <w:numFmt w:val="decimal"/>
      <w:lvlText w:val="%1.%2.%3."/>
      <w:lvlJc w:val="left"/>
      <w:pPr>
        <w:tabs>
          <w:tab w:val="num" w:pos="1078"/>
        </w:tabs>
        <w:ind w:left="1361" w:hanging="170"/>
      </w:pPr>
      <w:rPr>
        <w:rFonts w:hint="default"/>
      </w:rPr>
    </w:lvl>
    <w:lvl w:ilvl="3">
      <w:start w:val="1"/>
      <w:numFmt w:val="decimal"/>
      <w:lvlText w:val="%1.%2.%3.%4."/>
      <w:lvlJc w:val="left"/>
      <w:pPr>
        <w:tabs>
          <w:tab w:val="num" w:pos="1475"/>
        </w:tabs>
        <w:ind w:left="1758" w:hanging="170"/>
      </w:pPr>
      <w:rPr>
        <w:rFonts w:hint="default"/>
      </w:rPr>
    </w:lvl>
    <w:lvl w:ilvl="4">
      <w:start w:val="1"/>
      <w:numFmt w:val="decimal"/>
      <w:lvlText w:val="%1.%2.%3.%4.%5."/>
      <w:lvlJc w:val="left"/>
      <w:pPr>
        <w:tabs>
          <w:tab w:val="num" w:pos="1872"/>
        </w:tabs>
        <w:ind w:left="2155" w:hanging="170"/>
      </w:pPr>
      <w:rPr>
        <w:rFonts w:hint="default"/>
      </w:rPr>
    </w:lvl>
    <w:lvl w:ilvl="5">
      <w:start w:val="1"/>
      <w:numFmt w:val="decimal"/>
      <w:lvlText w:val="%1.%2.%3.%4.%5.%6."/>
      <w:lvlJc w:val="left"/>
      <w:pPr>
        <w:tabs>
          <w:tab w:val="num" w:pos="2269"/>
        </w:tabs>
        <w:ind w:left="2552" w:hanging="170"/>
      </w:pPr>
      <w:rPr>
        <w:rFonts w:hint="default"/>
      </w:rPr>
    </w:lvl>
    <w:lvl w:ilvl="6">
      <w:start w:val="1"/>
      <w:numFmt w:val="decimal"/>
      <w:lvlText w:val="%1.%2.%3.%4.%5.%6.%7."/>
      <w:lvlJc w:val="left"/>
      <w:pPr>
        <w:tabs>
          <w:tab w:val="num" w:pos="2666"/>
        </w:tabs>
        <w:ind w:left="2949" w:hanging="170"/>
      </w:pPr>
      <w:rPr>
        <w:rFonts w:hint="default"/>
      </w:rPr>
    </w:lvl>
    <w:lvl w:ilvl="7">
      <w:start w:val="1"/>
      <w:numFmt w:val="decimal"/>
      <w:lvlText w:val="%1.%2.%3.%4.%5.%6.%7.%8."/>
      <w:lvlJc w:val="left"/>
      <w:pPr>
        <w:tabs>
          <w:tab w:val="num" w:pos="3063"/>
        </w:tabs>
        <w:ind w:left="3346" w:hanging="170"/>
      </w:pPr>
      <w:rPr>
        <w:rFonts w:hint="default"/>
      </w:rPr>
    </w:lvl>
    <w:lvl w:ilvl="8">
      <w:start w:val="1"/>
      <w:numFmt w:val="decimal"/>
      <w:lvlText w:val="%1.%2.%3.%4.%5.%6.%7.%8.%9."/>
      <w:lvlJc w:val="left"/>
      <w:pPr>
        <w:tabs>
          <w:tab w:val="num" w:pos="3460"/>
        </w:tabs>
        <w:ind w:left="3743" w:hanging="170"/>
      </w:pPr>
      <w:rPr>
        <w:rFonts w:hint="default"/>
      </w:rPr>
    </w:lvl>
  </w:abstractNum>
  <w:abstractNum w:abstractNumId="10" w15:restartNumberingAfterBreak="0">
    <w:nsid w:val="4D4A4335"/>
    <w:multiLevelType w:val="hybridMultilevel"/>
    <w:tmpl w:val="87FEC0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3191A73"/>
    <w:multiLevelType w:val="hybridMultilevel"/>
    <w:tmpl w:val="B764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FC0F0D"/>
    <w:multiLevelType w:val="hybridMultilevel"/>
    <w:tmpl w:val="19344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FE689D"/>
    <w:multiLevelType w:val="hybridMultilevel"/>
    <w:tmpl w:val="5DBA11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6"/>
  </w:num>
  <w:num w:numId="4">
    <w:abstractNumId w:val="5"/>
  </w:num>
  <w:num w:numId="5">
    <w:abstractNumId w:val="4"/>
  </w:num>
  <w:num w:numId="6">
    <w:abstractNumId w:val="1"/>
  </w:num>
  <w:num w:numId="7">
    <w:abstractNumId w:val="8"/>
  </w:num>
  <w:num w:numId="8">
    <w:abstractNumId w:val="14"/>
  </w:num>
  <w:num w:numId="9">
    <w:abstractNumId w:val="2"/>
  </w:num>
  <w:num w:numId="10">
    <w:abstractNumId w:val="3"/>
  </w:num>
  <w:num w:numId="11">
    <w:abstractNumId w:val="11"/>
  </w:num>
  <w:num w:numId="12">
    <w:abstractNumId w:val="10"/>
  </w:num>
  <w:num w:numId="13">
    <w:abstractNumId w:val="12"/>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5EA9"/>
    <w:rsid w:val="0000792B"/>
    <w:rsid w:val="000150DB"/>
    <w:rsid w:val="00034292"/>
    <w:rsid w:val="000422DD"/>
    <w:rsid w:val="00046091"/>
    <w:rsid w:val="000528D9"/>
    <w:rsid w:val="00062C93"/>
    <w:rsid w:val="00063B3D"/>
    <w:rsid w:val="00074FA5"/>
    <w:rsid w:val="00090B2F"/>
    <w:rsid w:val="000A1BF2"/>
    <w:rsid w:val="000A2A82"/>
    <w:rsid w:val="000B53F8"/>
    <w:rsid w:val="000B6E9B"/>
    <w:rsid w:val="000C2CF0"/>
    <w:rsid w:val="000D128C"/>
    <w:rsid w:val="000E53BA"/>
    <w:rsid w:val="000F4EA8"/>
    <w:rsid w:val="00103012"/>
    <w:rsid w:val="00104428"/>
    <w:rsid w:val="00106581"/>
    <w:rsid w:val="00107606"/>
    <w:rsid w:val="00113FA7"/>
    <w:rsid w:val="001258C5"/>
    <w:rsid w:val="0013131F"/>
    <w:rsid w:val="00135D53"/>
    <w:rsid w:val="00142702"/>
    <w:rsid w:val="00167B63"/>
    <w:rsid w:val="00187AE1"/>
    <w:rsid w:val="00191BA8"/>
    <w:rsid w:val="001966C4"/>
    <w:rsid w:val="001A4E02"/>
    <w:rsid w:val="001B3BDE"/>
    <w:rsid w:val="001C0315"/>
    <w:rsid w:val="001C558D"/>
    <w:rsid w:val="001C5BA8"/>
    <w:rsid w:val="001D4F7A"/>
    <w:rsid w:val="001E390F"/>
    <w:rsid w:val="001E733E"/>
    <w:rsid w:val="00201DEE"/>
    <w:rsid w:val="002028AF"/>
    <w:rsid w:val="002054BE"/>
    <w:rsid w:val="00212077"/>
    <w:rsid w:val="00215A7E"/>
    <w:rsid w:val="00216ED4"/>
    <w:rsid w:val="00222915"/>
    <w:rsid w:val="002369B7"/>
    <w:rsid w:val="00250879"/>
    <w:rsid w:val="002546A1"/>
    <w:rsid w:val="00254ED1"/>
    <w:rsid w:val="00257EF2"/>
    <w:rsid w:val="00260168"/>
    <w:rsid w:val="00261582"/>
    <w:rsid w:val="002722A8"/>
    <w:rsid w:val="00287537"/>
    <w:rsid w:val="0029334A"/>
    <w:rsid w:val="002A01CF"/>
    <w:rsid w:val="002B6267"/>
    <w:rsid w:val="002B7E08"/>
    <w:rsid w:val="002C0855"/>
    <w:rsid w:val="002C194B"/>
    <w:rsid w:val="002C657D"/>
    <w:rsid w:val="002E145A"/>
    <w:rsid w:val="002E6D68"/>
    <w:rsid w:val="003142DC"/>
    <w:rsid w:val="00333DF2"/>
    <w:rsid w:val="003361E8"/>
    <w:rsid w:val="00341766"/>
    <w:rsid w:val="00350158"/>
    <w:rsid w:val="00360A23"/>
    <w:rsid w:val="003614D5"/>
    <w:rsid w:val="003617BA"/>
    <w:rsid w:val="00366992"/>
    <w:rsid w:val="00373FEF"/>
    <w:rsid w:val="00374D3A"/>
    <w:rsid w:val="003866E4"/>
    <w:rsid w:val="003945D0"/>
    <w:rsid w:val="003A04C3"/>
    <w:rsid w:val="003A678E"/>
    <w:rsid w:val="003B084B"/>
    <w:rsid w:val="003B7144"/>
    <w:rsid w:val="003C181D"/>
    <w:rsid w:val="003C5FDB"/>
    <w:rsid w:val="003C647A"/>
    <w:rsid w:val="003C69FF"/>
    <w:rsid w:val="003E2B1F"/>
    <w:rsid w:val="003F0C1C"/>
    <w:rsid w:val="003F4883"/>
    <w:rsid w:val="003F60FA"/>
    <w:rsid w:val="003F7B07"/>
    <w:rsid w:val="00410D27"/>
    <w:rsid w:val="00412EF5"/>
    <w:rsid w:val="00416658"/>
    <w:rsid w:val="00427FD9"/>
    <w:rsid w:val="004319EE"/>
    <w:rsid w:val="004412A4"/>
    <w:rsid w:val="00443CE7"/>
    <w:rsid w:val="0045013F"/>
    <w:rsid w:val="00465FDB"/>
    <w:rsid w:val="004707B8"/>
    <w:rsid w:val="00471A14"/>
    <w:rsid w:val="00477DEA"/>
    <w:rsid w:val="00492ACC"/>
    <w:rsid w:val="00495C1F"/>
    <w:rsid w:val="004A5EA9"/>
    <w:rsid w:val="004A75AF"/>
    <w:rsid w:val="004A7A29"/>
    <w:rsid w:val="004A7CE5"/>
    <w:rsid w:val="004B0AE1"/>
    <w:rsid w:val="004B0D01"/>
    <w:rsid w:val="004B3427"/>
    <w:rsid w:val="004B35C7"/>
    <w:rsid w:val="004B68C6"/>
    <w:rsid w:val="004C2434"/>
    <w:rsid w:val="004D1691"/>
    <w:rsid w:val="004D260E"/>
    <w:rsid w:val="004D5E3C"/>
    <w:rsid w:val="004E5A2E"/>
    <w:rsid w:val="004F0649"/>
    <w:rsid w:val="004F3DA0"/>
    <w:rsid w:val="004F690F"/>
    <w:rsid w:val="004F739A"/>
    <w:rsid w:val="005023B2"/>
    <w:rsid w:val="0050244E"/>
    <w:rsid w:val="0050762E"/>
    <w:rsid w:val="00510BA5"/>
    <w:rsid w:val="00512871"/>
    <w:rsid w:val="00512D69"/>
    <w:rsid w:val="0053012E"/>
    <w:rsid w:val="00534B7C"/>
    <w:rsid w:val="0053656A"/>
    <w:rsid w:val="00544226"/>
    <w:rsid w:val="0054728A"/>
    <w:rsid w:val="00552A8C"/>
    <w:rsid w:val="00557CFF"/>
    <w:rsid w:val="005658EB"/>
    <w:rsid w:val="00573864"/>
    <w:rsid w:val="0057696A"/>
    <w:rsid w:val="00594478"/>
    <w:rsid w:val="00595E61"/>
    <w:rsid w:val="005A2B94"/>
    <w:rsid w:val="005A55BA"/>
    <w:rsid w:val="005A776B"/>
    <w:rsid w:val="005D1788"/>
    <w:rsid w:val="005D2846"/>
    <w:rsid w:val="005D7447"/>
    <w:rsid w:val="005D7D50"/>
    <w:rsid w:val="005E5723"/>
    <w:rsid w:val="005E65DF"/>
    <w:rsid w:val="005F52A9"/>
    <w:rsid w:val="00613702"/>
    <w:rsid w:val="00617A5D"/>
    <w:rsid w:val="006217BC"/>
    <w:rsid w:val="00625CA8"/>
    <w:rsid w:val="00625DBF"/>
    <w:rsid w:val="00633F7A"/>
    <w:rsid w:val="00647CCC"/>
    <w:rsid w:val="006601A7"/>
    <w:rsid w:val="00667229"/>
    <w:rsid w:val="0067622D"/>
    <w:rsid w:val="00676A5C"/>
    <w:rsid w:val="00681961"/>
    <w:rsid w:val="00692B60"/>
    <w:rsid w:val="00693092"/>
    <w:rsid w:val="00693787"/>
    <w:rsid w:val="006A74FE"/>
    <w:rsid w:val="006B013E"/>
    <w:rsid w:val="006B1CE6"/>
    <w:rsid w:val="006B78B8"/>
    <w:rsid w:val="006C2BFA"/>
    <w:rsid w:val="006D14EA"/>
    <w:rsid w:val="006E1E39"/>
    <w:rsid w:val="006E35C8"/>
    <w:rsid w:val="006F1224"/>
    <w:rsid w:val="006F1396"/>
    <w:rsid w:val="006F4F42"/>
    <w:rsid w:val="006F64A0"/>
    <w:rsid w:val="0070054B"/>
    <w:rsid w:val="00710C74"/>
    <w:rsid w:val="00710E68"/>
    <w:rsid w:val="00711FCE"/>
    <w:rsid w:val="007152A2"/>
    <w:rsid w:val="0073498B"/>
    <w:rsid w:val="0074247B"/>
    <w:rsid w:val="007453E1"/>
    <w:rsid w:val="00750C94"/>
    <w:rsid w:val="00761A75"/>
    <w:rsid w:val="00762D4F"/>
    <w:rsid w:val="00776AE2"/>
    <w:rsid w:val="007A086B"/>
    <w:rsid w:val="007C4EAC"/>
    <w:rsid w:val="007D43ED"/>
    <w:rsid w:val="007D7DF4"/>
    <w:rsid w:val="007E0D23"/>
    <w:rsid w:val="007E3039"/>
    <w:rsid w:val="007E620A"/>
    <w:rsid w:val="007F0339"/>
    <w:rsid w:val="007F0DCF"/>
    <w:rsid w:val="007F4AA7"/>
    <w:rsid w:val="007F74F1"/>
    <w:rsid w:val="00802D80"/>
    <w:rsid w:val="0081262B"/>
    <w:rsid w:val="0081617C"/>
    <w:rsid w:val="00825593"/>
    <w:rsid w:val="00832119"/>
    <w:rsid w:val="00835270"/>
    <w:rsid w:val="0085024A"/>
    <w:rsid w:val="008650B8"/>
    <w:rsid w:val="00866186"/>
    <w:rsid w:val="008773A8"/>
    <w:rsid w:val="008849D4"/>
    <w:rsid w:val="00886285"/>
    <w:rsid w:val="008929AD"/>
    <w:rsid w:val="008A28C8"/>
    <w:rsid w:val="008A57EC"/>
    <w:rsid w:val="008B73E2"/>
    <w:rsid w:val="008C59EE"/>
    <w:rsid w:val="008C6088"/>
    <w:rsid w:val="008E1825"/>
    <w:rsid w:val="008E2749"/>
    <w:rsid w:val="008F659C"/>
    <w:rsid w:val="00906610"/>
    <w:rsid w:val="00922051"/>
    <w:rsid w:val="00927EC7"/>
    <w:rsid w:val="009551DC"/>
    <w:rsid w:val="009612CC"/>
    <w:rsid w:val="00971CD5"/>
    <w:rsid w:val="00972FC8"/>
    <w:rsid w:val="00980097"/>
    <w:rsid w:val="00981BF4"/>
    <w:rsid w:val="00985577"/>
    <w:rsid w:val="00991008"/>
    <w:rsid w:val="009A1080"/>
    <w:rsid w:val="009C194C"/>
    <w:rsid w:val="009D1DC8"/>
    <w:rsid w:val="00A0728B"/>
    <w:rsid w:val="00A077B8"/>
    <w:rsid w:val="00A1162A"/>
    <w:rsid w:val="00A142D4"/>
    <w:rsid w:val="00A15BB0"/>
    <w:rsid w:val="00A250AA"/>
    <w:rsid w:val="00A25CE1"/>
    <w:rsid w:val="00A410F1"/>
    <w:rsid w:val="00A51454"/>
    <w:rsid w:val="00A5168F"/>
    <w:rsid w:val="00A51B70"/>
    <w:rsid w:val="00A579BB"/>
    <w:rsid w:val="00A63D55"/>
    <w:rsid w:val="00A80D8A"/>
    <w:rsid w:val="00A92B6A"/>
    <w:rsid w:val="00A95D89"/>
    <w:rsid w:val="00AA03AF"/>
    <w:rsid w:val="00AA0B96"/>
    <w:rsid w:val="00AB2B5A"/>
    <w:rsid w:val="00AB5729"/>
    <w:rsid w:val="00AB5A42"/>
    <w:rsid w:val="00AB6F91"/>
    <w:rsid w:val="00AC0BAB"/>
    <w:rsid w:val="00AC1360"/>
    <w:rsid w:val="00AD53DA"/>
    <w:rsid w:val="00AD72CB"/>
    <w:rsid w:val="00AE24C4"/>
    <w:rsid w:val="00AE735A"/>
    <w:rsid w:val="00AE7AA5"/>
    <w:rsid w:val="00AF0D4F"/>
    <w:rsid w:val="00B04421"/>
    <w:rsid w:val="00B0607D"/>
    <w:rsid w:val="00B07EA0"/>
    <w:rsid w:val="00B15193"/>
    <w:rsid w:val="00B17C19"/>
    <w:rsid w:val="00B3007C"/>
    <w:rsid w:val="00B474AE"/>
    <w:rsid w:val="00B51BD9"/>
    <w:rsid w:val="00B53253"/>
    <w:rsid w:val="00B623DB"/>
    <w:rsid w:val="00B7476B"/>
    <w:rsid w:val="00B900C0"/>
    <w:rsid w:val="00B95532"/>
    <w:rsid w:val="00BA0137"/>
    <w:rsid w:val="00BA0FEF"/>
    <w:rsid w:val="00BA1B82"/>
    <w:rsid w:val="00BA568A"/>
    <w:rsid w:val="00BA7ECE"/>
    <w:rsid w:val="00BC7EC0"/>
    <w:rsid w:val="00BD3F03"/>
    <w:rsid w:val="00BF06AA"/>
    <w:rsid w:val="00C10466"/>
    <w:rsid w:val="00C243FE"/>
    <w:rsid w:val="00C330C9"/>
    <w:rsid w:val="00C41217"/>
    <w:rsid w:val="00C47D02"/>
    <w:rsid w:val="00C53087"/>
    <w:rsid w:val="00C55E69"/>
    <w:rsid w:val="00C618DB"/>
    <w:rsid w:val="00C64367"/>
    <w:rsid w:val="00C70DC7"/>
    <w:rsid w:val="00C7166A"/>
    <w:rsid w:val="00C729D7"/>
    <w:rsid w:val="00C80AB7"/>
    <w:rsid w:val="00C84C51"/>
    <w:rsid w:val="00C85D22"/>
    <w:rsid w:val="00C85FE1"/>
    <w:rsid w:val="00C974F0"/>
    <w:rsid w:val="00CA4E83"/>
    <w:rsid w:val="00CA6219"/>
    <w:rsid w:val="00CC2F00"/>
    <w:rsid w:val="00CC49F7"/>
    <w:rsid w:val="00CD1376"/>
    <w:rsid w:val="00CE2EA7"/>
    <w:rsid w:val="00CF6EBD"/>
    <w:rsid w:val="00CF7A36"/>
    <w:rsid w:val="00D04A40"/>
    <w:rsid w:val="00D11007"/>
    <w:rsid w:val="00D176EA"/>
    <w:rsid w:val="00D2449B"/>
    <w:rsid w:val="00D33078"/>
    <w:rsid w:val="00D36B4B"/>
    <w:rsid w:val="00D662EB"/>
    <w:rsid w:val="00D76A9E"/>
    <w:rsid w:val="00D83541"/>
    <w:rsid w:val="00D9492C"/>
    <w:rsid w:val="00D95214"/>
    <w:rsid w:val="00DA1A1B"/>
    <w:rsid w:val="00DA21C0"/>
    <w:rsid w:val="00DB0CC2"/>
    <w:rsid w:val="00DB572A"/>
    <w:rsid w:val="00DC1569"/>
    <w:rsid w:val="00DD62F6"/>
    <w:rsid w:val="00DE0862"/>
    <w:rsid w:val="00DF2F39"/>
    <w:rsid w:val="00E04447"/>
    <w:rsid w:val="00E14023"/>
    <w:rsid w:val="00E16EA2"/>
    <w:rsid w:val="00E241B0"/>
    <w:rsid w:val="00E253F1"/>
    <w:rsid w:val="00E327CB"/>
    <w:rsid w:val="00E440FD"/>
    <w:rsid w:val="00E476C4"/>
    <w:rsid w:val="00E52DF6"/>
    <w:rsid w:val="00E542DD"/>
    <w:rsid w:val="00E61D1A"/>
    <w:rsid w:val="00E66534"/>
    <w:rsid w:val="00E86218"/>
    <w:rsid w:val="00EA09F9"/>
    <w:rsid w:val="00EA3D4F"/>
    <w:rsid w:val="00EA76B2"/>
    <w:rsid w:val="00EB3FEC"/>
    <w:rsid w:val="00EB4D2A"/>
    <w:rsid w:val="00EC23C7"/>
    <w:rsid w:val="00EE00A3"/>
    <w:rsid w:val="00EE035A"/>
    <w:rsid w:val="00EF1747"/>
    <w:rsid w:val="00EF23E4"/>
    <w:rsid w:val="00EF2B6E"/>
    <w:rsid w:val="00F20450"/>
    <w:rsid w:val="00F22639"/>
    <w:rsid w:val="00F24E15"/>
    <w:rsid w:val="00F52C46"/>
    <w:rsid w:val="00F55665"/>
    <w:rsid w:val="00F566DB"/>
    <w:rsid w:val="00F705E8"/>
    <w:rsid w:val="00F758F3"/>
    <w:rsid w:val="00F81D00"/>
    <w:rsid w:val="00FA1678"/>
    <w:rsid w:val="00FA420B"/>
    <w:rsid w:val="00FB1D9F"/>
    <w:rsid w:val="00FB3734"/>
    <w:rsid w:val="00FB491A"/>
    <w:rsid w:val="00FB65A6"/>
    <w:rsid w:val="00FE1888"/>
    <w:rsid w:val="00FE1EE4"/>
    <w:rsid w:val="00FE682A"/>
    <w:rsid w:val="00FF1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A11D034"/>
  <w15:docId w15:val="{FC4A968C-8BF5-452D-9B25-D7A50904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customStyle="1" w:styleId="Default">
    <w:name w:val="Default"/>
    <w:rsid w:val="00F22639"/>
    <w:pPr>
      <w:autoSpaceDE w:val="0"/>
      <w:autoSpaceDN w:val="0"/>
      <w:adjustRightInd w:val="0"/>
      <w:spacing w:after="0" w:line="240" w:lineRule="auto"/>
    </w:pPr>
    <w:rPr>
      <w:rFonts w:ascii="Arial" w:hAnsi="Arial" w:cs="Arial"/>
      <w:color w:val="000000"/>
      <w:sz w:val="24"/>
      <w:szCs w:val="24"/>
    </w:rPr>
  </w:style>
  <w:style w:type="character" w:styleId="Strong">
    <w:name w:val="Strong"/>
    <w:uiPriority w:val="22"/>
    <w:qFormat/>
    <w:rsid w:val="00C85D22"/>
    <w:rPr>
      <w:b/>
      <w:bCs/>
    </w:rPr>
  </w:style>
  <w:style w:type="character" w:styleId="Emphasis">
    <w:name w:val="Emphasis"/>
    <w:basedOn w:val="DefaultParagraphFont"/>
    <w:uiPriority w:val="20"/>
    <w:qFormat/>
    <w:rsid w:val="00201DEE"/>
    <w:rPr>
      <w:b/>
      <w:bCs/>
      <w:i w:val="0"/>
      <w:iCs w:val="0"/>
    </w:rPr>
  </w:style>
  <w:style w:type="character" w:customStyle="1" w:styleId="st1">
    <w:name w:val="st1"/>
    <w:basedOn w:val="DefaultParagraphFont"/>
    <w:rsid w:val="00201DEE"/>
  </w:style>
  <w:style w:type="paragraph" w:styleId="Footer">
    <w:name w:val="footer"/>
    <w:basedOn w:val="Normal"/>
    <w:link w:val="FooterChar"/>
    <w:uiPriority w:val="99"/>
    <w:unhideWhenUsed/>
    <w:rsid w:val="00187AE1"/>
    <w:pPr>
      <w:tabs>
        <w:tab w:val="center" w:pos="4513"/>
        <w:tab w:val="right" w:pos="9026"/>
      </w:tabs>
    </w:pPr>
  </w:style>
  <w:style w:type="character" w:customStyle="1" w:styleId="FooterChar">
    <w:name w:val="Footer Char"/>
    <w:basedOn w:val="DefaultParagraphFont"/>
    <w:link w:val="Footer"/>
    <w:uiPriority w:val="99"/>
    <w:rsid w:val="00187AE1"/>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1700">
      <w:bodyDiv w:val="1"/>
      <w:marLeft w:val="0"/>
      <w:marRight w:val="0"/>
      <w:marTop w:val="0"/>
      <w:marBottom w:val="0"/>
      <w:divBdr>
        <w:top w:val="none" w:sz="0" w:space="0" w:color="auto"/>
        <w:left w:val="none" w:sz="0" w:space="0" w:color="auto"/>
        <w:bottom w:val="none" w:sz="0" w:space="0" w:color="auto"/>
        <w:right w:val="none" w:sz="0" w:space="0" w:color="auto"/>
      </w:divBdr>
    </w:div>
    <w:div w:id="77215860">
      <w:bodyDiv w:val="1"/>
      <w:marLeft w:val="0"/>
      <w:marRight w:val="0"/>
      <w:marTop w:val="0"/>
      <w:marBottom w:val="0"/>
      <w:divBdr>
        <w:top w:val="none" w:sz="0" w:space="0" w:color="auto"/>
        <w:left w:val="none" w:sz="0" w:space="0" w:color="auto"/>
        <w:bottom w:val="none" w:sz="0" w:space="0" w:color="auto"/>
        <w:right w:val="none" w:sz="0" w:space="0" w:color="auto"/>
      </w:divBdr>
    </w:div>
    <w:div w:id="162205193">
      <w:bodyDiv w:val="1"/>
      <w:marLeft w:val="0"/>
      <w:marRight w:val="0"/>
      <w:marTop w:val="0"/>
      <w:marBottom w:val="0"/>
      <w:divBdr>
        <w:top w:val="none" w:sz="0" w:space="0" w:color="auto"/>
        <w:left w:val="none" w:sz="0" w:space="0" w:color="auto"/>
        <w:bottom w:val="none" w:sz="0" w:space="0" w:color="auto"/>
        <w:right w:val="none" w:sz="0" w:space="0" w:color="auto"/>
      </w:divBdr>
    </w:div>
    <w:div w:id="193736191">
      <w:bodyDiv w:val="1"/>
      <w:marLeft w:val="0"/>
      <w:marRight w:val="0"/>
      <w:marTop w:val="0"/>
      <w:marBottom w:val="0"/>
      <w:divBdr>
        <w:top w:val="none" w:sz="0" w:space="0" w:color="auto"/>
        <w:left w:val="none" w:sz="0" w:space="0" w:color="auto"/>
        <w:bottom w:val="none" w:sz="0" w:space="0" w:color="auto"/>
        <w:right w:val="none" w:sz="0" w:space="0" w:color="auto"/>
      </w:divBdr>
    </w:div>
    <w:div w:id="462619941">
      <w:bodyDiv w:val="1"/>
      <w:marLeft w:val="0"/>
      <w:marRight w:val="0"/>
      <w:marTop w:val="0"/>
      <w:marBottom w:val="0"/>
      <w:divBdr>
        <w:top w:val="none" w:sz="0" w:space="0" w:color="auto"/>
        <w:left w:val="none" w:sz="0" w:space="0" w:color="auto"/>
        <w:bottom w:val="none" w:sz="0" w:space="0" w:color="auto"/>
        <w:right w:val="none" w:sz="0" w:space="0" w:color="auto"/>
      </w:divBdr>
    </w:div>
    <w:div w:id="551886631">
      <w:bodyDiv w:val="1"/>
      <w:marLeft w:val="0"/>
      <w:marRight w:val="0"/>
      <w:marTop w:val="0"/>
      <w:marBottom w:val="0"/>
      <w:divBdr>
        <w:top w:val="none" w:sz="0" w:space="0" w:color="auto"/>
        <w:left w:val="none" w:sz="0" w:space="0" w:color="auto"/>
        <w:bottom w:val="none" w:sz="0" w:space="0" w:color="auto"/>
        <w:right w:val="none" w:sz="0" w:space="0" w:color="auto"/>
      </w:divBdr>
    </w:div>
    <w:div w:id="1694107758">
      <w:bodyDiv w:val="1"/>
      <w:marLeft w:val="0"/>
      <w:marRight w:val="0"/>
      <w:marTop w:val="0"/>
      <w:marBottom w:val="0"/>
      <w:divBdr>
        <w:top w:val="none" w:sz="0" w:space="0" w:color="auto"/>
        <w:left w:val="none" w:sz="0" w:space="0" w:color="auto"/>
        <w:bottom w:val="none" w:sz="0" w:space="0" w:color="auto"/>
        <w:right w:val="none" w:sz="0" w:space="0" w:color="auto"/>
      </w:divBdr>
    </w:div>
    <w:div w:id="213667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AFB75-951F-4469-900C-FDE9A3876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3601</Words>
  <Characters>20530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Kilmartin</dc:creator>
  <cp:lastModifiedBy>Tara Thompson</cp:lastModifiedBy>
  <cp:revision>2</cp:revision>
  <cp:lastPrinted>2020-01-09T12:06:00Z</cp:lastPrinted>
  <dcterms:created xsi:type="dcterms:W3CDTF">2021-05-20T09:31:00Z</dcterms:created>
  <dcterms:modified xsi:type="dcterms:W3CDTF">2021-05-20T09:31:00Z</dcterms:modified>
</cp:coreProperties>
</file>