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8E9B"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AAC11D4" w14:textId="77777777">
        <w:trPr>
          <w:cantSplit/>
        </w:trPr>
        <w:tc>
          <w:tcPr>
            <w:tcW w:w="6990" w:type="dxa"/>
            <w:gridSpan w:val="4"/>
          </w:tcPr>
          <w:p w14:paraId="469DB743"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2B8C4ED9" w14:textId="77777777" w:rsidR="004D6A8E" w:rsidRPr="00533C3D" w:rsidRDefault="004D6A8E">
            <w:pPr>
              <w:pStyle w:val="DefaultText"/>
              <w:rPr>
                <w:rFonts w:ascii="Calibri" w:hAnsi="Calibri"/>
                <w:sz w:val="24"/>
                <w:szCs w:val="24"/>
              </w:rPr>
            </w:pPr>
          </w:p>
        </w:tc>
        <w:tc>
          <w:tcPr>
            <w:tcW w:w="1713" w:type="dxa"/>
          </w:tcPr>
          <w:p w14:paraId="40B99593" w14:textId="77777777" w:rsidR="004D6A8E" w:rsidRPr="00533C3D" w:rsidRDefault="004D6A8E">
            <w:pPr>
              <w:pStyle w:val="DefaultText"/>
              <w:rPr>
                <w:rFonts w:ascii="Calibri" w:hAnsi="Calibri"/>
                <w:sz w:val="24"/>
                <w:szCs w:val="24"/>
              </w:rPr>
            </w:pPr>
          </w:p>
        </w:tc>
      </w:tr>
      <w:tr w:rsidR="004D6A8E" w:rsidRPr="00533C3D" w14:paraId="2B86A04D" w14:textId="77777777">
        <w:trPr>
          <w:cantSplit/>
        </w:trPr>
        <w:tc>
          <w:tcPr>
            <w:tcW w:w="4124" w:type="dxa"/>
            <w:gridSpan w:val="2"/>
          </w:tcPr>
          <w:p w14:paraId="2634BB4C"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50021ED0" w14:textId="77777777" w:rsidR="004D6A8E" w:rsidRPr="00533C3D" w:rsidRDefault="004D6A8E">
            <w:pPr>
              <w:pStyle w:val="DefaultText"/>
              <w:rPr>
                <w:rFonts w:ascii="Calibri" w:hAnsi="Calibri"/>
                <w:sz w:val="24"/>
                <w:szCs w:val="24"/>
              </w:rPr>
            </w:pPr>
          </w:p>
        </w:tc>
        <w:tc>
          <w:tcPr>
            <w:tcW w:w="1410" w:type="dxa"/>
          </w:tcPr>
          <w:p w14:paraId="7C64E0FC" w14:textId="77777777" w:rsidR="004D6A8E" w:rsidRPr="00533C3D" w:rsidRDefault="004D6A8E">
            <w:pPr>
              <w:pStyle w:val="DefaultText"/>
              <w:rPr>
                <w:rFonts w:ascii="Calibri" w:hAnsi="Calibri"/>
                <w:sz w:val="24"/>
                <w:szCs w:val="24"/>
              </w:rPr>
            </w:pPr>
          </w:p>
        </w:tc>
        <w:tc>
          <w:tcPr>
            <w:tcW w:w="1713" w:type="dxa"/>
          </w:tcPr>
          <w:p w14:paraId="45181211" w14:textId="77777777" w:rsidR="004D6A8E" w:rsidRPr="00533C3D" w:rsidRDefault="004D6A8E">
            <w:pPr>
              <w:pStyle w:val="DefaultText"/>
              <w:rPr>
                <w:rFonts w:ascii="Calibri" w:hAnsi="Calibri"/>
                <w:sz w:val="24"/>
                <w:szCs w:val="24"/>
              </w:rPr>
            </w:pPr>
          </w:p>
        </w:tc>
        <w:tc>
          <w:tcPr>
            <w:tcW w:w="1713" w:type="dxa"/>
          </w:tcPr>
          <w:p w14:paraId="4779ED04" w14:textId="77777777" w:rsidR="004D6A8E" w:rsidRPr="00533C3D" w:rsidRDefault="004D6A8E">
            <w:pPr>
              <w:pStyle w:val="DefaultText"/>
              <w:rPr>
                <w:rFonts w:ascii="Calibri" w:hAnsi="Calibri"/>
                <w:sz w:val="24"/>
                <w:szCs w:val="24"/>
              </w:rPr>
            </w:pPr>
          </w:p>
        </w:tc>
      </w:tr>
      <w:tr w:rsidR="00BF398E" w:rsidRPr="00533C3D" w14:paraId="6C3FA486" w14:textId="77777777" w:rsidTr="003116C7">
        <w:trPr>
          <w:cantSplit/>
        </w:trPr>
        <w:tc>
          <w:tcPr>
            <w:tcW w:w="6990" w:type="dxa"/>
            <w:gridSpan w:val="4"/>
          </w:tcPr>
          <w:p w14:paraId="66C06863"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7E718390" w14:textId="77777777" w:rsidR="00BF398E" w:rsidRPr="00533C3D" w:rsidRDefault="00BF398E">
            <w:pPr>
              <w:pStyle w:val="DefaultText"/>
              <w:rPr>
                <w:rFonts w:ascii="Calibri" w:hAnsi="Calibri"/>
                <w:sz w:val="24"/>
                <w:szCs w:val="24"/>
              </w:rPr>
            </w:pPr>
          </w:p>
        </w:tc>
        <w:tc>
          <w:tcPr>
            <w:tcW w:w="1713" w:type="dxa"/>
          </w:tcPr>
          <w:p w14:paraId="63D13734" w14:textId="77777777" w:rsidR="00BF398E" w:rsidRPr="00533C3D" w:rsidRDefault="00BF398E">
            <w:pPr>
              <w:pStyle w:val="DefaultText"/>
              <w:rPr>
                <w:rFonts w:ascii="Calibri" w:hAnsi="Calibri"/>
                <w:sz w:val="24"/>
                <w:szCs w:val="24"/>
              </w:rPr>
            </w:pPr>
          </w:p>
        </w:tc>
      </w:tr>
      <w:tr w:rsidR="00BF398E" w:rsidRPr="00533C3D" w14:paraId="66703EF8" w14:textId="77777777" w:rsidTr="003116C7">
        <w:trPr>
          <w:cantSplit/>
        </w:trPr>
        <w:tc>
          <w:tcPr>
            <w:tcW w:w="8703" w:type="dxa"/>
            <w:gridSpan w:val="5"/>
            <w:tcBorders>
              <w:bottom w:val="single" w:sz="6" w:space="0" w:color="auto"/>
            </w:tcBorders>
          </w:tcPr>
          <w:p w14:paraId="60979254"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31D57EDA" w14:textId="77777777" w:rsidR="00BF398E" w:rsidRPr="00533C3D" w:rsidRDefault="00BF398E">
            <w:pPr>
              <w:pStyle w:val="DefaultText"/>
              <w:rPr>
                <w:rFonts w:ascii="Calibri" w:hAnsi="Calibri"/>
                <w:sz w:val="24"/>
                <w:szCs w:val="24"/>
              </w:rPr>
            </w:pPr>
          </w:p>
        </w:tc>
      </w:tr>
      <w:tr w:rsidR="004D6A8E" w:rsidRPr="00533C3D" w14:paraId="6B3CD445" w14:textId="77777777">
        <w:trPr>
          <w:cantSplit/>
        </w:trPr>
        <w:tc>
          <w:tcPr>
            <w:tcW w:w="5580" w:type="dxa"/>
            <w:gridSpan w:val="3"/>
          </w:tcPr>
          <w:p w14:paraId="7B2C9EC2"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79D3838A" w14:textId="77777777" w:rsidR="004D6A8E" w:rsidRPr="00533C3D" w:rsidRDefault="004D6A8E">
            <w:pPr>
              <w:pStyle w:val="DefaultText"/>
              <w:rPr>
                <w:rFonts w:ascii="Calibri" w:hAnsi="Calibri"/>
                <w:sz w:val="24"/>
                <w:szCs w:val="24"/>
              </w:rPr>
            </w:pPr>
          </w:p>
        </w:tc>
        <w:tc>
          <w:tcPr>
            <w:tcW w:w="1713" w:type="dxa"/>
          </w:tcPr>
          <w:p w14:paraId="426A4A21" w14:textId="77777777" w:rsidR="004D6A8E" w:rsidRPr="00533C3D" w:rsidRDefault="004D6A8E">
            <w:pPr>
              <w:pStyle w:val="DefaultText"/>
              <w:rPr>
                <w:rFonts w:ascii="Calibri" w:hAnsi="Calibri"/>
                <w:sz w:val="24"/>
                <w:szCs w:val="24"/>
              </w:rPr>
            </w:pPr>
          </w:p>
        </w:tc>
        <w:tc>
          <w:tcPr>
            <w:tcW w:w="1713" w:type="dxa"/>
          </w:tcPr>
          <w:p w14:paraId="02AABDB7" w14:textId="77777777" w:rsidR="004D6A8E" w:rsidRPr="00533C3D" w:rsidRDefault="004D6A8E">
            <w:pPr>
              <w:pStyle w:val="DefaultText"/>
              <w:rPr>
                <w:rFonts w:ascii="Calibri" w:hAnsi="Calibri"/>
                <w:sz w:val="24"/>
                <w:szCs w:val="24"/>
              </w:rPr>
            </w:pPr>
          </w:p>
        </w:tc>
      </w:tr>
      <w:tr w:rsidR="004D6A8E" w:rsidRPr="00533C3D" w14:paraId="2C3EC2BB" w14:textId="77777777">
        <w:trPr>
          <w:cantSplit/>
        </w:trPr>
        <w:tc>
          <w:tcPr>
            <w:tcW w:w="10416" w:type="dxa"/>
            <w:gridSpan w:val="6"/>
          </w:tcPr>
          <w:p w14:paraId="17A83D27"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2CFB299A" w14:textId="77777777">
        <w:trPr>
          <w:cantSplit/>
        </w:trPr>
        <w:tc>
          <w:tcPr>
            <w:tcW w:w="2411" w:type="dxa"/>
          </w:tcPr>
          <w:p w14:paraId="7EC1574C"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5A3EF6DE" w14:textId="77777777" w:rsidR="004D6A8E" w:rsidRPr="00533C3D" w:rsidRDefault="00BC0709">
            <w:pPr>
              <w:rPr>
                <w:rFonts w:ascii="Calibri" w:hAnsi="Calibri"/>
                <w:sz w:val="24"/>
                <w:szCs w:val="24"/>
              </w:rPr>
            </w:pPr>
            <w:r>
              <w:rPr>
                <w:rFonts w:ascii="Calibri" w:hAnsi="Calibri"/>
                <w:sz w:val="24"/>
                <w:szCs w:val="24"/>
              </w:rPr>
              <w:t>3/2021/0242</w:t>
            </w:r>
          </w:p>
        </w:tc>
        <w:tc>
          <w:tcPr>
            <w:tcW w:w="1410" w:type="dxa"/>
          </w:tcPr>
          <w:p w14:paraId="3C919105" w14:textId="77777777" w:rsidR="004D6A8E" w:rsidRPr="00533C3D" w:rsidRDefault="004D6A8E">
            <w:pPr>
              <w:pStyle w:val="DefaultText"/>
              <w:rPr>
                <w:rFonts w:ascii="Calibri" w:hAnsi="Calibri"/>
                <w:sz w:val="24"/>
                <w:szCs w:val="24"/>
              </w:rPr>
            </w:pPr>
          </w:p>
        </w:tc>
        <w:tc>
          <w:tcPr>
            <w:tcW w:w="1713" w:type="dxa"/>
          </w:tcPr>
          <w:p w14:paraId="377535A6" w14:textId="77777777" w:rsidR="004D6A8E" w:rsidRPr="00533C3D" w:rsidRDefault="004D6A8E">
            <w:pPr>
              <w:pStyle w:val="DefaultText"/>
              <w:rPr>
                <w:rFonts w:ascii="Calibri" w:hAnsi="Calibri"/>
                <w:sz w:val="24"/>
                <w:szCs w:val="24"/>
              </w:rPr>
            </w:pPr>
          </w:p>
        </w:tc>
        <w:tc>
          <w:tcPr>
            <w:tcW w:w="1713" w:type="dxa"/>
          </w:tcPr>
          <w:p w14:paraId="2697EA10" w14:textId="77777777" w:rsidR="004D6A8E" w:rsidRPr="00533C3D" w:rsidRDefault="004D6A8E">
            <w:pPr>
              <w:pStyle w:val="DefaultText"/>
              <w:rPr>
                <w:rFonts w:ascii="Calibri" w:hAnsi="Calibri"/>
                <w:sz w:val="24"/>
                <w:szCs w:val="24"/>
              </w:rPr>
            </w:pPr>
          </w:p>
        </w:tc>
      </w:tr>
      <w:tr w:rsidR="004D6A8E" w:rsidRPr="00533C3D" w14:paraId="10722FFA" w14:textId="77777777">
        <w:trPr>
          <w:cantSplit/>
        </w:trPr>
        <w:tc>
          <w:tcPr>
            <w:tcW w:w="2411" w:type="dxa"/>
          </w:tcPr>
          <w:p w14:paraId="3A77BEDB"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1EE19D18" w14:textId="77777777" w:rsidR="004D6A8E" w:rsidRPr="00533C3D" w:rsidRDefault="00BC0709">
            <w:pPr>
              <w:rPr>
                <w:rFonts w:ascii="Calibri" w:hAnsi="Calibri"/>
                <w:sz w:val="24"/>
                <w:szCs w:val="24"/>
              </w:rPr>
            </w:pPr>
            <w:r>
              <w:rPr>
                <w:rFonts w:ascii="Calibri" w:hAnsi="Calibri"/>
                <w:sz w:val="24"/>
                <w:szCs w:val="24"/>
              </w:rPr>
              <w:t>17 May 2021</w:t>
            </w:r>
          </w:p>
        </w:tc>
        <w:tc>
          <w:tcPr>
            <w:tcW w:w="1410" w:type="dxa"/>
          </w:tcPr>
          <w:p w14:paraId="50546AC6" w14:textId="77777777" w:rsidR="004D6A8E" w:rsidRPr="00533C3D" w:rsidRDefault="004D6A8E">
            <w:pPr>
              <w:pStyle w:val="DefaultText"/>
              <w:rPr>
                <w:rFonts w:ascii="Calibri" w:hAnsi="Calibri"/>
                <w:sz w:val="24"/>
                <w:szCs w:val="24"/>
              </w:rPr>
            </w:pPr>
          </w:p>
        </w:tc>
        <w:tc>
          <w:tcPr>
            <w:tcW w:w="1713" w:type="dxa"/>
          </w:tcPr>
          <w:p w14:paraId="51910B97" w14:textId="77777777" w:rsidR="004D6A8E" w:rsidRPr="00533C3D" w:rsidRDefault="004D6A8E">
            <w:pPr>
              <w:pStyle w:val="DefaultText"/>
              <w:rPr>
                <w:rFonts w:ascii="Calibri" w:hAnsi="Calibri"/>
                <w:sz w:val="24"/>
                <w:szCs w:val="24"/>
              </w:rPr>
            </w:pPr>
          </w:p>
        </w:tc>
        <w:tc>
          <w:tcPr>
            <w:tcW w:w="1713" w:type="dxa"/>
          </w:tcPr>
          <w:p w14:paraId="44767BA5" w14:textId="77777777" w:rsidR="004D6A8E" w:rsidRPr="00533C3D" w:rsidRDefault="004D6A8E">
            <w:pPr>
              <w:pStyle w:val="DefaultText"/>
              <w:rPr>
                <w:rFonts w:ascii="Calibri" w:hAnsi="Calibri"/>
                <w:sz w:val="24"/>
                <w:szCs w:val="24"/>
              </w:rPr>
            </w:pPr>
          </w:p>
        </w:tc>
      </w:tr>
      <w:tr w:rsidR="004D6A8E" w:rsidRPr="00533C3D" w14:paraId="01CDA703" w14:textId="77777777">
        <w:trPr>
          <w:cantSplit/>
        </w:trPr>
        <w:tc>
          <w:tcPr>
            <w:tcW w:w="2411" w:type="dxa"/>
          </w:tcPr>
          <w:p w14:paraId="07A744CB"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3706D159" w14:textId="77777777" w:rsidR="004D6A8E" w:rsidRPr="00533C3D" w:rsidRDefault="00BC0709">
            <w:pPr>
              <w:rPr>
                <w:rFonts w:ascii="Calibri" w:hAnsi="Calibri"/>
                <w:sz w:val="24"/>
                <w:szCs w:val="24"/>
              </w:rPr>
            </w:pPr>
            <w:r>
              <w:rPr>
                <w:rFonts w:ascii="Calibri" w:hAnsi="Calibri"/>
                <w:sz w:val="24"/>
                <w:szCs w:val="24"/>
              </w:rPr>
              <w:t>06/04/2021</w:t>
            </w:r>
          </w:p>
        </w:tc>
        <w:tc>
          <w:tcPr>
            <w:tcW w:w="1410" w:type="dxa"/>
          </w:tcPr>
          <w:p w14:paraId="1B9A269D" w14:textId="77777777" w:rsidR="004D6A8E" w:rsidRPr="00533C3D" w:rsidRDefault="004D6A8E">
            <w:pPr>
              <w:pStyle w:val="DefaultText"/>
              <w:rPr>
                <w:rFonts w:ascii="Calibri" w:hAnsi="Calibri"/>
                <w:sz w:val="24"/>
                <w:szCs w:val="24"/>
              </w:rPr>
            </w:pPr>
          </w:p>
        </w:tc>
        <w:tc>
          <w:tcPr>
            <w:tcW w:w="1713" w:type="dxa"/>
          </w:tcPr>
          <w:p w14:paraId="03C8225D" w14:textId="77777777" w:rsidR="004D6A8E" w:rsidRPr="00533C3D" w:rsidRDefault="004D6A8E">
            <w:pPr>
              <w:pStyle w:val="DefaultText"/>
              <w:rPr>
                <w:rFonts w:ascii="Calibri" w:hAnsi="Calibri"/>
                <w:sz w:val="24"/>
                <w:szCs w:val="24"/>
              </w:rPr>
            </w:pPr>
          </w:p>
        </w:tc>
        <w:tc>
          <w:tcPr>
            <w:tcW w:w="1713" w:type="dxa"/>
          </w:tcPr>
          <w:p w14:paraId="2FDB0EA5" w14:textId="77777777" w:rsidR="004D6A8E" w:rsidRPr="00533C3D" w:rsidRDefault="004D6A8E">
            <w:pPr>
              <w:pStyle w:val="DefaultText"/>
              <w:rPr>
                <w:rFonts w:ascii="Calibri" w:hAnsi="Calibri"/>
                <w:sz w:val="24"/>
                <w:szCs w:val="24"/>
              </w:rPr>
            </w:pPr>
          </w:p>
        </w:tc>
      </w:tr>
      <w:tr w:rsidR="004D6A8E" w:rsidRPr="00533C3D" w14:paraId="3AB234F4" w14:textId="77777777">
        <w:trPr>
          <w:cantSplit/>
        </w:trPr>
        <w:tc>
          <w:tcPr>
            <w:tcW w:w="10416" w:type="dxa"/>
            <w:gridSpan w:val="6"/>
          </w:tcPr>
          <w:p w14:paraId="498CD41D" w14:textId="77777777" w:rsidR="004D6A8E" w:rsidRPr="00533C3D" w:rsidRDefault="004D6A8E">
            <w:pPr>
              <w:pStyle w:val="DefaultText"/>
              <w:rPr>
                <w:rFonts w:ascii="Calibri" w:hAnsi="Calibri"/>
                <w:sz w:val="24"/>
                <w:szCs w:val="24"/>
              </w:rPr>
            </w:pPr>
          </w:p>
        </w:tc>
      </w:tr>
      <w:tr w:rsidR="004D6A8E" w:rsidRPr="00533C3D" w14:paraId="410EDD3C" w14:textId="77777777">
        <w:trPr>
          <w:cantSplit/>
        </w:trPr>
        <w:tc>
          <w:tcPr>
            <w:tcW w:w="2411" w:type="dxa"/>
          </w:tcPr>
          <w:p w14:paraId="61A64C01"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43BEBAA0" w14:textId="77777777" w:rsidR="004D6A8E" w:rsidRPr="00533C3D" w:rsidRDefault="004D6A8E">
            <w:pPr>
              <w:pStyle w:val="DefaultText"/>
              <w:rPr>
                <w:rFonts w:ascii="Calibri" w:hAnsi="Calibri"/>
                <w:sz w:val="24"/>
                <w:szCs w:val="24"/>
              </w:rPr>
            </w:pPr>
          </w:p>
        </w:tc>
        <w:tc>
          <w:tcPr>
            <w:tcW w:w="1456" w:type="dxa"/>
          </w:tcPr>
          <w:p w14:paraId="070A540F" w14:textId="77777777" w:rsidR="004D6A8E" w:rsidRPr="00533C3D" w:rsidRDefault="004D6A8E">
            <w:pPr>
              <w:pStyle w:val="DefaultText"/>
              <w:rPr>
                <w:rFonts w:ascii="Calibri" w:hAnsi="Calibri"/>
                <w:sz w:val="24"/>
                <w:szCs w:val="24"/>
              </w:rPr>
            </w:pPr>
          </w:p>
        </w:tc>
        <w:tc>
          <w:tcPr>
            <w:tcW w:w="1410" w:type="dxa"/>
          </w:tcPr>
          <w:p w14:paraId="32478550"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7CD21AEF" w14:textId="77777777" w:rsidR="004D6A8E" w:rsidRPr="00533C3D" w:rsidRDefault="004D6A8E">
            <w:pPr>
              <w:pStyle w:val="DefaultText"/>
              <w:rPr>
                <w:rFonts w:ascii="Calibri" w:hAnsi="Calibri"/>
                <w:sz w:val="24"/>
                <w:szCs w:val="24"/>
              </w:rPr>
            </w:pPr>
          </w:p>
        </w:tc>
        <w:tc>
          <w:tcPr>
            <w:tcW w:w="1713" w:type="dxa"/>
          </w:tcPr>
          <w:p w14:paraId="236050F7" w14:textId="77777777" w:rsidR="004D6A8E" w:rsidRPr="00533C3D" w:rsidRDefault="004D6A8E">
            <w:pPr>
              <w:pStyle w:val="DefaultText"/>
              <w:rPr>
                <w:rFonts w:ascii="Calibri" w:hAnsi="Calibri"/>
                <w:sz w:val="24"/>
                <w:szCs w:val="24"/>
              </w:rPr>
            </w:pPr>
          </w:p>
        </w:tc>
      </w:tr>
      <w:tr w:rsidR="004D6A8E" w:rsidRPr="00533C3D" w14:paraId="729F0615" w14:textId="77777777">
        <w:trPr>
          <w:cantSplit/>
        </w:trPr>
        <w:tc>
          <w:tcPr>
            <w:tcW w:w="4124" w:type="dxa"/>
            <w:gridSpan w:val="2"/>
            <w:vMerge w:val="restart"/>
            <w:tcBorders>
              <w:bottom w:val="single" w:sz="4" w:space="0" w:color="auto"/>
            </w:tcBorders>
          </w:tcPr>
          <w:p w14:paraId="724A27E7" w14:textId="77777777" w:rsidR="004D6A8E" w:rsidRPr="00533C3D" w:rsidRDefault="00BC0709">
            <w:pPr>
              <w:rPr>
                <w:rFonts w:ascii="Calibri" w:hAnsi="Calibri"/>
                <w:sz w:val="24"/>
                <w:szCs w:val="24"/>
              </w:rPr>
            </w:pPr>
            <w:r>
              <w:rPr>
                <w:rFonts w:ascii="Calibri" w:hAnsi="Calibri"/>
                <w:sz w:val="24"/>
                <w:szCs w:val="24"/>
              </w:rPr>
              <w:t>Chatburn Developments Ltd</w:t>
            </w:r>
          </w:p>
          <w:p w14:paraId="21E9B258" w14:textId="77777777" w:rsidR="004D6A8E" w:rsidRPr="00533C3D" w:rsidRDefault="00BC0709">
            <w:pPr>
              <w:rPr>
                <w:rFonts w:ascii="Calibri" w:hAnsi="Calibri"/>
                <w:sz w:val="24"/>
                <w:szCs w:val="24"/>
              </w:rPr>
            </w:pPr>
            <w:r>
              <w:rPr>
                <w:rFonts w:ascii="Calibri" w:hAnsi="Calibri"/>
                <w:sz w:val="24"/>
                <w:szCs w:val="24"/>
              </w:rPr>
              <w:t>C/o Agent</w:t>
            </w:r>
          </w:p>
        </w:tc>
        <w:tc>
          <w:tcPr>
            <w:tcW w:w="1456" w:type="dxa"/>
          </w:tcPr>
          <w:p w14:paraId="1D6BA353"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45657A53" w14:textId="77777777" w:rsidR="004D6A8E" w:rsidRPr="00533C3D" w:rsidRDefault="00BC0709">
            <w:pPr>
              <w:jc w:val="left"/>
              <w:rPr>
                <w:rFonts w:ascii="Calibri" w:hAnsi="Calibri"/>
                <w:sz w:val="24"/>
                <w:szCs w:val="24"/>
              </w:rPr>
            </w:pPr>
            <w:r>
              <w:rPr>
                <w:rFonts w:ascii="Calibri" w:hAnsi="Calibri"/>
                <w:sz w:val="24"/>
                <w:szCs w:val="24"/>
              </w:rPr>
              <w:t>Mr Christie McDonald</w:t>
            </w:r>
          </w:p>
          <w:p w14:paraId="61128D74" w14:textId="77777777" w:rsidR="00BC0709" w:rsidRDefault="00BC0709">
            <w:pPr>
              <w:jc w:val="left"/>
              <w:rPr>
                <w:rFonts w:ascii="Calibri" w:hAnsi="Calibri"/>
                <w:sz w:val="24"/>
                <w:szCs w:val="24"/>
              </w:rPr>
            </w:pPr>
            <w:r>
              <w:rPr>
                <w:rFonts w:ascii="Calibri" w:hAnsi="Calibri"/>
                <w:sz w:val="24"/>
                <w:szCs w:val="24"/>
              </w:rPr>
              <w:t>Steven Abbott Associates LLP</w:t>
            </w:r>
          </w:p>
          <w:p w14:paraId="1FC98A09" w14:textId="77777777" w:rsidR="00BC0709" w:rsidRDefault="00BC0709">
            <w:pPr>
              <w:jc w:val="left"/>
              <w:rPr>
                <w:rFonts w:ascii="Calibri" w:hAnsi="Calibri"/>
                <w:sz w:val="24"/>
                <w:szCs w:val="24"/>
              </w:rPr>
            </w:pPr>
            <w:r>
              <w:rPr>
                <w:rFonts w:ascii="Calibri" w:hAnsi="Calibri"/>
                <w:sz w:val="24"/>
                <w:szCs w:val="24"/>
              </w:rPr>
              <w:t>Balmoral House</w:t>
            </w:r>
          </w:p>
          <w:p w14:paraId="11C14E85" w14:textId="77777777" w:rsidR="00BC0709" w:rsidRDefault="00BC0709">
            <w:pPr>
              <w:jc w:val="left"/>
              <w:rPr>
                <w:rFonts w:ascii="Calibri" w:hAnsi="Calibri"/>
                <w:sz w:val="24"/>
                <w:szCs w:val="24"/>
              </w:rPr>
            </w:pPr>
            <w:r>
              <w:rPr>
                <w:rFonts w:ascii="Calibri" w:hAnsi="Calibri"/>
                <w:sz w:val="24"/>
                <w:szCs w:val="24"/>
              </w:rPr>
              <w:t>Ackhurst Business Park</w:t>
            </w:r>
          </w:p>
          <w:p w14:paraId="3FEDF03A" w14:textId="77777777" w:rsidR="00BC0709" w:rsidRDefault="00BC0709">
            <w:pPr>
              <w:jc w:val="left"/>
              <w:rPr>
                <w:rFonts w:ascii="Calibri" w:hAnsi="Calibri"/>
                <w:sz w:val="24"/>
                <w:szCs w:val="24"/>
              </w:rPr>
            </w:pPr>
            <w:r>
              <w:rPr>
                <w:rFonts w:ascii="Calibri" w:hAnsi="Calibri"/>
                <w:sz w:val="24"/>
                <w:szCs w:val="24"/>
              </w:rPr>
              <w:t>Foxhole Road</w:t>
            </w:r>
          </w:p>
          <w:p w14:paraId="2625A57B" w14:textId="77777777" w:rsidR="00BC0709" w:rsidRDefault="00BC0709">
            <w:pPr>
              <w:jc w:val="left"/>
              <w:rPr>
                <w:rFonts w:ascii="Calibri" w:hAnsi="Calibri"/>
                <w:sz w:val="24"/>
                <w:szCs w:val="24"/>
              </w:rPr>
            </w:pPr>
            <w:r>
              <w:rPr>
                <w:rFonts w:ascii="Calibri" w:hAnsi="Calibri"/>
                <w:sz w:val="24"/>
                <w:szCs w:val="24"/>
              </w:rPr>
              <w:t>Chorley</w:t>
            </w:r>
          </w:p>
          <w:p w14:paraId="0D4A334F" w14:textId="77777777" w:rsidR="004D6A8E" w:rsidRPr="00533C3D" w:rsidRDefault="00BC0709">
            <w:pPr>
              <w:jc w:val="left"/>
              <w:rPr>
                <w:rFonts w:ascii="Calibri" w:hAnsi="Calibri"/>
                <w:sz w:val="24"/>
                <w:szCs w:val="24"/>
              </w:rPr>
            </w:pPr>
            <w:r>
              <w:rPr>
                <w:rFonts w:ascii="Calibri" w:hAnsi="Calibri"/>
                <w:sz w:val="24"/>
                <w:szCs w:val="24"/>
              </w:rPr>
              <w:t>PR7 1NY</w:t>
            </w:r>
          </w:p>
        </w:tc>
      </w:tr>
      <w:tr w:rsidR="004D6A8E" w:rsidRPr="00533C3D" w14:paraId="2FCAC09B" w14:textId="77777777">
        <w:trPr>
          <w:cantSplit/>
        </w:trPr>
        <w:tc>
          <w:tcPr>
            <w:tcW w:w="4124" w:type="dxa"/>
            <w:gridSpan w:val="2"/>
            <w:vMerge/>
            <w:tcBorders>
              <w:bottom w:val="single" w:sz="4" w:space="0" w:color="auto"/>
            </w:tcBorders>
          </w:tcPr>
          <w:p w14:paraId="59B95029" w14:textId="77777777" w:rsidR="004D6A8E" w:rsidRPr="00533C3D" w:rsidRDefault="004D6A8E">
            <w:pPr>
              <w:pStyle w:val="DefaultText"/>
              <w:rPr>
                <w:rFonts w:ascii="Calibri" w:hAnsi="Calibri"/>
                <w:sz w:val="24"/>
                <w:szCs w:val="24"/>
              </w:rPr>
            </w:pPr>
          </w:p>
        </w:tc>
        <w:tc>
          <w:tcPr>
            <w:tcW w:w="1456" w:type="dxa"/>
          </w:tcPr>
          <w:p w14:paraId="35450A8A"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4B21B36" w14:textId="77777777" w:rsidR="004D6A8E" w:rsidRPr="00533C3D" w:rsidRDefault="004D6A8E">
            <w:pPr>
              <w:pStyle w:val="DefaultText"/>
              <w:rPr>
                <w:rFonts w:ascii="Calibri" w:hAnsi="Calibri"/>
                <w:sz w:val="24"/>
                <w:szCs w:val="24"/>
              </w:rPr>
            </w:pPr>
          </w:p>
        </w:tc>
      </w:tr>
      <w:tr w:rsidR="004D6A8E" w:rsidRPr="00533C3D" w14:paraId="06AC2FF6" w14:textId="77777777">
        <w:trPr>
          <w:cantSplit/>
        </w:trPr>
        <w:tc>
          <w:tcPr>
            <w:tcW w:w="4124" w:type="dxa"/>
            <w:gridSpan w:val="2"/>
            <w:vMerge/>
            <w:tcBorders>
              <w:bottom w:val="single" w:sz="4" w:space="0" w:color="auto"/>
            </w:tcBorders>
          </w:tcPr>
          <w:p w14:paraId="104BD9EC" w14:textId="77777777" w:rsidR="004D6A8E" w:rsidRPr="00533C3D" w:rsidRDefault="004D6A8E">
            <w:pPr>
              <w:pStyle w:val="DefaultText"/>
              <w:rPr>
                <w:rFonts w:ascii="Calibri" w:hAnsi="Calibri"/>
                <w:sz w:val="24"/>
                <w:szCs w:val="24"/>
              </w:rPr>
            </w:pPr>
          </w:p>
        </w:tc>
        <w:tc>
          <w:tcPr>
            <w:tcW w:w="1456" w:type="dxa"/>
          </w:tcPr>
          <w:p w14:paraId="48F3DD8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E86064A" w14:textId="77777777" w:rsidR="004D6A8E" w:rsidRPr="00533C3D" w:rsidRDefault="004D6A8E">
            <w:pPr>
              <w:pStyle w:val="DefaultText"/>
              <w:rPr>
                <w:rFonts w:ascii="Calibri" w:hAnsi="Calibri"/>
                <w:sz w:val="24"/>
                <w:szCs w:val="24"/>
              </w:rPr>
            </w:pPr>
          </w:p>
        </w:tc>
      </w:tr>
      <w:tr w:rsidR="004D6A8E" w:rsidRPr="00533C3D" w14:paraId="5357519A" w14:textId="77777777">
        <w:trPr>
          <w:cantSplit/>
        </w:trPr>
        <w:tc>
          <w:tcPr>
            <w:tcW w:w="4124" w:type="dxa"/>
            <w:gridSpan w:val="2"/>
            <w:vMerge/>
            <w:tcBorders>
              <w:bottom w:val="single" w:sz="4" w:space="0" w:color="auto"/>
            </w:tcBorders>
          </w:tcPr>
          <w:p w14:paraId="16B89323" w14:textId="77777777" w:rsidR="004D6A8E" w:rsidRPr="00533C3D" w:rsidRDefault="004D6A8E">
            <w:pPr>
              <w:pStyle w:val="DefaultText"/>
              <w:rPr>
                <w:rFonts w:ascii="Calibri" w:hAnsi="Calibri"/>
                <w:sz w:val="24"/>
                <w:szCs w:val="24"/>
              </w:rPr>
            </w:pPr>
          </w:p>
        </w:tc>
        <w:tc>
          <w:tcPr>
            <w:tcW w:w="1456" w:type="dxa"/>
          </w:tcPr>
          <w:p w14:paraId="41F163F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4956BD9" w14:textId="77777777" w:rsidR="004D6A8E" w:rsidRPr="00533C3D" w:rsidRDefault="004D6A8E">
            <w:pPr>
              <w:pStyle w:val="DefaultText"/>
              <w:rPr>
                <w:rFonts w:ascii="Calibri" w:hAnsi="Calibri"/>
                <w:sz w:val="24"/>
                <w:szCs w:val="24"/>
              </w:rPr>
            </w:pPr>
          </w:p>
        </w:tc>
      </w:tr>
      <w:tr w:rsidR="004D6A8E" w:rsidRPr="00533C3D" w14:paraId="52FDA446" w14:textId="77777777">
        <w:trPr>
          <w:cantSplit/>
        </w:trPr>
        <w:tc>
          <w:tcPr>
            <w:tcW w:w="4124" w:type="dxa"/>
            <w:gridSpan w:val="2"/>
            <w:vMerge/>
            <w:tcBorders>
              <w:bottom w:val="single" w:sz="4" w:space="0" w:color="auto"/>
            </w:tcBorders>
          </w:tcPr>
          <w:p w14:paraId="57E25EC1"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2259FBD7"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11F25E5" w14:textId="77777777" w:rsidR="004D6A8E" w:rsidRPr="00533C3D" w:rsidRDefault="004D6A8E">
            <w:pPr>
              <w:pStyle w:val="DefaultText"/>
              <w:rPr>
                <w:rFonts w:ascii="Calibri" w:hAnsi="Calibri"/>
                <w:sz w:val="24"/>
                <w:szCs w:val="24"/>
              </w:rPr>
            </w:pPr>
          </w:p>
        </w:tc>
      </w:tr>
    </w:tbl>
    <w:p w14:paraId="6793E26D"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0C90C406" w14:textId="77777777">
        <w:trPr>
          <w:gridAfter w:val="1"/>
          <w:wAfter w:w="290" w:type="dxa"/>
          <w:cantSplit/>
        </w:trPr>
        <w:tc>
          <w:tcPr>
            <w:tcW w:w="3494" w:type="dxa"/>
            <w:gridSpan w:val="5"/>
          </w:tcPr>
          <w:p w14:paraId="2F625700"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6AB067F3" w14:textId="77777777" w:rsidR="004D6A8E" w:rsidRPr="00533C3D" w:rsidRDefault="00BC0709">
            <w:pPr>
              <w:rPr>
                <w:rFonts w:ascii="Calibri" w:hAnsi="Calibri"/>
                <w:sz w:val="24"/>
                <w:szCs w:val="24"/>
              </w:rPr>
            </w:pPr>
            <w:r>
              <w:rPr>
                <w:rFonts w:ascii="Calibri" w:hAnsi="Calibri"/>
                <w:sz w:val="24"/>
                <w:szCs w:val="24"/>
              </w:rPr>
              <w:t>Outline application for up to 2 two storey residential dwellings (access and layout details applied for only)</w:t>
            </w:r>
          </w:p>
        </w:tc>
      </w:tr>
      <w:tr w:rsidR="004D6A8E" w:rsidRPr="00533C3D" w14:paraId="73B57FC1" w14:textId="77777777">
        <w:trPr>
          <w:gridAfter w:val="1"/>
          <w:wAfter w:w="290" w:type="dxa"/>
          <w:cantSplit/>
        </w:trPr>
        <w:tc>
          <w:tcPr>
            <w:tcW w:w="841" w:type="dxa"/>
            <w:gridSpan w:val="2"/>
          </w:tcPr>
          <w:p w14:paraId="28BCDF7D"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70D698EC" w14:textId="77777777" w:rsidR="004D6A8E" w:rsidRPr="00533C3D" w:rsidRDefault="00BC0709">
            <w:pPr>
              <w:rPr>
                <w:rFonts w:ascii="Calibri" w:hAnsi="Calibri"/>
                <w:sz w:val="24"/>
                <w:szCs w:val="24"/>
              </w:rPr>
            </w:pPr>
            <w:r>
              <w:rPr>
                <w:rFonts w:ascii="Calibri" w:hAnsi="Calibri"/>
                <w:sz w:val="24"/>
                <w:szCs w:val="24"/>
              </w:rPr>
              <w:t>Land to rear of Glencroft Pendle Avenue Chatburn BB7 4AX</w:t>
            </w:r>
          </w:p>
        </w:tc>
      </w:tr>
      <w:tr w:rsidR="004D6A8E" w:rsidRPr="00533C3D" w14:paraId="4BC1E69F" w14:textId="77777777">
        <w:trPr>
          <w:gridAfter w:val="1"/>
          <w:wAfter w:w="290" w:type="dxa"/>
          <w:cantSplit/>
        </w:trPr>
        <w:tc>
          <w:tcPr>
            <w:tcW w:w="10156" w:type="dxa"/>
            <w:gridSpan w:val="8"/>
          </w:tcPr>
          <w:p w14:paraId="14F31038"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271A993E" w14:textId="77777777">
        <w:trPr>
          <w:gridAfter w:val="1"/>
          <w:wAfter w:w="290" w:type="dxa"/>
          <w:cantSplit/>
        </w:trPr>
        <w:tc>
          <w:tcPr>
            <w:tcW w:w="993" w:type="dxa"/>
            <w:gridSpan w:val="3"/>
          </w:tcPr>
          <w:p w14:paraId="68B93707" w14:textId="77777777" w:rsidR="004D6A8E" w:rsidRPr="00533C3D" w:rsidRDefault="00BC0709">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0363CF76" w14:textId="18029764" w:rsidR="004D6A8E" w:rsidRPr="00533C3D" w:rsidRDefault="00BC0709">
            <w:pPr>
              <w:rPr>
                <w:rFonts w:ascii="Calibri" w:hAnsi="Calibri"/>
                <w:sz w:val="24"/>
                <w:szCs w:val="24"/>
              </w:rPr>
            </w:pPr>
            <w:r>
              <w:rPr>
                <w:rFonts w:ascii="Calibri" w:hAnsi="Calibri"/>
                <w:sz w:val="24"/>
                <w:szCs w:val="24"/>
              </w:rPr>
              <w:t>The proposal is considered contrary to Policies DMG2 and DMH3 of the Ribble Valley Core Strategy in that approval would lead to the creation new residential dwellings in the defined open countryside, located outside of a defined settlement boundary, without sufficient justification insofar that it has not been adequately demonstrated that the proposal is for that of local needs housing that meets a current identified and evidenced outstanding need.</w:t>
            </w:r>
          </w:p>
        </w:tc>
      </w:tr>
      <w:tr w:rsidR="004D6A8E" w:rsidRPr="00533C3D" w14:paraId="2ECA62BB" w14:textId="77777777">
        <w:trPr>
          <w:gridAfter w:val="1"/>
          <w:wAfter w:w="290" w:type="dxa"/>
          <w:cantSplit/>
        </w:trPr>
        <w:tc>
          <w:tcPr>
            <w:tcW w:w="993" w:type="dxa"/>
            <w:gridSpan w:val="3"/>
          </w:tcPr>
          <w:p w14:paraId="42759BEA" w14:textId="77777777" w:rsidR="004D6A8E" w:rsidRPr="00533C3D" w:rsidRDefault="00BC0709">
            <w:pPr>
              <w:rPr>
                <w:rFonts w:ascii="Calibri" w:hAnsi="Calibri"/>
                <w:sz w:val="24"/>
                <w:szCs w:val="24"/>
              </w:rPr>
            </w:pPr>
            <w:r>
              <w:rPr>
                <w:rFonts w:ascii="Calibri" w:hAnsi="Calibri"/>
                <w:sz w:val="24"/>
                <w:szCs w:val="24"/>
              </w:rPr>
              <w:t>2</w:t>
            </w:r>
          </w:p>
        </w:tc>
        <w:tc>
          <w:tcPr>
            <w:tcW w:w="9163" w:type="dxa"/>
            <w:gridSpan w:val="5"/>
          </w:tcPr>
          <w:p w14:paraId="416730DD" w14:textId="3676A0AF" w:rsidR="004D6A8E" w:rsidRPr="00533C3D" w:rsidRDefault="00BC0709">
            <w:pPr>
              <w:rPr>
                <w:rFonts w:ascii="Calibri" w:hAnsi="Calibri"/>
                <w:sz w:val="24"/>
                <w:szCs w:val="24"/>
              </w:rPr>
            </w:pPr>
            <w:r>
              <w:rPr>
                <w:rFonts w:ascii="Calibri" w:hAnsi="Calibri"/>
                <w:sz w:val="24"/>
                <w:szCs w:val="24"/>
              </w:rPr>
              <w:t>The proposal is considered contrary to Key Statement EN2 and Policies DMG1, DMG2 and DMH3 of the Ribble Valley Core Strategy as it would lead to the creation new residential dwellings that would be injurious to the character and visual amenities of the area and would result in unbridled encroachment into the open countryside.</w:t>
            </w:r>
          </w:p>
        </w:tc>
      </w:tr>
      <w:tr w:rsidR="00BF7ED8" w:rsidRPr="00533C3D" w14:paraId="7A3B9E40" w14:textId="77777777">
        <w:trPr>
          <w:gridAfter w:val="1"/>
          <w:wAfter w:w="290" w:type="dxa"/>
          <w:cantSplit/>
        </w:trPr>
        <w:tc>
          <w:tcPr>
            <w:tcW w:w="993" w:type="dxa"/>
            <w:gridSpan w:val="3"/>
          </w:tcPr>
          <w:p w14:paraId="253A6E9C" w14:textId="77777777" w:rsidR="00BF7ED8" w:rsidRPr="00533C3D" w:rsidRDefault="00BC0709">
            <w:pPr>
              <w:rPr>
                <w:rFonts w:ascii="Calibri" w:hAnsi="Calibri"/>
                <w:sz w:val="24"/>
                <w:szCs w:val="24"/>
              </w:rPr>
            </w:pPr>
            <w:r>
              <w:rPr>
                <w:rFonts w:ascii="Calibri" w:hAnsi="Calibri"/>
                <w:sz w:val="24"/>
                <w:szCs w:val="24"/>
              </w:rPr>
              <w:t>3</w:t>
            </w:r>
          </w:p>
        </w:tc>
        <w:tc>
          <w:tcPr>
            <w:tcW w:w="9163" w:type="dxa"/>
            <w:gridSpan w:val="5"/>
          </w:tcPr>
          <w:p w14:paraId="4663B5A0" w14:textId="7FFF2CBE" w:rsidR="00BF7ED8" w:rsidRPr="00533C3D" w:rsidRDefault="00BC0709">
            <w:pPr>
              <w:rPr>
                <w:rFonts w:ascii="Calibri" w:hAnsi="Calibri"/>
                <w:sz w:val="24"/>
                <w:szCs w:val="24"/>
              </w:rPr>
            </w:pPr>
            <w:r>
              <w:rPr>
                <w:rFonts w:ascii="Calibri" w:hAnsi="Calibri"/>
                <w:sz w:val="24"/>
                <w:szCs w:val="24"/>
              </w:rPr>
              <w:t>The Flood Risk Assessment (by Earth Environmental &amp; Geotechnical dated February 2021 (rev. A)) submitted with the application does not comply with the requirements for site-specific flood risk assessments as set out in paragraphs 30-32 of the Flood risk and coastal change section of the PPG and does not therefore provide a suitable basis for assessment to be made of flood risks arising from the proposed development or that the development would be safe for its lifetime.</w:t>
            </w:r>
          </w:p>
        </w:tc>
      </w:tr>
      <w:tr w:rsidR="00BF7ED8" w:rsidRPr="00533C3D" w14:paraId="38BD72E3" w14:textId="77777777">
        <w:trPr>
          <w:gridAfter w:val="1"/>
          <w:wAfter w:w="290" w:type="dxa"/>
          <w:cantSplit/>
        </w:trPr>
        <w:tc>
          <w:tcPr>
            <w:tcW w:w="993" w:type="dxa"/>
            <w:gridSpan w:val="3"/>
          </w:tcPr>
          <w:p w14:paraId="5C33095D" w14:textId="77777777" w:rsidR="00BF7ED8" w:rsidRPr="00533C3D" w:rsidRDefault="00BC0709">
            <w:pPr>
              <w:rPr>
                <w:rFonts w:ascii="Calibri" w:hAnsi="Calibri"/>
                <w:sz w:val="24"/>
                <w:szCs w:val="24"/>
              </w:rPr>
            </w:pPr>
            <w:r>
              <w:rPr>
                <w:rFonts w:ascii="Calibri" w:hAnsi="Calibri"/>
                <w:sz w:val="24"/>
                <w:szCs w:val="24"/>
              </w:rPr>
              <w:lastRenderedPageBreak/>
              <w:t>4</w:t>
            </w:r>
          </w:p>
        </w:tc>
        <w:tc>
          <w:tcPr>
            <w:tcW w:w="9163" w:type="dxa"/>
            <w:gridSpan w:val="5"/>
          </w:tcPr>
          <w:p w14:paraId="3A49B54F" w14:textId="7B6466B0" w:rsidR="00BF7ED8" w:rsidRPr="00533C3D" w:rsidRDefault="00BC0709">
            <w:pPr>
              <w:rPr>
                <w:rFonts w:ascii="Calibri" w:hAnsi="Calibri"/>
                <w:sz w:val="24"/>
                <w:szCs w:val="24"/>
              </w:rPr>
            </w:pPr>
            <w:r>
              <w:rPr>
                <w:rFonts w:ascii="Calibri" w:hAnsi="Calibri"/>
                <w:sz w:val="24"/>
                <w:szCs w:val="24"/>
              </w:rPr>
              <w:t>The applicant has not provided sufficient information regarding alternative sites nor submitted evidence to demonstrate that the development proposals would provide wider sustainability benefits to the community that outweigh flood risk and has thus failed to meet the Sequential and Exceptions tests which aim to steer new development to areas with the lowest risk of flooding. In the absence of such information the development is contrary to Policy DME6 of the Core Strategy and paragraph 163 of the Framework.</w:t>
            </w:r>
          </w:p>
        </w:tc>
      </w:tr>
      <w:tr w:rsidR="00BF7ED8" w:rsidRPr="00533C3D" w14:paraId="093BAB02" w14:textId="77777777">
        <w:trPr>
          <w:gridAfter w:val="1"/>
          <w:wAfter w:w="290" w:type="dxa"/>
          <w:cantSplit/>
        </w:trPr>
        <w:tc>
          <w:tcPr>
            <w:tcW w:w="993" w:type="dxa"/>
            <w:gridSpan w:val="3"/>
          </w:tcPr>
          <w:p w14:paraId="56ED4A7A" w14:textId="77777777" w:rsidR="00BF7ED8" w:rsidRPr="00533C3D" w:rsidRDefault="00BC0709">
            <w:pPr>
              <w:rPr>
                <w:rFonts w:ascii="Calibri" w:hAnsi="Calibri"/>
                <w:sz w:val="24"/>
                <w:szCs w:val="24"/>
              </w:rPr>
            </w:pPr>
            <w:r>
              <w:rPr>
                <w:rFonts w:ascii="Calibri" w:hAnsi="Calibri"/>
                <w:sz w:val="24"/>
                <w:szCs w:val="24"/>
              </w:rPr>
              <w:t>5</w:t>
            </w:r>
          </w:p>
        </w:tc>
        <w:tc>
          <w:tcPr>
            <w:tcW w:w="9163" w:type="dxa"/>
            <w:gridSpan w:val="5"/>
          </w:tcPr>
          <w:p w14:paraId="3AAFE6F2" w14:textId="55C45CE8" w:rsidR="00BF7ED8" w:rsidRPr="00533C3D" w:rsidRDefault="00BC0709">
            <w:pPr>
              <w:rPr>
                <w:rFonts w:ascii="Calibri" w:hAnsi="Calibri"/>
                <w:sz w:val="24"/>
                <w:szCs w:val="24"/>
              </w:rPr>
            </w:pPr>
            <w:r>
              <w:rPr>
                <w:rFonts w:ascii="Calibri" w:hAnsi="Calibri"/>
                <w:sz w:val="24"/>
                <w:szCs w:val="24"/>
              </w:rPr>
              <w:t>The proposed development would restrict essential maintenance and emergency access to the watercourse, Heys Brook. The permanent retention of a continuous unobstructed area is an essential requirement for future maintenance and/or improvement works and the proposed development could obstruct flood flows, thereby increasing the risk of flooding to surrounding areas, contrary to Core Strategy Policy DME6.</w:t>
            </w:r>
          </w:p>
        </w:tc>
      </w:tr>
      <w:tr w:rsidR="00BF7ED8" w:rsidRPr="00533C3D" w14:paraId="5A7DC493" w14:textId="77777777">
        <w:trPr>
          <w:gridAfter w:val="1"/>
          <w:wAfter w:w="290" w:type="dxa"/>
          <w:cantSplit/>
        </w:trPr>
        <w:tc>
          <w:tcPr>
            <w:tcW w:w="993" w:type="dxa"/>
            <w:gridSpan w:val="3"/>
          </w:tcPr>
          <w:p w14:paraId="511C1E14" w14:textId="77777777" w:rsidR="00BF7ED8" w:rsidRPr="00533C3D" w:rsidRDefault="00BC0709">
            <w:pPr>
              <w:rPr>
                <w:rFonts w:ascii="Calibri" w:hAnsi="Calibri"/>
                <w:sz w:val="24"/>
                <w:szCs w:val="24"/>
              </w:rPr>
            </w:pPr>
            <w:r>
              <w:rPr>
                <w:rFonts w:ascii="Calibri" w:hAnsi="Calibri"/>
                <w:sz w:val="24"/>
                <w:szCs w:val="24"/>
              </w:rPr>
              <w:t>6</w:t>
            </w:r>
          </w:p>
        </w:tc>
        <w:tc>
          <w:tcPr>
            <w:tcW w:w="9163" w:type="dxa"/>
            <w:gridSpan w:val="5"/>
          </w:tcPr>
          <w:p w14:paraId="3EBAC181" w14:textId="77777777" w:rsidR="00BC0709" w:rsidRDefault="00BC0709">
            <w:pPr>
              <w:rPr>
                <w:rFonts w:ascii="Calibri" w:hAnsi="Calibri"/>
                <w:sz w:val="24"/>
                <w:szCs w:val="24"/>
              </w:rPr>
            </w:pPr>
            <w:r>
              <w:rPr>
                <w:rFonts w:ascii="Calibri" w:hAnsi="Calibri"/>
                <w:sz w:val="24"/>
                <w:szCs w:val="24"/>
              </w:rPr>
              <w:t>The applicant has failed to demonstrate that the proposals would retain, maintain and improve the local footpath network contrary to Policy DMB5 of the Ribble Valley Core Strategy (Adopted Version).</w:t>
            </w:r>
          </w:p>
          <w:p w14:paraId="1D9E3C58" w14:textId="77777777" w:rsidR="00BF7ED8" w:rsidRPr="00533C3D" w:rsidRDefault="00BF7ED8">
            <w:pPr>
              <w:rPr>
                <w:rFonts w:ascii="Calibri" w:hAnsi="Calibri"/>
                <w:sz w:val="24"/>
                <w:szCs w:val="24"/>
              </w:rPr>
            </w:pPr>
          </w:p>
        </w:tc>
      </w:tr>
      <w:bookmarkEnd w:id="0"/>
      <w:tr w:rsidR="004D6A8E" w:rsidRPr="00533C3D" w14:paraId="1E64C5B5" w14:textId="77777777">
        <w:trPr>
          <w:gridAfter w:val="1"/>
          <w:wAfter w:w="290" w:type="dxa"/>
          <w:cantSplit/>
        </w:trPr>
        <w:tc>
          <w:tcPr>
            <w:tcW w:w="993" w:type="dxa"/>
            <w:gridSpan w:val="3"/>
          </w:tcPr>
          <w:p w14:paraId="1FF98254"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4209985F" w14:textId="77777777" w:rsidR="004D6A8E" w:rsidRPr="00533C3D" w:rsidRDefault="004D6A8E">
            <w:pPr>
              <w:rPr>
                <w:rFonts w:ascii="Calibri" w:hAnsi="Calibri"/>
                <w:sz w:val="24"/>
                <w:szCs w:val="24"/>
              </w:rPr>
            </w:pPr>
          </w:p>
        </w:tc>
        <w:tc>
          <w:tcPr>
            <w:tcW w:w="1187" w:type="dxa"/>
          </w:tcPr>
          <w:p w14:paraId="052755C6" w14:textId="77777777" w:rsidR="004D6A8E" w:rsidRPr="00533C3D" w:rsidRDefault="004D6A8E">
            <w:pPr>
              <w:rPr>
                <w:rFonts w:ascii="Calibri" w:hAnsi="Calibri"/>
                <w:sz w:val="24"/>
                <w:szCs w:val="24"/>
              </w:rPr>
            </w:pPr>
          </w:p>
        </w:tc>
        <w:tc>
          <w:tcPr>
            <w:tcW w:w="1466" w:type="dxa"/>
          </w:tcPr>
          <w:p w14:paraId="51123790" w14:textId="77777777" w:rsidR="004D6A8E" w:rsidRPr="00533C3D" w:rsidRDefault="004D6A8E">
            <w:pPr>
              <w:rPr>
                <w:rFonts w:ascii="Calibri" w:hAnsi="Calibri"/>
                <w:sz w:val="24"/>
                <w:szCs w:val="24"/>
              </w:rPr>
            </w:pPr>
          </w:p>
        </w:tc>
        <w:tc>
          <w:tcPr>
            <w:tcW w:w="1466" w:type="dxa"/>
          </w:tcPr>
          <w:p w14:paraId="42EA76B7" w14:textId="77777777" w:rsidR="004D6A8E" w:rsidRPr="00533C3D" w:rsidRDefault="004D6A8E">
            <w:pPr>
              <w:rPr>
                <w:rFonts w:ascii="Calibri" w:hAnsi="Calibri"/>
                <w:sz w:val="24"/>
                <w:szCs w:val="24"/>
              </w:rPr>
            </w:pPr>
          </w:p>
        </w:tc>
        <w:tc>
          <w:tcPr>
            <w:tcW w:w="3730" w:type="dxa"/>
          </w:tcPr>
          <w:p w14:paraId="37D9176F" w14:textId="77777777" w:rsidR="004D6A8E" w:rsidRPr="00533C3D" w:rsidRDefault="004D6A8E">
            <w:pPr>
              <w:rPr>
                <w:rFonts w:ascii="Calibri" w:hAnsi="Calibri"/>
                <w:sz w:val="24"/>
                <w:szCs w:val="24"/>
              </w:rPr>
            </w:pPr>
          </w:p>
        </w:tc>
      </w:tr>
      <w:tr w:rsidR="004D6A8E" w:rsidRPr="00533C3D" w14:paraId="0567402E" w14:textId="77777777">
        <w:trPr>
          <w:gridAfter w:val="1"/>
          <w:wAfter w:w="290" w:type="dxa"/>
          <w:cantSplit/>
        </w:trPr>
        <w:tc>
          <w:tcPr>
            <w:tcW w:w="993" w:type="dxa"/>
            <w:gridSpan w:val="3"/>
          </w:tcPr>
          <w:p w14:paraId="1B017611" w14:textId="77777777" w:rsidR="004D6A8E" w:rsidRPr="00533C3D" w:rsidRDefault="004D6A8E">
            <w:pPr>
              <w:rPr>
                <w:rFonts w:ascii="Calibri" w:hAnsi="Calibri"/>
                <w:sz w:val="24"/>
                <w:szCs w:val="24"/>
              </w:rPr>
            </w:pPr>
            <w:r w:rsidRPr="00533C3D">
              <w:rPr>
                <w:rFonts w:ascii="Calibri" w:hAnsi="Calibri"/>
                <w:sz w:val="24"/>
                <w:szCs w:val="24"/>
              </w:rPr>
              <w:t>1</w:t>
            </w:r>
          </w:p>
        </w:tc>
        <w:tc>
          <w:tcPr>
            <w:tcW w:w="9163" w:type="dxa"/>
            <w:gridSpan w:val="5"/>
          </w:tcPr>
          <w:p w14:paraId="221B1E54" w14:textId="77777777" w:rsidR="004D6A8E" w:rsidRPr="00533C3D" w:rsidRDefault="00280C79">
            <w:pPr>
              <w:rPr>
                <w:rFonts w:ascii="Calibri" w:hAnsi="Calibri"/>
                <w:sz w:val="24"/>
                <w:szCs w:val="24"/>
              </w:rPr>
            </w:pPr>
            <w:r w:rsidRPr="00533C3D">
              <w:rPr>
                <w:rFonts w:ascii="Calibri" w:hAnsi="Calibri"/>
                <w:sz w:val="24"/>
                <w:szCs w:val="24"/>
              </w:rPr>
              <w:t>The Local Planning Authority operates a pre-planning application advice service which applicants are encouraged to use. The proposal does not comprise sustainable development and there were no amendments to the scheme, or conditions that could reasonably have been imposed, which could have made the development acceptable and it was therefore not possible to approve the application.</w:t>
            </w:r>
          </w:p>
        </w:tc>
      </w:tr>
      <w:tr w:rsidR="004D6A8E" w:rsidRPr="00533C3D" w14:paraId="3C28F85E" w14:textId="77777777">
        <w:trPr>
          <w:gridAfter w:val="1"/>
          <w:wAfter w:w="290" w:type="dxa"/>
          <w:cantSplit/>
        </w:trPr>
        <w:tc>
          <w:tcPr>
            <w:tcW w:w="993" w:type="dxa"/>
            <w:gridSpan w:val="3"/>
          </w:tcPr>
          <w:p w14:paraId="0183E27A"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3B941CFD" w14:textId="77777777" w:rsidR="004D6A8E" w:rsidRPr="00533C3D" w:rsidRDefault="004D6A8E">
            <w:pPr>
              <w:rPr>
                <w:rFonts w:ascii="Calibri" w:hAnsi="Calibri"/>
                <w:sz w:val="24"/>
                <w:szCs w:val="24"/>
              </w:rPr>
            </w:pPr>
          </w:p>
        </w:tc>
      </w:tr>
      <w:bookmarkEnd w:id="1"/>
      <w:tr w:rsidR="00BD6012" w14:paraId="4FE3AF87" w14:textId="77777777" w:rsidTr="000B5AE4">
        <w:trPr>
          <w:gridBefore w:val="1"/>
          <w:wBefore w:w="43" w:type="dxa"/>
          <w:cantSplit/>
        </w:trPr>
        <w:tc>
          <w:tcPr>
            <w:tcW w:w="10403" w:type="dxa"/>
            <w:gridSpan w:val="8"/>
          </w:tcPr>
          <w:p w14:paraId="0ACD0704" w14:textId="77777777" w:rsidR="002B298C" w:rsidRDefault="002B298C" w:rsidP="002B298C">
            <w:pPr>
              <w:pStyle w:val="BodySingle"/>
              <w:rPr>
                <w:rFonts w:ascii="Brush Script MT" w:hAnsi="Brush Script MT"/>
                <w:sz w:val="44"/>
                <w:szCs w:val="44"/>
              </w:rPr>
            </w:pPr>
            <w:r>
              <w:rPr>
                <w:rFonts w:ascii="Brush Script MT" w:hAnsi="Brush Script MT"/>
                <w:sz w:val="44"/>
                <w:szCs w:val="44"/>
              </w:rPr>
              <w:t xml:space="preserve">John Macholc  </w:t>
            </w:r>
          </w:p>
          <w:p w14:paraId="7692E843" w14:textId="77777777" w:rsidR="002B298C" w:rsidRDefault="002B298C" w:rsidP="002B298C">
            <w:pPr>
              <w:rPr>
                <w:rFonts w:ascii="Calibri" w:hAnsi="Calibri"/>
                <w:b/>
                <w:sz w:val="24"/>
                <w:szCs w:val="24"/>
              </w:rPr>
            </w:pPr>
            <w:r>
              <w:rPr>
                <w:rFonts w:ascii="Calibri" w:hAnsi="Calibri"/>
                <w:b/>
                <w:sz w:val="24"/>
                <w:szCs w:val="24"/>
              </w:rPr>
              <w:t>pp NICOLA HOPKINS</w:t>
            </w:r>
          </w:p>
          <w:p w14:paraId="7CE53AF0" w14:textId="77777777" w:rsidR="002B298C" w:rsidRDefault="002B298C" w:rsidP="002B298C">
            <w:pPr>
              <w:rPr>
                <w:rFonts w:ascii="Calibri" w:hAnsi="Calibri"/>
                <w:b/>
                <w:sz w:val="24"/>
                <w:szCs w:val="24"/>
              </w:rPr>
            </w:pPr>
            <w:r>
              <w:rPr>
                <w:rFonts w:ascii="Calibri" w:hAnsi="Calibri"/>
                <w:b/>
                <w:sz w:val="24"/>
                <w:szCs w:val="24"/>
              </w:rPr>
              <w:t>DIRECTOR OF ECONOMIC DEVELOPMENT AND PLANNING</w:t>
            </w:r>
          </w:p>
          <w:p w14:paraId="0112F8E9" w14:textId="77777777" w:rsidR="00BD6012" w:rsidRPr="00641E0F" w:rsidRDefault="00BD6012" w:rsidP="000B5AE4">
            <w:pPr>
              <w:rPr>
                <w:rFonts w:ascii="Calibri" w:hAnsi="Calibri"/>
                <w:b/>
                <w:bCs/>
                <w:sz w:val="24"/>
                <w:szCs w:val="24"/>
              </w:rPr>
            </w:pPr>
          </w:p>
        </w:tc>
      </w:tr>
      <w:tr w:rsidR="00BC0709" w14:paraId="2C94ECD1" w14:textId="77777777" w:rsidTr="000B5AE4">
        <w:trPr>
          <w:gridBefore w:val="1"/>
          <w:wBefore w:w="43" w:type="dxa"/>
          <w:cantSplit/>
        </w:trPr>
        <w:tc>
          <w:tcPr>
            <w:tcW w:w="10403" w:type="dxa"/>
            <w:gridSpan w:val="8"/>
          </w:tcPr>
          <w:p w14:paraId="35021964" w14:textId="77777777" w:rsidR="00BC0709" w:rsidRDefault="00BC0709" w:rsidP="002B298C">
            <w:pPr>
              <w:pStyle w:val="BodySingle"/>
              <w:rPr>
                <w:rFonts w:ascii="Brush Script MT" w:hAnsi="Brush Script MT"/>
                <w:sz w:val="44"/>
                <w:szCs w:val="44"/>
              </w:rPr>
            </w:pPr>
          </w:p>
        </w:tc>
      </w:tr>
    </w:tbl>
    <w:p w14:paraId="684DDF72"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0E820A3C" w14:textId="77777777" w:rsidR="005327E5" w:rsidRDefault="005327E5" w:rsidP="005327E5">
      <w:pPr>
        <w:pStyle w:val="TableText"/>
        <w:rPr>
          <w:rFonts w:ascii="Calibri" w:hAnsi="Calibri" w:cs="Calibri"/>
        </w:rPr>
      </w:pPr>
    </w:p>
    <w:p w14:paraId="2DCF4FE7" w14:textId="77777777" w:rsidR="005327E5" w:rsidRDefault="005327E5" w:rsidP="005327E5">
      <w:pPr>
        <w:rPr>
          <w:rFonts w:ascii="Calibri" w:hAnsi="Calibri" w:cs="Calibri"/>
          <w:b/>
          <w:bCs/>
        </w:rPr>
      </w:pPr>
      <w:r>
        <w:rPr>
          <w:rFonts w:ascii="Calibri" w:hAnsi="Calibri" w:cs="Calibri"/>
          <w:b/>
          <w:bCs/>
        </w:rPr>
        <w:t xml:space="preserve">Right of Appeal </w:t>
      </w:r>
    </w:p>
    <w:p w14:paraId="05391BED"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AF0FFC0"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0A9072D9"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2929951"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D1091E4" w14:textId="77777777" w:rsidR="005327E5" w:rsidRDefault="005327E5" w:rsidP="005327E5">
      <w:pPr>
        <w:rPr>
          <w:rFonts w:ascii="Calibri" w:hAnsi="Calibri" w:cs="Calibri"/>
        </w:rPr>
      </w:pPr>
    </w:p>
    <w:p w14:paraId="6FB9AD05"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w:t>
      </w:r>
      <w:r>
        <w:rPr>
          <w:rFonts w:ascii="Calibri" w:hAnsi="Calibri" w:cs="Calibri"/>
        </w:rPr>
        <w:lastRenderedPageBreak/>
        <w:t xml:space="preserve">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12F86D0" w14:textId="77777777" w:rsidR="005327E5" w:rsidRDefault="005327E5" w:rsidP="005327E5">
      <w:pPr>
        <w:rPr>
          <w:rFonts w:ascii="Calibri" w:hAnsi="Calibri" w:cs="Calibri"/>
        </w:rPr>
      </w:pPr>
    </w:p>
    <w:p w14:paraId="5753A5EA" w14:textId="77777777" w:rsidR="005327E5" w:rsidRDefault="005327E5" w:rsidP="005327E5">
      <w:pPr>
        <w:rPr>
          <w:rFonts w:ascii="Calibri" w:hAnsi="Calibri" w:cs="Calibri"/>
          <w:b/>
          <w:bCs/>
        </w:rPr>
      </w:pPr>
      <w:r>
        <w:rPr>
          <w:rFonts w:ascii="Calibri" w:hAnsi="Calibri" w:cs="Calibri"/>
          <w:b/>
          <w:bCs/>
        </w:rPr>
        <w:t xml:space="preserve">Purchase Notices </w:t>
      </w:r>
    </w:p>
    <w:p w14:paraId="3F10DF5E"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555FF6E" w14:textId="77777777" w:rsidR="005327E5" w:rsidRDefault="005327E5" w:rsidP="005327E5">
      <w:pPr>
        <w:pStyle w:val="TableText"/>
      </w:pPr>
    </w:p>
    <w:p w14:paraId="4F34D01D" w14:textId="77777777" w:rsidR="00BD6012" w:rsidRDefault="00BD6012" w:rsidP="00BD6012">
      <w:pPr>
        <w:pStyle w:val="TableText"/>
      </w:pPr>
    </w:p>
    <w:p w14:paraId="3820C85F" w14:textId="77777777" w:rsidR="004D6A8E" w:rsidRDefault="004D6A8E">
      <w:pPr>
        <w:pStyle w:val="TableText"/>
      </w:pPr>
    </w:p>
    <w:sectPr w:rsidR="004D6A8E">
      <w:headerReference w:type="even" r:id="rId7"/>
      <w:headerReference w:type="default" r:id="rId8"/>
      <w:footerReference w:type="even" r:id="rId9"/>
      <w:footerReference w:type="default" r:id="rId10"/>
      <w:headerReference w:type="first" r:id="rId11"/>
      <w:footerReference w:type="first" r:id="rId12"/>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C5BB" w14:textId="77777777" w:rsidR="00BC0709" w:rsidRDefault="00BC0709">
      <w:r>
        <w:separator/>
      </w:r>
    </w:p>
  </w:endnote>
  <w:endnote w:type="continuationSeparator" w:id="0">
    <w:p w14:paraId="5550C1C6" w14:textId="77777777" w:rsidR="00BC0709" w:rsidRDefault="00BC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2E3C" w14:textId="77777777" w:rsidR="008E5B94" w:rsidRDefault="008E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A797"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2103" w14:textId="77777777" w:rsidR="008E5B94" w:rsidRDefault="008E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56D4" w14:textId="77777777" w:rsidR="00BC0709" w:rsidRDefault="00BC0709">
      <w:r>
        <w:separator/>
      </w:r>
    </w:p>
  </w:footnote>
  <w:footnote w:type="continuationSeparator" w:id="0">
    <w:p w14:paraId="621E82D0" w14:textId="77777777" w:rsidR="00BC0709" w:rsidRDefault="00BC0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3FD5" w14:textId="77777777" w:rsidR="008E5B94" w:rsidRDefault="008E5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FEE8"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587DD37C"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6E2727A4" w14:textId="77777777" w:rsidR="004D6A8E" w:rsidRPr="00533C3D" w:rsidRDefault="004D6A8E">
    <w:pPr>
      <w:pStyle w:val="DefaultText"/>
      <w:rPr>
        <w:rFonts w:ascii="Calibri" w:hAnsi="Calibri"/>
        <w:sz w:val="24"/>
        <w:szCs w:val="24"/>
      </w:rPr>
    </w:pPr>
  </w:p>
  <w:p w14:paraId="6F28B87C" w14:textId="577E743D" w:rsidR="004D6A8E" w:rsidRPr="00533C3D" w:rsidRDefault="004D6A8E" w:rsidP="00BC0709">
    <w:pPr>
      <w:pStyle w:val="DefaultText"/>
      <w:tabs>
        <w:tab w:val="left" w:pos="7260"/>
      </w:tabs>
      <w:rPr>
        <w:rFonts w:ascii="Calibri" w:hAnsi="Calibri"/>
        <w:b/>
        <w:sz w:val="24"/>
        <w:szCs w:val="24"/>
      </w:rPr>
    </w:pPr>
    <w:r w:rsidRPr="00533C3D">
      <w:rPr>
        <w:rFonts w:ascii="Calibri" w:hAnsi="Calibri"/>
        <w:b/>
        <w:sz w:val="24"/>
        <w:szCs w:val="24"/>
      </w:rPr>
      <w:t xml:space="preserve">APPLICATION NO:  </w:t>
    </w:r>
    <w:r w:rsidR="00BC0709">
      <w:rPr>
        <w:rFonts w:ascii="Calibri" w:hAnsi="Calibri"/>
        <w:b/>
        <w:sz w:val="24"/>
        <w:szCs w:val="24"/>
      </w:rPr>
      <w:t>3/2021/0242</w:t>
    </w:r>
    <w:r w:rsidRPr="00533C3D">
      <w:rPr>
        <w:rFonts w:ascii="Calibri" w:hAnsi="Calibri"/>
        <w:b/>
        <w:sz w:val="24"/>
        <w:szCs w:val="24"/>
      </w:rPr>
      <w:t xml:space="preserve">                       DECISION DATE:</w:t>
    </w:r>
    <w:r w:rsidR="00BC0709">
      <w:rPr>
        <w:rFonts w:ascii="Calibri" w:hAnsi="Calibri"/>
        <w:b/>
        <w:sz w:val="24"/>
        <w:szCs w:val="24"/>
      </w:rPr>
      <w:t xml:space="preserve"> 17/05/2021</w:t>
    </w:r>
  </w:p>
  <w:p w14:paraId="083A5B45"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D169" w14:textId="77777777" w:rsidR="008E5B94" w:rsidRDefault="008E5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709"/>
    <w:rsid w:val="000B583D"/>
    <w:rsid w:val="000B5AE4"/>
    <w:rsid w:val="00270965"/>
    <w:rsid w:val="00280C79"/>
    <w:rsid w:val="002B298C"/>
    <w:rsid w:val="003116C7"/>
    <w:rsid w:val="004D6A8E"/>
    <w:rsid w:val="005327E5"/>
    <w:rsid w:val="00533C3D"/>
    <w:rsid w:val="00623C55"/>
    <w:rsid w:val="007448F2"/>
    <w:rsid w:val="008B1E49"/>
    <w:rsid w:val="008E5B94"/>
    <w:rsid w:val="009D443A"/>
    <w:rsid w:val="009F4657"/>
    <w:rsid w:val="00AB36DC"/>
    <w:rsid w:val="00B676C4"/>
    <w:rsid w:val="00B70E27"/>
    <w:rsid w:val="00BC0709"/>
    <w:rsid w:val="00BD6012"/>
    <w:rsid w:val="00BF398E"/>
    <w:rsid w:val="00BF7ED8"/>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EA952"/>
  <w15:chartTrackingRefBased/>
  <w15:docId w15:val="{231DFD89-42EC-4B65-A78F-2E0EADE9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1131</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7221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1900-01-01T00:00:00Z</cp:lastPrinted>
  <dcterms:created xsi:type="dcterms:W3CDTF">2021-05-20T09:32:00Z</dcterms:created>
  <dcterms:modified xsi:type="dcterms:W3CDTF">2021-05-20T09:32:00Z</dcterms:modified>
</cp:coreProperties>
</file>