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
        <w:gridCol w:w="2235"/>
        <w:gridCol w:w="538"/>
        <w:gridCol w:w="261"/>
        <w:gridCol w:w="284"/>
        <w:gridCol w:w="2319"/>
        <w:gridCol w:w="3605"/>
        <w:gridCol w:w="16"/>
      </w:tblGrid>
      <w:tr w:rsidR="004A5EA9" w:rsidRPr="002809CF" w14:paraId="3DE83D50"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8B3E78" w14:textId="77777777" w:rsidR="004A5EA9" w:rsidRPr="002809CF" w:rsidRDefault="00D2449B" w:rsidP="00D2449B">
            <w:pPr>
              <w:jc w:val="center"/>
              <w:rPr>
                <w:rFonts w:asciiTheme="minorHAnsi" w:hAnsiTheme="minorHAnsi" w:cstheme="minorHAnsi"/>
                <w:b/>
                <w:szCs w:val="22"/>
              </w:rPr>
            </w:pPr>
            <w:r w:rsidRPr="002809CF">
              <w:rPr>
                <w:rFonts w:asciiTheme="minorHAnsi" w:hAnsiTheme="minorHAnsi" w:cstheme="minorHAnsi"/>
                <w:b/>
                <w:szCs w:val="22"/>
              </w:rPr>
              <w:t>R</w:t>
            </w:r>
            <w:r w:rsidR="004A5EA9" w:rsidRPr="002809CF">
              <w:rPr>
                <w:rFonts w:asciiTheme="minorHAnsi" w:hAnsiTheme="minorHAnsi" w:cstheme="minorHAnsi"/>
                <w:b/>
                <w:szCs w:val="22"/>
              </w:rPr>
              <w:t>eport to be read in conjunction with the Decision Notice.</w:t>
            </w:r>
          </w:p>
        </w:tc>
      </w:tr>
      <w:tr w:rsidR="004A5EA9" w:rsidRPr="002809CF" w14:paraId="350401FB"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184F6FD" w14:textId="77777777" w:rsidR="004A5EA9" w:rsidRPr="002809CF" w:rsidRDefault="004A5EA9" w:rsidP="004A5EA9">
            <w:pPr>
              <w:jc w:val="center"/>
              <w:rPr>
                <w:rFonts w:asciiTheme="minorHAnsi" w:hAnsiTheme="minorHAnsi" w:cstheme="minorHAnsi"/>
                <w:b/>
                <w:szCs w:val="22"/>
              </w:rPr>
            </w:pPr>
          </w:p>
        </w:tc>
      </w:tr>
      <w:tr w:rsidR="004A5EA9" w:rsidRPr="002809CF" w14:paraId="2FE647DE" w14:textId="77777777" w:rsidTr="00326058">
        <w:trPr>
          <w:gridBefore w:val="1"/>
          <w:gridAfter w:val="1"/>
          <w:wBefore w:w="27" w:type="dxa"/>
          <w:wAfter w:w="16"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CCCB4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9E6AFB" w14:textId="6488AFDF"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190B38">
              <w:rPr>
                <w:rFonts w:asciiTheme="minorHAnsi" w:hAnsiTheme="minorHAnsi" w:cstheme="minorHAnsi"/>
                <w:szCs w:val="22"/>
              </w:rPr>
              <w:t>2021/02</w:t>
            </w:r>
            <w:r w:rsidR="004226C7">
              <w:rPr>
                <w:rFonts w:asciiTheme="minorHAnsi" w:hAnsiTheme="minorHAnsi" w:cstheme="minorHAnsi"/>
                <w:szCs w:val="22"/>
              </w:rPr>
              <w:t>54</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7B0E73"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9264" behindDoc="0" locked="0" layoutInCell="1" allowOverlap="1" wp14:anchorId="3941A001" wp14:editId="25A4215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2C67A6CE" w14:textId="77777777" w:rsidTr="00326058">
        <w:trPr>
          <w:gridBefore w:val="1"/>
          <w:gridAfter w:val="1"/>
          <w:wBefore w:w="27" w:type="dxa"/>
          <w:wAfter w:w="16"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5FCD5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5462B5" w14:textId="43841844" w:rsidR="004A5EA9" w:rsidRPr="002809CF" w:rsidRDefault="006063BD">
            <w:pPr>
              <w:rPr>
                <w:rFonts w:asciiTheme="minorHAnsi" w:hAnsiTheme="minorHAnsi" w:cstheme="minorHAnsi"/>
                <w:szCs w:val="22"/>
              </w:rPr>
            </w:pPr>
            <w:r>
              <w:rPr>
                <w:rFonts w:asciiTheme="minorHAnsi" w:hAnsiTheme="minorHAnsi" w:cstheme="minorHAnsi"/>
                <w:szCs w:val="22"/>
              </w:rPr>
              <w:t>11/05/2021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5BA221" w14:textId="77777777" w:rsidR="004A5EA9" w:rsidRPr="002809CF" w:rsidRDefault="004A5EA9">
            <w:pPr>
              <w:rPr>
                <w:rFonts w:asciiTheme="minorHAnsi" w:hAnsiTheme="minorHAnsi" w:cstheme="minorHAnsi"/>
                <w:szCs w:val="22"/>
              </w:rPr>
            </w:pPr>
          </w:p>
        </w:tc>
      </w:tr>
      <w:tr w:rsidR="004A5EA9" w:rsidRPr="002809CF" w14:paraId="6F55EC92" w14:textId="77777777" w:rsidTr="00326058">
        <w:trPr>
          <w:gridBefore w:val="1"/>
          <w:gridAfter w:val="1"/>
          <w:wBefore w:w="27" w:type="dxa"/>
          <w:wAfter w:w="16"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76E602" w14:textId="77777777" w:rsidR="004A5EA9" w:rsidRPr="002809CF" w:rsidRDefault="00D2449B">
            <w:pPr>
              <w:rPr>
                <w:rFonts w:asciiTheme="minorHAnsi" w:hAnsiTheme="minorHAnsi" w:cstheme="minorHAnsi"/>
                <w:b/>
                <w:szCs w:val="22"/>
              </w:rPr>
            </w:pPr>
            <w:r w:rsidRPr="002809CF">
              <w:rPr>
                <w:rFonts w:asciiTheme="minorHAnsi" w:hAnsiTheme="minorHAnsi" w:cstheme="minorHAnsi"/>
                <w:b/>
                <w:szCs w:val="22"/>
              </w:rPr>
              <w:t>Officer</w:t>
            </w:r>
            <w:r w:rsidR="004A5EA9" w:rsidRPr="002809CF">
              <w:rPr>
                <w:rFonts w:asciiTheme="minorHAnsi" w:hAnsiTheme="minorHAnsi" w:cstheme="minorHAnsi"/>
                <w:b/>
                <w:szCs w:val="22"/>
              </w:rPr>
              <w:t>:</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2A4E8" w14:textId="77777777" w:rsidR="004A5EA9" w:rsidRPr="002809CF" w:rsidRDefault="00F22639">
            <w:pPr>
              <w:rPr>
                <w:rFonts w:asciiTheme="minorHAnsi" w:hAnsiTheme="minorHAnsi" w:cstheme="minorHAnsi"/>
                <w:szCs w:val="22"/>
              </w:rPr>
            </w:pPr>
            <w:r w:rsidRPr="002809CF">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5D2B60" w14:textId="77777777" w:rsidR="004A5EA9" w:rsidRPr="002809CF" w:rsidRDefault="004A5EA9">
            <w:pPr>
              <w:rPr>
                <w:rFonts w:asciiTheme="minorHAnsi" w:hAnsiTheme="minorHAnsi" w:cstheme="minorHAnsi"/>
                <w:szCs w:val="22"/>
              </w:rPr>
            </w:pPr>
          </w:p>
        </w:tc>
      </w:tr>
      <w:tr w:rsidR="004A5EA9" w:rsidRPr="002809CF" w14:paraId="286BDBAB" w14:textId="77777777" w:rsidTr="00326058">
        <w:trPr>
          <w:gridBefore w:val="1"/>
          <w:gridAfter w:val="1"/>
          <w:wBefore w:w="27" w:type="dxa"/>
          <w:wAfter w:w="16" w:type="dxa"/>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61900E"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E03C09" w14:textId="3D450300" w:rsidR="004A5EA9" w:rsidRPr="002809CF" w:rsidRDefault="00E30B8F" w:rsidP="002A01CF">
            <w:pPr>
              <w:jc w:val="center"/>
              <w:rPr>
                <w:rFonts w:asciiTheme="minorHAnsi" w:hAnsiTheme="minorHAnsi" w:cstheme="minorHAnsi"/>
                <w:b/>
                <w:szCs w:val="22"/>
              </w:rPr>
            </w:pPr>
            <w:r>
              <w:rPr>
                <w:rFonts w:asciiTheme="minorHAnsi" w:hAnsiTheme="minorHAnsi" w:cstheme="minorHAnsi"/>
                <w:b/>
                <w:szCs w:val="22"/>
              </w:rPr>
              <w:t>REFUSED</w:t>
            </w:r>
          </w:p>
        </w:tc>
      </w:tr>
      <w:tr w:rsidR="004A5EA9" w:rsidRPr="002809CF" w14:paraId="6FC1DF92"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CD70404"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54C8F320" w14:textId="77777777" w:rsidTr="00326058">
        <w:trPr>
          <w:gridBefore w:val="1"/>
          <w:gridAfter w:val="1"/>
          <w:wBefore w:w="27" w:type="dxa"/>
          <w:wAfter w:w="16" w:type="dxa"/>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AAE73C"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75EB18" w14:textId="5B592179" w:rsidR="004A5EA9" w:rsidRPr="002809CF" w:rsidRDefault="004226C7">
            <w:pPr>
              <w:rPr>
                <w:rFonts w:asciiTheme="minorHAnsi" w:hAnsiTheme="minorHAnsi" w:cstheme="minorHAnsi"/>
                <w:b/>
                <w:szCs w:val="22"/>
              </w:rPr>
            </w:pPr>
            <w:r w:rsidRPr="004226C7">
              <w:rPr>
                <w:rFonts w:asciiTheme="minorHAnsi" w:hAnsiTheme="minorHAnsi" w:cstheme="minorHAnsi"/>
                <w:b/>
                <w:szCs w:val="22"/>
              </w:rPr>
              <w:t>Proposed extension to create a one</w:t>
            </w:r>
            <w:r>
              <w:rPr>
                <w:rFonts w:asciiTheme="minorHAnsi" w:hAnsiTheme="minorHAnsi" w:cstheme="minorHAnsi"/>
                <w:b/>
                <w:szCs w:val="22"/>
              </w:rPr>
              <w:t>-</w:t>
            </w:r>
            <w:r w:rsidRPr="004226C7">
              <w:rPr>
                <w:rFonts w:asciiTheme="minorHAnsi" w:hAnsiTheme="minorHAnsi" w:cstheme="minorHAnsi"/>
                <w:b/>
                <w:szCs w:val="22"/>
              </w:rPr>
              <w:t>bedroom holiday apartment and construction of two single storey one bedroom holiday let units with parking.</w:t>
            </w:r>
          </w:p>
        </w:tc>
      </w:tr>
      <w:tr w:rsidR="002A01CF" w:rsidRPr="002809CF" w14:paraId="143A663C" w14:textId="77777777" w:rsidTr="00326058">
        <w:trPr>
          <w:gridBefore w:val="1"/>
          <w:gridAfter w:val="1"/>
          <w:wBefore w:w="27" w:type="dxa"/>
          <w:wAfter w:w="16" w:type="dxa"/>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23F2AF"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21F82B" w14:textId="34D577F4" w:rsidR="002A01CF" w:rsidRPr="002809CF" w:rsidRDefault="004226C7" w:rsidP="006A0318">
            <w:pPr>
              <w:rPr>
                <w:rFonts w:asciiTheme="minorHAnsi" w:hAnsiTheme="minorHAnsi" w:cstheme="minorHAnsi"/>
                <w:b/>
                <w:szCs w:val="22"/>
              </w:rPr>
            </w:pPr>
            <w:r w:rsidRPr="004226C7">
              <w:rPr>
                <w:rFonts w:asciiTheme="minorHAnsi" w:hAnsiTheme="minorHAnsi" w:cstheme="minorHAnsi"/>
                <w:b/>
                <w:szCs w:val="22"/>
              </w:rPr>
              <w:t xml:space="preserve">Wellsprings Hotel Clitheroe Road </w:t>
            </w:r>
            <w:proofErr w:type="spellStart"/>
            <w:r w:rsidRPr="004226C7">
              <w:rPr>
                <w:rFonts w:asciiTheme="minorHAnsi" w:hAnsiTheme="minorHAnsi" w:cstheme="minorHAnsi"/>
                <w:b/>
                <w:szCs w:val="22"/>
              </w:rPr>
              <w:t>Sabden</w:t>
            </w:r>
            <w:proofErr w:type="spellEnd"/>
            <w:r w:rsidRPr="004226C7">
              <w:rPr>
                <w:rFonts w:asciiTheme="minorHAnsi" w:hAnsiTheme="minorHAnsi" w:cstheme="minorHAnsi"/>
                <w:b/>
                <w:szCs w:val="22"/>
              </w:rPr>
              <w:t xml:space="preserve"> BB7 9HN</w:t>
            </w:r>
          </w:p>
        </w:tc>
      </w:tr>
      <w:tr w:rsidR="00A95D89" w:rsidRPr="002809CF" w14:paraId="4652107A"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F70D2C2"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7F705CC8" w14:textId="77777777" w:rsidTr="00326058">
        <w:trPr>
          <w:gridBefore w:val="1"/>
          <w:gridAfter w:val="1"/>
          <w:wBefore w:w="27" w:type="dxa"/>
          <w:wAfter w:w="16" w:type="dxa"/>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4EF468"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31CB0"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01AFBE65"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A4647D" w14:textId="394DAFE9" w:rsidR="00E30B8F" w:rsidRPr="00A05183" w:rsidRDefault="004226C7" w:rsidP="00190B38">
            <w:pPr>
              <w:jc w:val="both"/>
              <w:rPr>
                <w:rFonts w:asciiTheme="minorHAnsi" w:hAnsiTheme="minorHAnsi" w:cstheme="minorHAnsi"/>
              </w:rPr>
            </w:pPr>
            <w:r>
              <w:rPr>
                <w:rFonts w:asciiTheme="minorHAnsi" w:hAnsiTheme="minorHAnsi" w:cstheme="minorHAnsi"/>
              </w:rPr>
              <w:t>None received.</w:t>
            </w:r>
          </w:p>
        </w:tc>
      </w:tr>
      <w:tr w:rsidR="00C618DB" w:rsidRPr="002809CF" w14:paraId="699256AA"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E27D7E5" w14:textId="77777777" w:rsidR="00C618DB" w:rsidRPr="002809CF" w:rsidRDefault="00C618DB">
            <w:pPr>
              <w:rPr>
                <w:rFonts w:asciiTheme="minorHAnsi" w:hAnsiTheme="minorHAnsi" w:cstheme="minorHAnsi"/>
                <w:bCs/>
                <w:szCs w:val="22"/>
              </w:rPr>
            </w:pPr>
          </w:p>
        </w:tc>
      </w:tr>
      <w:tr w:rsidR="006A0318" w:rsidRPr="002809CF" w14:paraId="5FF56334" w14:textId="77777777" w:rsidTr="00326058">
        <w:trPr>
          <w:gridBefore w:val="1"/>
          <w:gridAfter w:val="1"/>
          <w:wBefore w:w="27" w:type="dxa"/>
          <w:wAfter w:w="16" w:type="dxa"/>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13ACDF"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DBBD2E" w14:textId="77777777" w:rsidR="006A0318" w:rsidRPr="00191BE5" w:rsidRDefault="006A0318" w:rsidP="00B5345D">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24CB3D98" w14:textId="77777777" w:rsidTr="00326058">
        <w:trPr>
          <w:gridBefore w:val="1"/>
          <w:gridAfter w:val="1"/>
          <w:wBefore w:w="27" w:type="dxa"/>
          <w:wAfter w:w="16" w:type="dxa"/>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EBA565" w14:textId="77777777" w:rsidR="006A0318" w:rsidRPr="00191BE5" w:rsidRDefault="006A0318" w:rsidP="002809CF">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 xml:space="preserve">LCC </w:t>
            </w:r>
            <w:r w:rsidR="007A024C" w:rsidRPr="00191BE5">
              <w:rPr>
                <w:rFonts w:asciiTheme="minorHAnsi" w:hAnsiTheme="minorHAnsi" w:cstheme="minorHAnsi"/>
                <w:b/>
                <w:color w:val="000000" w:themeColor="text1"/>
                <w:szCs w:val="22"/>
              </w:rPr>
              <w:t>Highways</w:t>
            </w:r>
            <w:r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34F5EC" w14:textId="77777777" w:rsidR="006A0318" w:rsidRPr="00191BE5" w:rsidRDefault="006A0318" w:rsidP="00B5345D">
            <w:pPr>
              <w:rPr>
                <w:rFonts w:asciiTheme="minorHAnsi" w:hAnsiTheme="minorHAnsi" w:cstheme="minorHAnsi"/>
                <w:b/>
                <w:szCs w:val="22"/>
              </w:rPr>
            </w:pPr>
          </w:p>
        </w:tc>
      </w:tr>
      <w:tr w:rsidR="006A0318" w:rsidRPr="002809CF" w14:paraId="334335F8"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06C869" w14:textId="77777777" w:rsidR="00A824B2" w:rsidRPr="00191BE5" w:rsidRDefault="00202F97" w:rsidP="00202F97">
            <w:pPr>
              <w:jc w:val="both"/>
              <w:rPr>
                <w:rFonts w:asciiTheme="minorHAnsi" w:hAnsiTheme="minorHAnsi" w:cstheme="minorHAnsi"/>
                <w:szCs w:val="22"/>
              </w:rPr>
            </w:pPr>
            <w:r w:rsidRPr="00191BE5">
              <w:rPr>
                <w:rFonts w:asciiTheme="minorHAnsi" w:hAnsiTheme="minorHAnsi" w:cstheme="minorHAnsi"/>
                <w:szCs w:val="22"/>
              </w:rPr>
              <w:t>N</w:t>
            </w:r>
            <w:r w:rsidR="00A05183" w:rsidRPr="00191BE5">
              <w:rPr>
                <w:rFonts w:asciiTheme="minorHAnsi" w:hAnsiTheme="minorHAnsi" w:cstheme="minorHAnsi"/>
                <w:szCs w:val="22"/>
              </w:rPr>
              <w:t>o objection</w:t>
            </w:r>
            <w:r w:rsidR="00701178">
              <w:rPr>
                <w:rFonts w:asciiTheme="minorHAnsi" w:hAnsiTheme="minorHAnsi" w:cstheme="minorHAnsi"/>
                <w:szCs w:val="22"/>
              </w:rPr>
              <w:t>s subject to appropriate conditions.</w:t>
            </w:r>
          </w:p>
        </w:tc>
      </w:tr>
      <w:tr w:rsidR="00202F97" w:rsidRPr="002809CF" w14:paraId="64B8CBD3" w14:textId="77777777" w:rsidTr="00326058">
        <w:trPr>
          <w:gridBefore w:val="1"/>
          <w:gridAfter w:val="1"/>
          <w:wBefore w:w="27" w:type="dxa"/>
          <w:wAfter w:w="16" w:type="dxa"/>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A2C0F" w14:textId="77777777" w:rsidR="00202F97" w:rsidRPr="00191BE5" w:rsidRDefault="00814B26" w:rsidP="006C1735">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AONB Partnership</w:t>
            </w:r>
            <w:r w:rsidR="00202F97"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F9016F" w14:textId="77777777" w:rsidR="00202F97" w:rsidRPr="00191BE5" w:rsidRDefault="00202F97" w:rsidP="006C1735">
            <w:pPr>
              <w:rPr>
                <w:rFonts w:asciiTheme="minorHAnsi" w:hAnsiTheme="minorHAnsi" w:cstheme="minorHAnsi"/>
                <w:b/>
                <w:szCs w:val="22"/>
              </w:rPr>
            </w:pPr>
          </w:p>
        </w:tc>
      </w:tr>
      <w:tr w:rsidR="00202F97" w:rsidRPr="002809CF" w14:paraId="0EAB7051"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76CA20" w14:textId="77777777" w:rsidR="00785752" w:rsidRPr="00785752" w:rsidRDefault="00785752" w:rsidP="00785752">
            <w:pPr>
              <w:rPr>
                <w:rFonts w:asciiTheme="minorHAnsi" w:hAnsiTheme="minorHAnsi" w:cstheme="minorHAnsi"/>
              </w:rPr>
            </w:pPr>
            <w:r w:rsidRPr="00785752">
              <w:rPr>
                <w:rFonts w:asciiTheme="minorHAnsi" w:hAnsiTheme="minorHAnsi" w:cstheme="minorHAnsi"/>
              </w:rPr>
              <w:t xml:space="preserve">The location for the proposals is clearly very visible within local and more distant views and could have significant landscape and visual effects.  Overall, the applicant has not adequately considered the likely landscape and visual impacts of the proposal, with no LVIA (or even landscape and visual appraisal) offered.  </w:t>
            </w:r>
          </w:p>
          <w:p w14:paraId="7E34D542" w14:textId="77777777" w:rsidR="00785752" w:rsidRPr="00785752" w:rsidRDefault="00785752" w:rsidP="00785752">
            <w:pPr>
              <w:rPr>
                <w:rFonts w:asciiTheme="minorHAnsi" w:hAnsiTheme="minorHAnsi" w:cstheme="minorHAnsi"/>
              </w:rPr>
            </w:pPr>
          </w:p>
          <w:p w14:paraId="4BE6488D" w14:textId="77777777" w:rsidR="00785752" w:rsidRPr="00785752" w:rsidRDefault="00785752" w:rsidP="00785752">
            <w:pPr>
              <w:rPr>
                <w:rFonts w:asciiTheme="minorHAnsi" w:hAnsiTheme="minorHAnsi" w:cstheme="minorHAnsi"/>
              </w:rPr>
            </w:pPr>
            <w:r w:rsidRPr="00785752">
              <w:rPr>
                <w:rFonts w:asciiTheme="minorHAnsi" w:hAnsiTheme="minorHAnsi" w:cstheme="minorHAnsi"/>
              </w:rPr>
              <w:t>Without such information offering a detailed assessment of the proposal is difficult, but suffice to say my greatest concerns lie with the proposed detached holiday units to the SW of the main building complex.</w:t>
            </w:r>
          </w:p>
          <w:p w14:paraId="5C7A2190" w14:textId="77777777" w:rsidR="00785752" w:rsidRPr="00785752" w:rsidRDefault="00785752" w:rsidP="00785752">
            <w:pPr>
              <w:rPr>
                <w:rFonts w:asciiTheme="minorHAnsi" w:hAnsiTheme="minorHAnsi" w:cstheme="minorHAnsi"/>
              </w:rPr>
            </w:pPr>
          </w:p>
          <w:p w14:paraId="54667112" w14:textId="77777777" w:rsidR="00785752" w:rsidRPr="00785752" w:rsidRDefault="00785752" w:rsidP="00785752">
            <w:pPr>
              <w:rPr>
                <w:rFonts w:asciiTheme="minorHAnsi" w:hAnsiTheme="minorHAnsi" w:cstheme="minorHAnsi"/>
              </w:rPr>
            </w:pPr>
            <w:r w:rsidRPr="00785752">
              <w:rPr>
                <w:rFonts w:asciiTheme="minorHAnsi" w:hAnsiTheme="minorHAnsi" w:cstheme="minorHAnsi"/>
              </w:rPr>
              <w:t>Based on the above, I would wish to object to the current proposals as they stand (on behalf of the Forest of Bowland AONB Partnership).</w:t>
            </w:r>
          </w:p>
          <w:p w14:paraId="207048F4" w14:textId="3511FF2A" w:rsidR="00202F97" w:rsidRPr="00785752" w:rsidRDefault="00202F97" w:rsidP="00202F97">
            <w:pPr>
              <w:jc w:val="both"/>
              <w:rPr>
                <w:rFonts w:asciiTheme="minorHAnsi" w:hAnsiTheme="minorHAnsi" w:cstheme="minorHAnsi"/>
                <w:szCs w:val="22"/>
              </w:rPr>
            </w:pPr>
          </w:p>
        </w:tc>
      </w:tr>
      <w:tr w:rsidR="00853327" w:rsidRPr="002809CF" w14:paraId="4907C04E"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2008554" w14:textId="77777777" w:rsidR="00853327" w:rsidRPr="002809CF" w:rsidRDefault="00853327" w:rsidP="005E6CFD">
            <w:pPr>
              <w:rPr>
                <w:rFonts w:asciiTheme="minorHAnsi" w:hAnsiTheme="minorHAnsi" w:cstheme="minorHAnsi"/>
                <w:bCs/>
                <w:szCs w:val="22"/>
              </w:rPr>
            </w:pPr>
            <w:bookmarkStart w:id="0" w:name="_Hlk51252411"/>
          </w:p>
        </w:tc>
      </w:tr>
      <w:bookmarkEnd w:id="0"/>
      <w:tr w:rsidR="00A824B2" w:rsidRPr="002809CF" w14:paraId="4637B78A" w14:textId="77777777" w:rsidTr="00326058">
        <w:trPr>
          <w:gridBefore w:val="1"/>
          <w:gridAfter w:val="1"/>
          <w:wBefore w:w="27" w:type="dxa"/>
          <w:wAfter w:w="16" w:type="dxa"/>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69538A" w14:textId="77777777" w:rsidR="006A0318" w:rsidRPr="002809CF" w:rsidRDefault="006A0318" w:rsidP="00B5345D">
            <w:pPr>
              <w:rPr>
                <w:rFonts w:asciiTheme="minorHAnsi" w:hAnsiTheme="minorHAnsi" w:cstheme="minorHAnsi"/>
                <w:b/>
                <w:szCs w:val="22"/>
              </w:rPr>
            </w:pPr>
            <w:r w:rsidRPr="002809CF">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B6C1DA" w14:textId="77777777" w:rsidR="006A0318" w:rsidRPr="002809CF" w:rsidRDefault="006A0318" w:rsidP="00B5345D">
            <w:pPr>
              <w:rPr>
                <w:rFonts w:asciiTheme="minorHAnsi" w:hAnsiTheme="minorHAnsi" w:cstheme="minorHAnsi"/>
                <w:b/>
                <w:szCs w:val="22"/>
              </w:rPr>
            </w:pPr>
            <w:r w:rsidRPr="002809CF">
              <w:rPr>
                <w:rFonts w:asciiTheme="minorHAnsi" w:hAnsiTheme="minorHAnsi" w:cstheme="minorHAnsi"/>
                <w:b/>
                <w:szCs w:val="22"/>
              </w:rPr>
              <w:t>Additional Representations.</w:t>
            </w:r>
          </w:p>
        </w:tc>
      </w:tr>
      <w:tr w:rsidR="00A824B2" w:rsidRPr="002809CF" w14:paraId="61E2A9F2"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D357F8" w14:textId="1A3652EC" w:rsidR="00E30B8F" w:rsidRPr="00F34921" w:rsidRDefault="00F34921" w:rsidP="00F34921">
            <w:pPr>
              <w:jc w:val="both"/>
              <w:rPr>
                <w:rFonts w:asciiTheme="minorHAnsi" w:hAnsiTheme="minorHAnsi" w:cstheme="minorHAnsi"/>
                <w:szCs w:val="22"/>
              </w:rPr>
            </w:pPr>
            <w:r>
              <w:rPr>
                <w:rFonts w:asciiTheme="minorHAnsi" w:hAnsiTheme="minorHAnsi" w:cstheme="minorHAnsi"/>
                <w:szCs w:val="22"/>
              </w:rPr>
              <w:t>No representations have been received.</w:t>
            </w:r>
          </w:p>
        </w:tc>
      </w:tr>
      <w:tr w:rsidR="00191BE5" w:rsidRPr="002809CF" w14:paraId="11D99775"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F9E957C" w14:textId="77777777" w:rsidR="00191BE5" w:rsidRPr="002809CF" w:rsidRDefault="00191BE5" w:rsidP="006C1735">
            <w:pPr>
              <w:rPr>
                <w:rFonts w:asciiTheme="minorHAnsi" w:hAnsiTheme="minorHAnsi" w:cstheme="minorHAnsi"/>
                <w:bCs/>
                <w:szCs w:val="22"/>
              </w:rPr>
            </w:pPr>
          </w:p>
        </w:tc>
      </w:tr>
      <w:tr w:rsidR="009F0AD0" w:rsidRPr="002809CF" w14:paraId="310B0784"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941C13" w14:textId="77777777" w:rsidR="009F0AD0" w:rsidRPr="002809CF" w:rsidRDefault="009F0AD0" w:rsidP="001F1D2C">
            <w:pPr>
              <w:rPr>
                <w:rFonts w:asciiTheme="minorHAnsi" w:hAnsiTheme="minorHAnsi" w:cstheme="minorHAnsi"/>
                <w:b/>
                <w:szCs w:val="22"/>
              </w:rPr>
            </w:pPr>
            <w:r w:rsidRPr="002809CF">
              <w:rPr>
                <w:rFonts w:asciiTheme="minorHAnsi" w:hAnsiTheme="minorHAnsi" w:cstheme="minorHAnsi"/>
                <w:b/>
                <w:szCs w:val="22"/>
              </w:rPr>
              <w:t>RELEVANT PLANNING HISTORY:</w:t>
            </w:r>
          </w:p>
          <w:p w14:paraId="4405E410" w14:textId="50121BA8" w:rsidR="00E30B8F" w:rsidRPr="002809CF" w:rsidRDefault="00F34921" w:rsidP="00F34921">
            <w:pPr>
              <w:jc w:val="both"/>
              <w:rPr>
                <w:rFonts w:asciiTheme="minorHAnsi" w:hAnsiTheme="minorHAnsi" w:cstheme="minorHAnsi"/>
                <w:szCs w:val="22"/>
              </w:rPr>
            </w:pPr>
            <w:r>
              <w:rPr>
                <w:rFonts w:asciiTheme="minorHAnsi" w:hAnsiTheme="minorHAnsi" w:cstheme="minorHAnsi"/>
                <w:szCs w:val="22"/>
              </w:rPr>
              <w:t>No relevant planning history.</w:t>
            </w:r>
          </w:p>
        </w:tc>
      </w:tr>
      <w:tr w:rsidR="00C618DB" w:rsidRPr="002809CF" w14:paraId="291343B6"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F2C144B" w14:textId="77777777" w:rsidR="00C618DB" w:rsidRPr="002809CF" w:rsidRDefault="00C618DB">
            <w:pPr>
              <w:rPr>
                <w:rFonts w:asciiTheme="minorHAnsi" w:hAnsiTheme="minorHAnsi" w:cstheme="minorHAnsi"/>
                <w:color w:val="FF0000"/>
                <w:szCs w:val="22"/>
              </w:rPr>
            </w:pPr>
          </w:p>
        </w:tc>
      </w:tr>
      <w:tr w:rsidR="00EC23C7" w:rsidRPr="002809CF" w14:paraId="5DDF4142"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195503" w14:textId="77777777" w:rsidR="00EC23C7" w:rsidRPr="002809CF" w:rsidRDefault="00EC23C7">
            <w:pPr>
              <w:rPr>
                <w:rFonts w:asciiTheme="minorHAnsi" w:hAnsiTheme="minorHAnsi" w:cstheme="minorHAnsi"/>
                <w:b/>
                <w:szCs w:val="22"/>
              </w:rPr>
            </w:pPr>
            <w:r w:rsidRPr="002809CF">
              <w:rPr>
                <w:rFonts w:asciiTheme="minorHAnsi" w:hAnsiTheme="minorHAnsi" w:cstheme="minorHAnsi"/>
                <w:b/>
                <w:szCs w:val="22"/>
              </w:rPr>
              <w:t>RELEVANT POLICIES:</w:t>
            </w:r>
          </w:p>
        </w:tc>
      </w:tr>
      <w:tr w:rsidR="00C618DB" w:rsidRPr="002809CF" w14:paraId="78610D67"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D773C4" w14:textId="77777777" w:rsidR="00F13667" w:rsidRPr="00745BA2" w:rsidRDefault="00C618DB" w:rsidP="00F13667">
            <w:pPr>
              <w:pStyle w:val="PLANNING"/>
              <w:rPr>
                <w:rFonts w:asciiTheme="minorHAnsi" w:hAnsiTheme="minorHAnsi" w:cstheme="minorHAnsi"/>
                <w:szCs w:val="22"/>
              </w:rPr>
            </w:pPr>
            <w:r w:rsidRPr="00745BA2">
              <w:rPr>
                <w:rFonts w:asciiTheme="minorHAnsi" w:hAnsiTheme="minorHAnsi" w:cstheme="minorHAnsi"/>
                <w:b/>
                <w:bCs/>
                <w:szCs w:val="22"/>
              </w:rPr>
              <w:t>Ribble Valley Core Strategy:</w:t>
            </w:r>
            <w:r w:rsidR="00F13667" w:rsidRPr="00745BA2">
              <w:rPr>
                <w:rFonts w:asciiTheme="minorHAnsi" w:hAnsiTheme="minorHAnsi" w:cstheme="minorHAnsi"/>
                <w:i/>
                <w:iCs/>
                <w:szCs w:val="22"/>
              </w:rPr>
              <w:t xml:space="preserve"> </w:t>
            </w:r>
          </w:p>
          <w:p w14:paraId="5C810A88"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DS1 – Development Strategy</w:t>
            </w:r>
          </w:p>
          <w:p w14:paraId="5D7DE590"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DS2 –Sustainable Development</w:t>
            </w:r>
          </w:p>
          <w:p w14:paraId="41DC9D34"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EN2 – Landscape</w:t>
            </w:r>
          </w:p>
          <w:p w14:paraId="4787B034" w14:textId="77777777" w:rsidR="00F13667" w:rsidRPr="00745BA2" w:rsidRDefault="00F13667" w:rsidP="00F13667">
            <w:pPr>
              <w:pStyle w:val="Default"/>
              <w:pageBreakBefore/>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EC1 – Business and Employment Development</w:t>
            </w:r>
          </w:p>
          <w:p w14:paraId="3B7F8C57"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EC3 – Visitor Economy</w:t>
            </w:r>
          </w:p>
          <w:p w14:paraId="2737AA17" w14:textId="77777777" w:rsidR="000A15E0" w:rsidRPr="00745BA2" w:rsidRDefault="000A15E0"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DMI2 – Transport Considerations</w:t>
            </w:r>
          </w:p>
          <w:p w14:paraId="1D850EF2"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DMG1 – General Considerations</w:t>
            </w:r>
          </w:p>
          <w:p w14:paraId="149B248C"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lastRenderedPageBreak/>
              <w:t>Policy DMG2 – Strategic Considerations</w:t>
            </w:r>
          </w:p>
          <w:p w14:paraId="1ED5BF0A"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DMG3 – Transport and Mobility</w:t>
            </w:r>
          </w:p>
          <w:p w14:paraId="090EB49C"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DME2 – Landscape and Townscape Protection</w:t>
            </w:r>
          </w:p>
          <w:p w14:paraId="14336D36"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DME3 - Site and Species Protection and Conservation</w:t>
            </w:r>
          </w:p>
          <w:p w14:paraId="13F16E5C" w14:textId="77777777" w:rsidR="000A15E0" w:rsidRPr="00745BA2" w:rsidRDefault="000A15E0"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DME6 – Water Management</w:t>
            </w:r>
          </w:p>
          <w:p w14:paraId="30238CAD"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DMB1 – Supporting Business Growth and the Local Economy</w:t>
            </w:r>
          </w:p>
          <w:p w14:paraId="5ED886BD" w14:textId="77777777" w:rsidR="000368C1" w:rsidRPr="00745BA2" w:rsidRDefault="00F13667" w:rsidP="00F13667">
            <w:pPr>
              <w:rPr>
                <w:rFonts w:asciiTheme="minorHAnsi" w:hAnsiTheme="minorHAnsi" w:cstheme="minorHAnsi"/>
                <w:szCs w:val="22"/>
              </w:rPr>
            </w:pPr>
            <w:r w:rsidRPr="00745BA2">
              <w:rPr>
                <w:rFonts w:asciiTheme="minorHAnsi" w:hAnsiTheme="minorHAnsi" w:cstheme="minorHAnsi"/>
                <w:szCs w:val="22"/>
              </w:rPr>
              <w:t>Policy DMB3 – Recreation and Tourism Development</w:t>
            </w:r>
          </w:p>
          <w:p w14:paraId="33B5DBD9" w14:textId="77777777" w:rsidR="00F13667" w:rsidRPr="00745BA2" w:rsidRDefault="00F13667" w:rsidP="00F13667">
            <w:pPr>
              <w:rPr>
                <w:rFonts w:asciiTheme="minorHAnsi" w:hAnsiTheme="minorHAnsi" w:cstheme="minorHAnsi"/>
              </w:rPr>
            </w:pPr>
          </w:p>
          <w:p w14:paraId="62BFEFD8" w14:textId="77777777" w:rsidR="00D11007" w:rsidRPr="00745BA2" w:rsidRDefault="00F22639" w:rsidP="00F22639">
            <w:pPr>
              <w:rPr>
                <w:rFonts w:asciiTheme="minorHAnsi" w:hAnsiTheme="minorHAnsi" w:cstheme="minorHAnsi"/>
                <w:b/>
              </w:rPr>
            </w:pPr>
            <w:r w:rsidRPr="00745BA2">
              <w:rPr>
                <w:rFonts w:asciiTheme="minorHAnsi" w:hAnsiTheme="minorHAnsi" w:cstheme="minorHAnsi"/>
                <w:b/>
              </w:rPr>
              <w:t>National Planning Policy Framework</w:t>
            </w:r>
          </w:p>
        </w:tc>
      </w:tr>
      <w:tr w:rsidR="00EC23C7" w:rsidRPr="002809CF" w14:paraId="0A0455FE"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4C23C0" w14:textId="77777777" w:rsidR="00EC23C7" w:rsidRPr="00745BA2" w:rsidRDefault="006C2BFA" w:rsidP="006C2BFA">
            <w:pPr>
              <w:rPr>
                <w:rFonts w:asciiTheme="minorHAnsi" w:hAnsiTheme="minorHAnsi" w:cstheme="minorHAnsi"/>
                <w:b/>
                <w:szCs w:val="22"/>
              </w:rPr>
            </w:pPr>
            <w:r w:rsidRPr="00745BA2">
              <w:rPr>
                <w:rFonts w:asciiTheme="minorHAnsi" w:hAnsiTheme="minorHAnsi" w:cstheme="minorHAnsi"/>
                <w:b/>
                <w:bCs/>
                <w:szCs w:val="22"/>
              </w:rPr>
              <w:lastRenderedPageBreak/>
              <w:t>ASSESSMENT OF PROPOSED DEVELOPMENT:</w:t>
            </w:r>
          </w:p>
        </w:tc>
      </w:tr>
      <w:tr w:rsidR="00190B38" w:rsidRPr="002809CF" w14:paraId="27D9A40E"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63B18F" w14:textId="77777777" w:rsidR="00190B38" w:rsidRPr="00745BA2" w:rsidRDefault="00190B38" w:rsidP="00190B38">
            <w:pPr>
              <w:pStyle w:val="Header"/>
              <w:tabs>
                <w:tab w:val="clear" w:pos="4153"/>
                <w:tab w:val="clear" w:pos="8306"/>
              </w:tabs>
              <w:contextualSpacing/>
              <w:jc w:val="both"/>
              <w:rPr>
                <w:rFonts w:ascii="Calibri" w:hAnsi="Calibri"/>
                <w:b/>
                <w:szCs w:val="22"/>
              </w:rPr>
            </w:pPr>
            <w:r w:rsidRPr="00745BA2">
              <w:rPr>
                <w:rFonts w:ascii="Calibri" w:hAnsi="Calibri"/>
                <w:b/>
                <w:szCs w:val="22"/>
              </w:rPr>
              <w:t>Site Description and Surrounding Area:</w:t>
            </w:r>
          </w:p>
          <w:p w14:paraId="07983CBD" w14:textId="77777777" w:rsidR="00255242" w:rsidRDefault="00F34921" w:rsidP="00F34921">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This application relates to the site of a long-established restaurant, The Wellsprings, which is located on the slopes of Pendle Hill near the Nick of Pendle. The site is located in the open countryside and designated AONB between Clitheroe and the village of Sabden. Adjacent to the restaurant building is Pendle Ski Club and dry ski slope.</w:t>
            </w:r>
          </w:p>
          <w:p w14:paraId="3AF1FCA7" w14:textId="77777777" w:rsidR="00AB39C9" w:rsidRDefault="00AB39C9" w:rsidP="00F34921">
            <w:pPr>
              <w:pStyle w:val="Header"/>
              <w:tabs>
                <w:tab w:val="clear" w:pos="4153"/>
                <w:tab w:val="clear" w:pos="8306"/>
                <w:tab w:val="left" w:pos="6061"/>
              </w:tabs>
              <w:jc w:val="both"/>
              <w:rPr>
                <w:rFonts w:asciiTheme="minorHAnsi" w:hAnsiTheme="minorHAnsi" w:cstheme="minorHAnsi"/>
                <w:szCs w:val="22"/>
              </w:rPr>
            </w:pPr>
          </w:p>
          <w:p w14:paraId="28994D9B" w14:textId="03F0BAD1" w:rsidR="00AB39C9" w:rsidRDefault="00AB39C9" w:rsidP="00F34921">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The existing restaurant is a </w:t>
            </w:r>
            <w:r w:rsidR="006D0E96">
              <w:rPr>
                <w:rFonts w:asciiTheme="minorHAnsi" w:hAnsiTheme="minorHAnsi" w:cstheme="minorHAnsi"/>
                <w:szCs w:val="22"/>
              </w:rPr>
              <w:t xml:space="preserve">one-and-a-half </w:t>
            </w:r>
            <w:r>
              <w:rPr>
                <w:rFonts w:asciiTheme="minorHAnsi" w:hAnsiTheme="minorHAnsi" w:cstheme="minorHAnsi"/>
                <w:szCs w:val="22"/>
              </w:rPr>
              <w:t>storey, white rendered building, with a seating capacity for 200 guests and associated car parking. Historically the building has been an Inn and a hotel.</w:t>
            </w:r>
          </w:p>
          <w:p w14:paraId="7787B516" w14:textId="2C3B003C" w:rsidR="00195110" w:rsidRDefault="00195110" w:rsidP="00F34921">
            <w:pPr>
              <w:pStyle w:val="Header"/>
              <w:tabs>
                <w:tab w:val="clear" w:pos="4153"/>
                <w:tab w:val="clear" w:pos="8306"/>
                <w:tab w:val="left" w:pos="6061"/>
              </w:tabs>
              <w:jc w:val="both"/>
              <w:rPr>
                <w:rFonts w:asciiTheme="minorHAnsi" w:hAnsiTheme="minorHAnsi" w:cstheme="minorHAnsi"/>
                <w:szCs w:val="22"/>
              </w:rPr>
            </w:pPr>
          </w:p>
          <w:p w14:paraId="6E84BF5B" w14:textId="39E22CFC" w:rsidR="00195110" w:rsidRDefault="00195110" w:rsidP="00F34921">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There is a network of public footpaths in the surrounding area which is popular with walkers.</w:t>
            </w:r>
          </w:p>
          <w:p w14:paraId="4167028D" w14:textId="3B362E41" w:rsidR="00AB39C9" w:rsidRPr="00745BA2" w:rsidRDefault="00AB39C9" w:rsidP="00F34921">
            <w:pPr>
              <w:pStyle w:val="Header"/>
              <w:tabs>
                <w:tab w:val="clear" w:pos="4153"/>
                <w:tab w:val="clear" w:pos="8306"/>
                <w:tab w:val="left" w:pos="6061"/>
              </w:tabs>
              <w:jc w:val="both"/>
              <w:rPr>
                <w:rFonts w:asciiTheme="minorHAnsi" w:hAnsiTheme="minorHAnsi" w:cstheme="minorHAnsi"/>
                <w:szCs w:val="22"/>
              </w:rPr>
            </w:pPr>
          </w:p>
        </w:tc>
      </w:tr>
      <w:tr w:rsidR="006C2BFA" w:rsidRPr="002809CF" w14:paraId="0F62BDA4"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7775D7" w14:textId="77777777" w:rsidR="007E0D23" w:rsidRPr="00745BA2" w:rsidRDefault="0029334A" w:rsidP="00CF086A">
            <w:pPr>
              <w:pStyle w:val="Header"/>
              <w:tabs>
                <w:tab w:val="clear" w:pos="4153"/>
                <w:tab w:val="clear" w:pos="8306"/>
                <w:tab w:val="left" w:pos="6061"/>
              </w:tabs>
              <w:jc w:val="both"/>
              <w:rPr>
                <w:rFonts w:asciiTheme="minorHAnsi" w:hAnsiTheme="minorHAnsi" w:cstheme="minorHAnsi"/>
                <w:b/>
                <w:szCs w:val="22"/>
              </w:rPr>
            </w:pPr>
            <w:r w:rsidRPr="00745BA2">
              <w:rPr>
                <w:rFonts w:asciiTheme="minorHAnsi" w:hAnsiTheme="minorHAnsi" w:cstheme="minorHAnsi"/>
                <w:b/>
                <w:szCs w:val="22"/>
              </w:rPr>
              <w:t>Proposed Development for which consent is sought:</w:t>
            </w:r>
          </w:p>
          <w:p w14:paraId="2CEAB548" w14:textId="4F530C8C" w:rsidR="0066213A" w:rsidRDefault="00AB39C9" w:rsidP="00AB39C9">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Consent is sought to create a first floor over an existing single storey flat-roofed section of the </w:t>
            </w:r>
            <w:r w:rsidR="00785752">
              <w:rPr>
                <w:rFonts w:asciiTheme="minorHAnsi" w:hAnsiTheme="minorHAnsi" w:cstheme="minorHAnsi"/>
                <w:szCs w:val="22"/>
              </w:rPr>
              <w:t xml:space="preserve">restaurant </w:t>
            </w:r>
            <w:r>
              <w:rPr>
                <w:rFonts w:asciiTheme="minorHAnsi" w:hAnsiTheme="minorHAnsi" w:cstheme="minorHAnsi"/>
                <w:szCs w:val="22"/>
              </w:rPr>
              <w:t xml:space="preserve">building </w:t>
            </w:r>
            <w:r w:rsidR="00CE4790">
              <w:rPr>
                <w:rFonts w:asciiTheme="minorHAnsi" w:hAnsiTheme="minorHAnsi" w:cstheme="minorHAnsi"/>
                <w:szCs w:val="22"/>
              </w:rPr>
              <w:t xml:space="preserve">on the </w:t>
            </w:r>
            <w:r w:rsidR="003A2660">
              <w:rPr>
                <w:rFonts w:asciiTheme="minorHAnsi" w:hAnsiTheme="minorHAnsi" w:cstheme="minorHAnsi"/>
                <w:szCs w:val="22"/>
              </w:rPr>
              <w:t>south</w:t>
            </w:r>
            <w:r w:rsidR="00CE4790">
              <w:rPr>
                <w:rFonts w:asciiTheme="minorHAnsi" w:hAnsiTheme="minorHAnsi" w:cstheme="minorHAnsi"/>
                <w:szCs w:val="22"/>
              </w:rPr>
              <w:t xml:space="preserve"> side. The first floor would be created by extending the roof of the main building over the flat-roof section to provide a self-contained single storey, one-bed holiday unit. Access to the holiday unit would be via a new external staircase on the east (front) elevation facing Clitheroe Road. The eastern roof slope would contain two modest pitched roof dormers.</w:t>
            </w:r>
          </w:p>
          <w:p w14:paraId="080D488B" w14:textId="77777777" w:rsidR="00CE4790" w:rsidRDefault="00CE4790" w:rsidP="00AB39C9">
            <w:pPr>
              <w:pStyle w:val="Header"/>
              <w:tabs>
                <w:tab w:val="clear" w:pos="4153"/>
                <w:tab w:val="clear" w:pos="8306"/>
                <w:tab w:val="left" w:pos="6061"/>
              </w:tabs>
              <w:jc w:val="both"/>
              <w:rPr>
                <w:rFonts w:asciiTheme="minorHAnsi" w:hAnsiTheme="minorHAnsi" w:cstheme="minorHAnsi"/>
                <w:szCs w:val="22"/>
              </w:rPr>
            </w:pPr>
          </w:p>
          <w:p w14:paraId="411BF8DC" w14:textId="7F1CDCD6" w:rsidR="00CE4790" w:rsidRDefault="00CE4790" w:rsidP="00AB39C9">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On the western side two </w:t>
            </w:r>
            <w:r w:rsidR="00195110">
              <w:rPr>
                <w:rFonts w:asciiTheme="minorHAnsi" w:hAnsiTheme="minorHAnsi" w:cstheme="minorHAnsi"/>
                <w:szCs w:val="22"/>
              </w:rPr>
              <w:t>large, pitched</w:t>
            </w:r>
            <w:r>
              <w:rPr>
                <w:rFonts w:asciiTheme="minorHAnsi" w:hAnsiTheme="minorHAnsi" w:cstheme="minorHAnsi"/>
                <w:szCs w:val="22"/>
              </w:rPr>
              <w:t xml:space="preserve"> roof dormers are proposed that would provide access to </w:t>
            </w:r>
            <w:r w:rsidR="00195110">
              <w:rPr>
                <w:rFonts w:asciiTheme="minorHAnsi" w:hAnsiTheme="minorHAnsi" w:cstheme="minorHAnsi"/>
                <w:szCs w:val="22"/>
              </w:rPr>
              <w:t>an</w:t>
            </w:r>
            <w:r>
              <w:rPr>
                <w:rFonts w:asciiTheme="minorHAnsi" w:hAnsiTheme="minorHAnsi" w:cstheme="minorHAnsi"/>
                <w:szCs w:val="22"/>
              </w:rPr>
              <w:t xml:space="preserve"> external first floor balcony area.</w:t>
            </w:r>
          </w:p>
          <w:p w14:paraId="13759FF0" w14:textId="77777777" w:rsidR="00CE4790" w:rsidRDefault="00CE4790" w:rsidP="00AB39C9">
            <w:pPr>
              <w:pStyle w:val="Header"/>
              <w:tabs>
                <w:tab w:val="clear" w:pos="4153"/>
                <w:tab w:val="clear" w:pos="8306"/>
                <w:tab w:val="left" w:pos="6061"/>
              </w:tabs>
              <w:jc w:val="both"/>
              <w:rPr>
                <w:rFonts w:asciiTheme="minorHAnsi" w:hAnsiTheme="minorHAnsi" w:cstheme="minorHAnsi"/>
                <w:szCs w:val="22"/>
              </w:rPr>
            </w:pPr>
          </w:p>
          <w:p w14:paraId="68763DE7" w14:textId="06C6828A" w:rsidR="00CE4790" w:rsidRDefault="003A2660" w:rsidP="00AB39C9">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Also proposed is the erection of two detached single storey holiday units to the south-west of the restaurant building. Each unit would measure 8.2m x 7.8m and would have </w:t>
            </w:r>
            <w:r w:rsidR="00785752">
              <w:rPr>
                <w:rFonts w:asciiTheme="minorHAnsi" w:hAnsiTheme="minorHAnsi" w:cstheme="minorHAnsi"/>
                <w:szCs w:val="22"/>
              </w:rPr>
              <w:t xml:space="preserve">a </w:t>
            </w:r>
            <w:r>
              <w:rPr>
                <w:rFonts w:asciiTheme="minorHAnsi" w:hAnsiTheme="minorHAnsi" w:cstheme="minorHAnsi"/>
                <w:szCs w:val="22"/>
              </w:rPr>
              <w:t>flat roof up to 2.85 metres in height. The units would be timber clad with grey aluminium windows and doors. The units would be provided with a hot tub beneath an outdoor canopy. Each unit would have parking for one vehicle and would provide a single bedroom.</w:t>
            </w:r>
          </w:p>
          <w:p w14:paraId="1115E0EE" w14:textId="1150EBE4" w:rsidR="00195110" w:rsidRPr="00745BA2" w:rsidRDefault="00195110" w:rsidP="00AB39C9">
            <w:pPr>
              <w:pStyle w:val="Header"/>
              <w:tabs>
                <w:tab w:val="clear" w:pos="4153"/>
                <w:tab w:val="clear" w:pos="8306"/>
                <w:tab w:val="left" w:pos="6061"/>
              </w:tabs>
              <w:jc w:val="both"/>
              <w:rPr>
                <w:rFonts w:asciiTheme="minorHAnsi" w:hAnsiTheme="minorHAnsi" w:cstheme="minorHAnsi"/>
                <w:szCs w:val="22"/>
              </w:rPr>
            </w:pPr>
          </w:p>
        </w:tc>
      </w:tr>
      <w:tr w:rsidR="00EA09F9" w:rsidRPr="002809CF" w14:paraId="4F4E36F8"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11F260" w14:textId="77777777" w:rsidR="001D486D" w:rsidRPr="00745BA2" w:rsidRDefault="001D486D" w:rsidP="004B670A">
            <w:pPr>
              <w:pStyle w:val="Default"/>
              <w:jc w:val="both"/>
              <w:rPr>
                <w:rFonts w:asciiTheme="minorHAnsi" w:hAnsiTheme="minorHAnsi" w:cstheme="minorHAnsi"/>
                <w:b/>
                <w:color w:val="auto"/>
                <w:sz w:val="22"/>
                <w:szCs w:val="22"/>
                <w:u w:val="single"/>
              </w:rPr>
            </w:pPr>
            <w:r w:rsidRPr="00745BA2">
              <w:rPr>
                <w:rFonts w:asciiTheme="minorHAnsi" w:hAnsiTheme="minorHAnsi" w:cstheme="minorHAnsi"/>
                <w:b/>
                <w:color w:val="auto"/>
                <w:sz w:val="22"/>
                <w:szCs w:val="22"/>
                <w:u w:val="single"/>
              </w:rPr>
              <w:t>Principle of Development</w:t>
            </w:r>
          </w:p>
          <w:p w14:paraId="5B52943D" w14:textId="77777777" w:rsidR="00195110" w:rsidRDefault="001F4F72"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Core Strategy Key Statement EC3 relates specifically to the visitor economy stating that</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proposals that contribute to and strengthen the visitor economy of Ribble Valley will be</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encouraged. The proposed development would contribute to the tourism economy and</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 xml:space="preserve">accords with the general intentions of Key Statement EC3. </w:t>
            </w:r>
          </w:p>
          <w:p w14:paraId="514D7854" w14:textId="77777777" w:rsidR="00195110" w:rsidRDefault="00195110" w:rsidP="004B670A">
            <w:pPr>
              <w:overflowPunct/>
              <w:jc w:val="both"/>
              <w:textAlignment w:val="auto"/>
              <w:rPr>
                <w:rFonts w:asciiTheme="minorHAnsi" w:eastAsiaTheme="minorHAnsi" w:hAnsiTheme="minorHAnsi" w:cstheme="minorHAnsi"/>
                <w:szCs w:val="22"/>
              </w:rPr>
            </w:pPr>
          </w:p>
          <w:p w14:paraId="7D8C36BF" w14:textId="1DC7C3AB" w:rsidR="001F4F72" w:rsidRPr="00195110" w:rsidRDefault="001F4F72"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Key Statement EC1</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 xml:space="preserve">‘Business and Employment Development states that </w:t>
            </w:r>
            <w:r w:rsidRPr="00745BA2">
              <w:rPr>
                <w:rFonts w:asciiTheme="minorHAnsi" w:eastAsiaTheme="minorHAnsi" w:hAnsiTheme="minorHAnsi" w:cstheme="minorHAnsi"/>
                <w:i/>
                <w:iCs/>
                <w:szCs w:val="22"/>
              </w:rPr>
              <w:t>“Developments that contribute to</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i/>
                <w:iCs/>
                <w:szCs w:val="22"/>
              </w:rPr>
              <w:t>farm diversification, strengthening of the wider rural and village economies or that</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i/>
                <w:iCs/>
                <w:szCs w:val="22"/>
              </w:rPr>
              <w:t>promote town centre vitality and viability will be supported in principle”.</w:t>
            </w:r>
            <w:r w:rsidR="00195110">
              <w:rPr>
                <w:rFonts w:asciiTheme="minorHAnsi" w:eastAsiaTheme="minorHAnsi" w:hAnsiTheme="minorHAnsi" w:cstheme="minorHAnsi"/>
                <w:i/>
                <w:iCs/>
                <w:szCs w:val="22"/>
              </w:rPr>
              <w:t xml:space="preserve"> </w:t>
            </w:r>
            <w:r w:rsidR="00195110">
              <w:rPr>
                <w:rFonts w:asciiTheme="minorHAnsi" w:eastAsiaTheme="minorHAnsi" w:hAnsiTheme="minorHAnsi" w:cstheme="minorHAnsi"/>
                <w:szCs w:val="22"/>
              </w:rPr>
              <w:t>Policy DMB1 is also relevant to the application given the proposals represent expansion of an existing business and are designed to maintain and support the existing use. This is established within the submitted Business Statement which also refers to the benefits to the local economy.</w:t>
            </w:r>
          </w:p>
          <w:p w14:paraId="071D307B" w14:textId="77777777" w:rsidR="00C32539" w:rsidRPr="00745BA2" w:rsidRDefault="00C32539" w:rsidP="004B670A">
            <w:pPr>
              <w:overflowPunct/>
              <w:jc w:val="both"/>
              <w:textAlignment w:val="auto"/>
              <w:rPr>
                <w:rFonts w:asciiTheme="minorHAnsi" w:eastAsiaTheme="minorHAnsi" w:hAnsiTheme="minorHAnsi" w:cstheme="minorHAnsi"/>
                <w:szCs w:val="22"/>
              </w:rPr>
            </w:pPr>
          </w:p>
          <w:p w14:paraId="05D9922A" w14:textId="77777777" w:rsidR="001F4F72" w:rsidRPr="00745BA2" w:rsidRDefault="001F4F72"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 xml:space="preserve">The application site is located in the Forest </w:t>
            </w:r>
            <w:r w:rsidR="004B670A" w:rsidRPr="00745BA2">
              <w:rPr>
                <w:rFonts w:asciiTheme="minorHAnsi" w:eastAsiaTheme="minorHAnsi" w:hAnsiTheme="minorHAnsi" w:cstheme="minorHAnsi"/>
                <w:szCs w:val="22"/>
              </w:rPr>
              <w:t>of</w:t>
            </w:r>
            <w:r w:rsidRPr="00745BA2">
              <w:rPr>
                <w:rFonts w:asciiTheme="minorHAnsi" w:eastAsiaTheme="minorHAnsi" w:hAnsiTheme="minorHAnsi" w:cstheme="minorHAnsi"/>
                <w:szCs w:val="22"/>
              </w:rPr>
              <w:t xml:space="preserve"> Bowland. Core Strategy Policy DMG2</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requires development outside of defined settlement areas to meet at least one of six</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considerations one of which is the following:</w:t>
            </w:r>
          </w:p>
          <w:p w14:paraId="06C90092" w14:textId="77777777" w:rsidR="004B670A" w:rsidRPr="00745BA2" w:rsidRDefault="004B670A" w:rsidP="004B670A">
            <w:pPr>
              <w:overflowPunct/>
              <w:jc w:val="both"/>
              <w:textAlignment w:val="auto"/>
              <w:rPr>
                <w:rFonts w:asciiTheme="minorHAnsi" w:eastAsiaTheme="minorHAnsi" w:hAnsiTheme="minorHAnsi" w:cstheme="minorHAnsi"/>
                <w:szCs w:val="22"/>
              </w:rPr>
            </w:pPr>
          </w:p>
          <w:p w14:paraId="68279410" w14:textId="77777777" w:rsidR="001F4F72" w:rsidRPr="00745BA2" w:rsidRDefault="001F4F72" w:rsidP="004B670A">
            <w:pPr>
              <w:overflowPunct/>
              <w:ind w:left="488"/>
              <w:jc w:val="both"/>
              <w:textAlignment w:val="auto"/>
              <w:rPr>
                <w:rFonts w:asciiTheme="minorHAnsi" w:eastAsiaTheme="minorHAnsi" w:hAnsiTheme="minorHAnsi" w:cstheme="minorHAnsi"/>
                <w:i/>
                <w:szCs w:val="22"/>
              </w:rPr>
            </w:pPr>
            <w:r w:rsidRPr="00745BA2">
              <w:rPr>
                <w:rFonts w:asciiTheme="minorHAnsi" w:eastAsiaTheme="minorHAnsi" w:hAnsiTheme="minorHAnsi" w:cstheme="minorHAnsi"/>
                <w:i/>
                <w:szCs w:val="22"/>
              </w:rPr>
              <w:t>4. The development is for small scale tourism or recreational developments</w:t>
            </w:r>
            <w:r w:rsidR="004B670A" w:rsidRPr="00745BA2">
              <w:rPr>
                <w:rFonts w:asciiTheme="minorHAnsi" w:eastAsiaTheme="minorHAnsi" w:hAnsiTheme="minorHAnsi" w:cstheme="minorHAnsi"/>
                <w:i/>
                <w:szCs w:val="22"/>
              </w:rPr>
              <w:t xml:space="preserve"> </w:t>
            </w:r>
            <w:r w:rsidRPr="00745BA2">
              <w:rPr>
                <w:rFonts w:asciiTheme="minorHAnsi" w:eastAsiaTheme="minorHAnsi" w:hAnsiTheme="minorHAnsi" w:cstheme="minorHAnsi"/>
                <w:i/>
                <w:szCs w:val="22"/>
              </w:rPr>
              <w:t>appropriate to a rural area.</w:t>
            </w:r>
          </w:p>
          <w:p w14:paraId="51681E66" w14:textId="77777777" w:rsidR="004B670A" w:rsidRPr="00745BA2" w:rsidRDefault="004B670A" w:rsidP="001F4F72">
            <w:pPr>
              <w:overflowPunct/>
              <w:textAlignment w:val="auto"/>
              <w:rPr>
                <w:rFonts w:eastAsiaTheme="minorHAnsi" w:cs="Arial"/>
                <w:szCs w:val="22"/>
              </w:rPr>
            </w:pPr>
          </w:p>
          <w:p w14:paraId="2263212C" w14:textId="4801561A" w:rsidR="004B670A" w:rsidRPr="00745BA2" w:rsidRDefault="004A6EE1"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 xml:space="preserve">It </w:t>
            </w:r>
            <w:r w:rsidR="004B670A" w:rsidRPr="00745BA2">
              <w:rPr>
                <w:rFonts w:asciiTheme="minorHAnsi" w:eastAsiaTheme="minorHAnsi" w:hAnsiTheme="minorHAnsi" w:cstheme="minorHAnsi"/>
                <w:szCs w:val="22"/>
              </w:rPr>
              <w:t>is considered that</w:t>
            </w:r>
            <w:r w:rsidR="001F4F72"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the site, taken as a whole, would remain small-scale</w:t>
            </w:r>
            <w:r w:rsidR="00195110">
              <w:rPr>
                <w:rFonts w:asciiTheme="minorHAnsi" w:eastAsiaTheme="minorHAnsi" w:hAnsiTheme="minorHAnsi" w:cstheme="minorHAnsi"/>
                <w:szCs w:val="22"/>
              </w:rPr>
              <w:t xml:space="preserve"> and would comply with the abovementioned policies ‘in principle’.</w:t>
            </w:r>
          </w:p>
          <w:p w14:paraId="1E63D1C6" w14:textId="77777777" w:rsidR="00745BA2" w:rsidRPr="00745BA2" w:rsidRDefault="00745BA2" w:rsidP="004B670A">
            <w:pPr>
              <w:overflowPunct/>
              <w:jc w:val="both"/>
              <w:textAlignment w:val="auto"/>
              <w:rPr>
                <w:rFonts w:asciiTheme="minorHAnsi" w:eastAsiaTheme="minorHAnsi" w:hAnsiTheme="minorHAnsi" w:cstheme="minorHAnsi"/>
                <w:szCs w:val="22"/>
              </w:rPr>
            </w:pPr>
          </w:p>
          <w:p w14:paraId="76734835" w14:textId="20A4C911" w:rsidR="00D7368F" w:rsidRPr="00745BA2" w:rsidRDefault="00D7368F"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 xml:space="preserve">Whilst regard must be given to the economic and social wellbeing of the AONB, </w:t>
            </w:r>
            <w:r w:rsidR="00DE309D">
              <w:rPr>
                <w:rFonts w:asciiTheme="minorHAnsi" w:eastAsiaTheme="minorHAnsi" w:hAnsiTheme="minorHAnsi" w:cstheme="minorHAnsi"/>
                <w:szCs w:val="22"/>
              </w:rPr>
              <w:t xml:space="preserve">Policy DMG2 confirms that </w:t>
            </w:r>
            <w:r w:rsidR="007F6A0A" w:rsidRPr="00745BA2">
              <w:rPr>
                <w:rFonts w:asciiTheme="minorHAnsi" w:eastAsiaTheme="minorHAnsi" w:hAnsiTheme="minorHAnsi" w:cstheme="minorHAnsi"/>
                <w:szCs w:val="22"/>
              </w:rPr>
              <w:t>t</w:t>
            </w:r>
            <w:r w:rsidRPr="00745BA2">
              <w:rPr>
                <w:rFonts w:asciiTheme="minorHAnsi" w:eastAsiaTheme="minorHAnsi" w:hAnsiTheme="minorHAnsi" w:cstheme="minorHAnsi"/>
                <w:szCs w:val="22"/>
              </w:rPr>
              <w:t>he most important consideration is the protection, conservation and enhancement of the landscape and character of the area.</w:t>
            </w:r>
            <w:r w:rsidR="00DE309D">
              <w:rPr>
                <w:rFonts w:asciiTheme="minorHAnsi" w:eastAsiaTheme="minorHAnsi" w:hAnsiTheme="minorHAnsi" w:cstheme="minorHAnsi"/>
                <w:szCs w:val="22"/>
              </w:rPr>
              <w:t xml:space="preserve"> In the AONB development is required to be in keeping with the character of the landscape and acknowledge the special qualities of the AONB by virtue of its design, use of materials, landscaping and siting. </w:t>
            </w:r>
          </w:p>
          <w:p w14:paraId="3FA60AB2" w14:textId="77777777" w:rsidR="00D7368F" w:rsidRPr="00745BA2" w:rsidRDefault="00D7368F" w:rsidP="004B670A">
            <w:pPr>
              <w:overflowPunct/>
              <w:jc w:val="both"/>
              <w:textAlignment w:val="auto"/>
              <w:rPr>
                <w:rFonts w:asciiTheme="minorHAnsi" w:eastAsiaTheme="minorHAnsi" w:hAnsiTheme="minorHAnsi" w:cstheme="minorHAnsi"/>
                <w:szCs w:val="22"/>
              </w:rPr>
            </w:pPr>
          </w:p>
          <w:p w14:paraId="5FF528CD" w14:textId="77777777" w:rsidR="001F4F72" w:rsidRPr="00745BA2" w:rsidRDefault="001F4F72"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Policy DMB3 relates specifically to recreation and tourism development. Tourism and</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visitor attractions are generally supported subject to the following criteria being met:</w:t>
            </w:r>
          </w:p>
          <w:p w14:paraId="5B2B2E04" w14:textId="77777777" w:rsidR="004B670A" w:rsidRPr="00745BA2" w:rsidRDefault="004B670A" w:rsidP="004B670A">
            <w:pPr>
              <w:overflowPunct/>
              <w:jc w:val="both"/>
              <w:textAlignment w:val="auto"/>
              <w:rPr>
                <w:rFonts w:asciiTheme="minorHAnsi" w:eastAsiaTheme="minorHAnsi" w:hAnsiTheme="minorHAnsi" w:cstheme="minorHAnsi"/>
                <w:szCs w:val="22"/>
              </w:rPr>
            </w:pPr>
          </w:p>
          <w:p w14:paraId="22913EB9"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1. The proposal must not conflict with other policies of this plan;</w:t>
            </w:r>
          </w:p>
          <w:p w14:paraId="39200EEE"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2. The proposal must be physically well related to an existing main settlement or</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village or to an existing group of buildings, except where the proposed facilities are</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required in conjunction with a particular countryside attraction and there are no</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suitable existing buildings or developed sites available;</w:t>
            </w:r>
          </w:p>
          <w:p w14:paraId="1DE9A47E"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3. The development should not undermine the character, quality or visual amenities</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of the plan area by virtue of its scale, siting, materials or design;</w:t>
            </w:r>
          </w:p>
          <w:p w14:paraId="27583C0F"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4. The proposals should be well related to the existing highway network. It should</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not generate additional traffic movements of a scale and type likely to cause undue</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problems or disturbance. Where possible the proposals should be well related to the</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public transport network;</w:t>
            </w:r>
          </w:p>
          <w:p w14:paraId="7F04CD75"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5. The site should be large enough to accommodate the necessary car parking,</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service areas and appropriate landscaped areas; and</w:t>
            </w:r>
          </w:p>
          <w:p w14:paraId="764B02AD"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6. The proposal must take into account any nature conservation impacts using</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suitable survey information and where possible seek to incorporate any important</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existing associations within the development. Failing this then adequate mitigation</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will be sought.</w:t>
            </w:r>
          </w:p>
          <w:p w14:paraId="36B2ACBF" w14:textId="77777777" w:rsidR="004B670A" w:rsidRPr="00745BA2" w:rsidRDefault="004B670A" w:rsidP="004B670A">
            <w:pPr>
              <w:overflowPunct/>
              <w:jc w:val="both"/>
              <w:textAlignment w:val="auto"/>
              <w:rPr>
                <w:rFonts w:asciiTheme="minorHAnsi" w:eastAsiaTheme="minorHAnsi" w:hAnsiTheme="minorHAnsi" w:cstheme="minorHAnsi"/>
                <w:i/>
                <w:iCs/>
                <w:szCs w:val="22"/>
              </w:rPr>
            </w:pPr>
          </w:p>
          <w:p w14:paraId="7F99E5A3" w14:textId="77777777" w:rsidR="001F4F72" w:rsidRPr="00745BA2" w:rsidRDefault="001F4F72"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 xml:space="preserve">In the Forest </w:t>
            </w:r>
            <w:r w:rsidR="004B670A" w:rsidRPr="00745BA2">
              <w:rPr>
                <w:rFonts w:asciiTheme="minorHAnsi" w:eastAsiaTheme="minorHAnsi" w:hAnsiTheme="minorHAnsi" w:cstheme="minorHAnsi"/>
                <w:szCs w:val="22"/>
              </w:rPr>
              <w:t>of</w:t>
            </w:r>
            <w:r w:rsidRPr="00745BA2">
              <w:rPr>
                <w:rFonts w:asciiTheme="minorHAnsi" w:eastAsiaTheme="minorHAnsi" w:hAnsiTheme="minorHAnsi" w:cstheme="minorHAnsi"/>
                <w:szCs w:val="22"/>
              </w:rPr>
              <w:t xml:space="preserve"> Bowland AONB additional criteria apply as </w:t>
            </w:r>
            <w:r w:rsidR="004B670A" w:rsidRPr="00745BA2">
              <w:rPr>
                <w:rFonts w:asciiTheme="minorHAnsi" w:eastAsiaTheme="minorHAnsi" w:hAnsiTheme="minorHAnsi" w:cstheme="minorHAnsi"/>
                <w:szCs w:val="22"/>
              </w:rPr>
              <w:t>follows: -</w:t>
            </w:r>
          </w:p>
          <w:p w14:paraId="4E0B9EA4" w14:textId="77777777" w:rsidR="004B670A" w:rsidRPr="00745BA2" w:rsidRDefault="004B670A" w:rsidP="004B670A">
            <w:pPr>
              <w:overflowPunct/>
              <w:jc w:val="both"/>
              <w:textAlignment w:val="auto"/>
              <w:rPr>
                <w:rFonts w:asciiTheme="minorHAnsi" w:eastAsiaTheme="minorHAnsi" w:hAnsiTheme="minorHAnsi" w:cstheme="minorHAnsi"/>
                <w:szCs w:val="22"/>
              </w:rPr>
            </w:pPr>
          </w:p>
          <w:p w14:paraId="2ED1E04E"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1. The proposal should display a high standard of design appropriate to the area.</w:t>
            </w:r>
          </w:p>
          <w:p w14:paraId="4496EB4D"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2. The site should not introduce built development into an area largely devoid of</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structures (other than those directly related to agriculture or forestry uses).</w:t>
            </w:r>
          </w:p>
          <w:p w14:paraId="6CCDB014" w14:textId="77777777" w:rsidR="004B670A" w:rsidRDefault="004B670A" w:rsidP="001F4F72">
            <w:pPr>
              <w:overflowPunct/>
              <w:textAlignment w:val="auto"/>
              <w:rPr>
                <w:rFonts w:asciiTheme="minorHAnsi" w:eastAsiaTheme="minorHAnsi" w:hAnsiTheme="minorHAnsi" w:cs="Arial"/>
                <w:i/>
                <w:iCs/>
                <w:szCs w:val="22"/>
              </w:rPr>
            </w:pPr>
          </w:p>
          <w:p w14:paraId="5BFDD056" w14:textId="3C240AD4" w:rsidR="00DE56DF" w:rsidRDefault="00DE309D" w:rsidP="00DE309D">
            <w:pPr>
              <w:overflowPunct/>
              <w:jc w:val="both"/>
              <w:textAlignment w:val="auto"/>
              <w:rPr>
                <w:rFonts w:asciiTheme="minorHAnsi" w:eastAsiaTheme="minorHAnsi" w:hAnsiTheme="minorHAnsi" w:cs="Arial"/>
                <w:iCs/>
                <w:szCs w:val="22"/>
              </w:rPr>
            </w:pPr>
            <w:r>
              <w:rPr>
                <w:rFonts w:asciiTheme="minorHAnsi" w:eastAsiaTheme="minorHAnsi" w:hAnsiTheme="minorHAnsi" w:cs="Arial"/>
                <w:iCs/>
                <w:szCs w:val="22"/>
              </w:rPr>
              <w:t>The proposals relate to a well-established group of buildings comprising the restaurant building</w:t>
            </w:r>
            <w:r w:rsidR="00785752">
              <w:rPr>
                <w:rFonts w:asciiTheme="minorHAnsi" w:eastAsiaTheme="minorHAnsi" w:hAnsiTheme="minorHAnsi" w:cs="Arial"/>
                <w:iCs/>
                <w:szCs w:val="22"/>
              </w:rPr>
              <w:t>,</w:t>
            </w:r>
            <w:r>
              <w:rPr>
                <w:rFonts w:asciiTheme="minorHAnsi" w:eastAsiaTheme="minorHAnsi" w:hAnsiTheme="minorHAnsi" w:cs="Arial"/>
                <w:iCs/>
                <w:szCs w:val="22"/>
              </w:rPr>
              <w:t xml:space="preserve"> ski club clubhouse</w:t>
            </w:r>
            <w:r w:rsidR="003866DD">
              <w:rPr>
                <w:rFonts w:asciiTheme="minorHAnsi" w:eastAsiaTheme="minorHAnsi" w:hAnsiTheme="minorHAnsi" w:cs="Arial"/>
                <w:iCs/>
                <w:szCs w:val="22"/>
              </w:rPr>
              <w:t xml:space="preserve"> and associated paraphernalia. The proposed development would not therefore be isolated from</w:t>
            </w:r>
            <w:r w:rsidR="00785752">
              <w:rPr>
                <w:rFonts w:asciiTheme="minorHAnsi" w:eastAsiaTheme="minorHAnsi" w:hAnsiTheme="minorHAnsi" w:cs="Arial"/>
                <w:iCs/>
                <w:szCs w:val="22"/>
              </w:rPr>
              <w:t xml:space="preserve"> other</w:t>
            </w:r>
            <w:r w:rsidR="003866DD">
              <w:rPr>
                <w:rFonts w:asciiTheme="minorHAnsi" w:eastAsiaTheme="minorHAnsi" w:hAnsiTheme="minorHAnsi" w:cs="Arial"/>
                <w:iCs/>
                <w:szCs w:val="22"/>
              </w:rPr>
              <w:t xml:space="preserve"> built form. In addition, the development in located directly adjacent to a classified road with good access to the surrounding highway network</w:t>
            </w:r>
            <w:r w:rsidR="00785752">
              <w:rPr>
                <w:rFonts w:asciiTheme="minorHAnsi" w:eastAsiaTheme="minorHAnsi" w:hAnsiTheme="minorHAnsi" w:cs="Arial"/>
                <w:iCs/>
                <w:szCs w:val="22"/>
              </w:rPr>
              <w:t xml:space="preserve"> and the development is proposed to support an existing business.</w:t>
            </w:r>
          </w:p>
          <w:p w14:paraId="64A2A985" w14:textId="2C232171" w:rsidR="00785752" w:rsidRPr="00745BA2" w:rsidRDefault="00785752" w:rsidP="00DE309D">
            <w:pPr>
              <w:overflowPunct/>
              <w:jc w:val="both"/>
              <w:textAlignment w:val="auto"/>
              <w:rPr>
                <w:rFonts w:asciiTheme="minorHAnsi" w:hAnsiTheme="minorHAnsi" w:cstheme="minorHAnsi"/>
              </w:rPr>
            </w:pPr>
          </w:p>
        </w:tc>
      </w:tr>
      <w:tr w:rsidR="001678F9" w:rsidRPr="002809CF" w14:paraId="46C08219"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9FB844" w14:textId="77777777" w:rsidR="001678F9" w:rsidRPr="003866DD" w:rsidRDefault="001678F9" w:rsidP="001678F9">
            <w:pPr>
              <w:pStyle w:val="Default"/>
              <w:jc w:val="both"/>
              <w:rPr>
                <w:rFonts w:asciiTheme="minorHAnsi" w:hAnsiTheme="minorHAnsi" w:cstheme="minorHAnsi"/>
                <w:b/>
                <w:color w:val="auto"/>
                <w:sz w:val="22"/>
                <w:szCs w:val="22"/>
                <w:u w:val="single"/>
              </w:rPr>
            </w:pPr>
            <w:r w:rsidRPr="003866DD">
              <w:rPr>
                <w:rFonts w:asciiTheme="minorHAnsi" w:hAnsiTheme="minorHAnsi" w:cstheme="minorHAnsi"/>
                <w:b/>
                <w:color w:val="auto"/>
                <w:sz w:val="22"/>
                <w:szCs w:val="22"/>
                <w:u w:val="single"/>
              </w:rPr>
              <w:lastRenderedPageBreak/>
              <w:t>Effects Upon the Landscape/Visual Amenity</w:t>
            </w:r>
          </w:p>
          <w:p w14:paraId="386CB8F5" w14:textId="65734CFC" w:rsidR="001678F9" w:rsidRPr="006D0E96" w:rsidRDefault="001678F9" w:rsidP="006D0E96">
            <w:pPr>
              <w:overflowPunct/>
              <w:jc w:val="both"/>
              <w:textAlignment w:val="auto"/>
              <w:rPr>
                <w:rFonts w:asciiTheme="minorHAnsi" w:eastAsiaTheme="minorHAnsi" w:hAnsiTheme="minorHAnsi" w:cs="Arial"/>
                <w:szCs w:val="22"/>
              </w:rPr>
            </w:pPr>
            <w:r w:rsidRPr="003866DD">
              <w:rPr>
                <w:rFonts w:asciiTheme="minorHAnsi" w:eastAsiaTheme="minorHAnsi" w:hAnsiTheme="minorHAnsi" w:cs="Arial"/>
                <w:szCs w:val="22"/>
              </w:rPr>
              <w:t xml:space="preserve">Great weight is afforded to the conservation and scenic beauty of the Forest of Bowland AONB as stated in </w:t>
            </w:r>
            <w:r w:rsidR="00785752">
              <w:rPr>
                <w:rFonts w:asciiTheme="minorHAnsi" w:eastAsiaTheme="minorHAnsi" w:hAnsiTheme="minorHAnsi" w:cs="Arial"/>
                <w:szCs w:val="22"/>
              </w:rPr>
              <w:t>t</w:t>
            </w:r>
            <w:r w:rsidRPr="003866DD">
              <w:rPr>
                <w:rFonts w:asciiTheme="minorHAnsi" w:eastAsiaTheme="minorHAnsi" w:hAnsiTheme="minorHAnsi" w:cs="Arial"/>
                <w:szCs w:val="22"/>
              </w:rPr>
              <w:t xml:space="preserve">he Framework and reiterated in Key Statement EN2 of the Core Strategy which requires the Forest of Bowland to be </w:t>
            </w:r>
            <w:r w:rsidRPr="006D0E96">
              <w:rPr>
                <w:rFonts w:asciiTheme="minorHAnsi" w:eastAsiaTheme="minorHAnsi" w:hAnsiTheme="minorHAnsi" w:cs="Arial"/>
                <w:szCs w:val="22"/>
              </w:rPr>
              <w:t xml:space="preserve">protected, conserved and enhanced. Development in such areas should be of a high standard of design and should be in keeping with the character of the landscape. </w:t>
            </w:r>
          </w:p>
          <w:p w14:paraId="3E0067F2" w14:textId="07BC6F5F" w:rsidR="0008529C" w:rsidRPr="006D0E96" w:rsidRDefault="00E14E1B" w:rsidP="006D0E96">
            <w:pPr>
              <w:overflowPunct/>
              <w:jc w:val="both"/>
              <w:textAlignment w:val="auto"/>
              <w:rPr>
                <w:rFonts w:asciiTheme="minorHAnsi" w:eastAsiaTheme="minorHAnsi" w:hAnsiTheme="minorHAnsi" w:cs="Arial"/>
                <w:szCs w:val="22"/>
              </w:rPr>
            </w:pPr>
            <w:r w:rsidRPr="006D0E96">
              <w:rPr>
                <w:rFonts w:asciiTheme="minorHAnsi" w:eastAsiaTheme="minorHAnsi" w:hAnsiTheme="minorHAnsi" w:cs="Arial"/>
                <w:szCs w:val="22"/>
              </w:rPr>
              <w:t xml:space="preserve"> </w:t>
            </w:r>
          </w:p>
          <w:p w14:paraId="63095664" w14:textId="1DC39107" w:rsidR="00E14E1B" w:rsidRDefault="00E14E1B" w:rsidP="006D0E96">
            <w:pPr>
              <w:overflowPunct/>
              <w:jc w:val="both"/>
              <w:textAlignment w:val="auto"/>
              <w:rPr>
                <w:rFonts w:ascii="GillSansMT" w:eastAsiaTheme="minorHAnsi" w:hAnsi="GillSansMT" w:cs="GillSansMT"/>
                <w:szCs w:val="22"/>
              </w:rPr>
            </w:pPr>
            <w:r w:rsidRPr="006D0E96">
              <w:rPr>
                <w:rFonts w:asciiTheme="minorHAnsi" w:eastAsiaTheme="minorHAnsi" w:hAnsiTheme="minorHAnsi" w:cs="Arial"/>
                <w:szCs w:val="22"/>
              </w:rPr>
              <w:t>The immediate are</w:t>
            </w:r>
            <w:r w:rsidR="006D0E96" w:rsidRPr="006D0E96">
              <w:rPr>
                <w:rFonts w:asciiTheme="minorHAnsi" w:eastAsiaTheme="minorHAnsi" w:hAnsiTheme="minorHAnsi" w:cs="Arial"/>
                <w:szCs w:val="22"/>
              </w:rPr>
              <w:t>a</w:t>
            </w:r>
            <w:r w:rsidRPr="006D0E96">
              <w:rPr>
                <w:rFonts w:asciiTheme="minorHAnsi" w:eastAsiaTheme="minorHAnsi" w:hAnsiTheme="minorHAnsi" w:cs="Arial"/>
                <w:szCs w:val="22"/>
              </w:rPr>
              <w:t xml:space="preserve"> is characterised as ‘</w:t>
            </w:r>
            <w:r w:rsidRPr="006D0E96">
              <w:rPr>
                <w:rFonts w:ascii="GillSansMT" w:eastAsiaTheme="minorHAnsi" w:hAnsi="GillSansMT" w:cs="GillSansMT"/>
                <w:szCs w:val="22"/>
              </w:rPr>
              <w:t xml:space="preserve">Unenclosed Moorland Hills’ in the AONB Landscape Character Assessment and </w:t>
            </w:r>
            <w:r w:rsidR="00785752">
              <w:rPr>
                <w:rFonts w:ascii="GillSansMT" w:eastAsiaTheme="minorHAnsi" w:hAnsi="GillSansMT" w:cs="GillSansMT"/>
                <w:szCs w:val="22"/>
              </w:rPr>
              <w:t xml:space="preserve">is </w:t>
            </w:r>
            <w:r w:rsidRPr="006D0E96">
              <w:rPr>
                <w:rFonts w:ascii="GillSansMT" w:eastAsiaTheme="minorHAnsi" w:hAnsi="GillSansMT" w:cs="GillSansMT"/>
                <w:szCs w:val="22"/>
              </w:rPr>
              <w:t xml:space="preserve">described as having a ‘strong sense of remoteness’. It is said </w:t>
            </w:r>
            <w:r w:rsidR="006D0E96" w:rsidRPr="006D0E96">
              <w:rPr>
                <w:rFonts w:ascii="GillSansMT" w:eastAsiaTheme="minorHAnsi" w:hAnsi="GillSansMT" w:cs="GillSansMT"/>
                <w:szCs w:val="22"/>
              </w:rPr>
              <w:t>that</w:t>
            </w:r>
            <w:r w:rsidRPr="006D0E96">
              <w:rPr>
                <w:rFonts w:ascii="GillSansMT" w:eastAsiaTheme="minorHAnsi" w:hAnsi="GillSansMT" w:cs="GillSansMT"/>
                <w:szCs w:val="22"/>
              </w:rPr>
              <w:t xml:space="preserve"> </w:t>
            </w:r>
            <w:r w:rsidR="006D0E96" w:rsidRPr="006D0E96">
              <w:rPr>
                <w:rFonts w:ascii="GillSansMT" w:eastAsiaTheme="minorHAnsi" w:hAnsi="GillSansMT" w:cs="GillSansMT"/>
                <w:szCs w:val="22"/>
              </w:rPr>
              <w:t>‘t</w:t>
            </w:r>
            <w:r w:rsidRPr="006D0E96">
              <w:rPr>
                <w:rFonts w:ascii="GillSansMT" w:eastAsiaTheme="minorHAnsi" w:hAnsi="GillSansMT" w:cs="GillSansMT"/>
                <w:szCs w:val="22"/>
              </w:rPr>
              <w:t>he</w:t>
            </w:r>
            <w:r w:rsidR="006D0E96" w:rsidRPr="006D0E96">
              <w:rPr>
                <w:rFonts w:ascii="GillSansMT" w:eastAsiaTheme="minorHAnsi" w:hAnsi="GillSansMT" w:cs="GillSansMT"/>
                <w:szCs w:val="22"/>
              </w:rPr>
              <w:t xml:space="preserve"> </w:t>
            </w:r>
            <w:r w:rsidRPr="006D0E96">
              <w:rPr>
                <w:rFonts w:ascii="GillSansMT" w:eastAsiaTheme="minorHAnsi" w:hAnsi="GillSansMT" w:cs="GillSansMT"/>
                <w:szCs w:val="22"/>
              </w:rPr>
              <w:t>Unenclosed Moorland Hills Landscape Character Type is considered to have</w:t>
            </w:r>
            <w:r w:rsidR="006D0E96" w:rsidRPr="006D0E96">
              <w:rPr>
                <w:rFonts w:ascii="GillSansMT" w:eastAsiaTheme="minorHAnsi" w:hAnsi="GillSansMT" w:cs="GillSansMT"/>
                <w:szCs w:val="22"/>
              </w:rPr>
              <w:t xml:space="preserve"> </w:t>
            </w:r>
            <w:r w:rsidRPr="006D0E96">
              <w:rPr>
                <w:rFonts w:ascii="GillSansMT" w:eastAsiaTheme="minorHAnsi" w:hAnsi="GillSansMT" w:cs="GillSansMT"/>
                <w:szCs w:val="22"/>
              </w:rPr>
              <w:t>very high visual</w:t>
            </w:r>
            <w:r w:rsidR="006D0E96" w:rsidRPr="006D0E96">
              <w:rPr>
                <w:rFonts w:ascii="GillSansMT" w:eastAsiaTheme="minorHAnsi" w:hAnsi="GillSansMT" w:cs="GillSansMT"/>
                <w:szCs w:val="22"/>
              </w:rPr>
              <w:t xml:space="preserve"> </w:t>
            </w:r>
            <w:r w:rsidRPr="006D0E96">
              <w:rPr>
                <w:rFonts w:ascii="GillSansMT" w:eastAsiaTheme="minorHAnsi" w:hAnsi="GillSansMT" w:cs="GillSansMT"/>
                <w:szCs w:val="22"/>
              </w:rPr>
              <w:t>sensitivity overall, as a result of the strong sense of openness and</w:t>
            </w:r>
            <w:r w:rsidR="006D0E96" w:rsidRPr="006D0E96">
              <w:rPr>
                <w:rFonts w:ascii="GillSansMT" w:eastAsiaTheme="minorHAnsi" w:hAnsi="GillSansMT" w:cs="GillSansMT"/>
                <w:szCs w:val="22"/>
              </w:rPr>
              <w:t xml:space="preserve"> </w:t>
            </w:r>
            <w:r w:rsidRPr="006D0E96">
              <w:rPr>
                <w:rFonts w:ascii="GillSansMT" w:eastAsiaTheme="minorHAnsi" w:hAnsi="GillSansMT" w:cs="GillSansMT"/>
                <w:szCs w:val="22"/>
              </w:rPr>
              <w:t xml:space="preserve">generally uninterrupted skylines, </w:t>
            </w:r>
            <w:r w:rsidRPr="006D0E96">
              <w:rPr>
                <w:rFonts w:ascii="GillSansMT" w:eastAsiaTheme="minorHAnsi" w:hAnsi="GillSansMT" w:cs="GillSansMT"/>
                <w:szCs w:val="22"/>
              </w:rPr>
              <w:lastRenderedPageBreak/>
              <w:t>coupled with strong intervisibility with adjacent</w:t>
            </w:r>
            <w:r w:rsidR="006D0E96" w:rsidRPr="006D0E96">
              <w:rPr>
                <w:rFonts w:ascii="GillSansMT" w:eastAsiaTheme="minorHAnsi" w:hAnsi="GillSansMT" w:cs="GillSansMT"/>
                <w:szCs w:val="22"/>
              </w:rPr>
              <w:t xml:space="preserve"> </w:t>
            </w:r>
            <w:r w:rsidRPr="006D0E96">
              <w:rPr>
                <w:rFonts w:ascii="GillSansMT" w:eastAsiaTheme="minorHAnsi" w:hAnsi="GillSansMT" w:cs="GillSansMT"/>
                <w:szCs w:val="22"/>
              </w:rPr>
              <w:t>Landscape Character Types.</w:t>
            </w:r>
            <w:r w:rsidR="006D0E96" w:rsidRPr="006D0E96">
              <w:rPr>
                <w:rFonts w:ascii="GillSansMT" w:eastAsiaTheme="minorHAnsi" w:hAnsi="GillSansMT" w:cs="GillSansMT"/>
                <w:szCs w:val="22"/>
              </w:rPr>
              <w:t>’</w:t>
            </w:r>
            <w:r w:rsidR="006D0E96">
              <w:rPr>
                <w:rFonts w:ascii="GillSansMT" w:eastAsiaTheme="minorHAnsi" w:hAnsi="GillSansMT" w:cs="GillSansMT"/>
                <w:szCs w:val="22"/>
              </w:rPr>
              <w:t xml:space="preserve"> The AONB Landscape Character Assessment also states that, ‘</w:t>
            </w:r>
            <w:r w:rsidR="006D0E96" w:rsidRPr="00785752">
              <w:rPr>
                <w:rFonts w:ascii="GillSansMT" w:eastAsiaTheme="minorHAnsi" w:hAnsi="GillSansMT" w:cs="GillSansMT"/>
                <w:i/>
                <w:szCs w:val="22"/>
              </w:rPr>
              <w:t xml:space="preserve">in addition, there is a strong sense of remoteness and tranquillity throughout (only partially disturbed at times of shooting). Landscape Character Sensitivity is considered to be high. As a result, overall capacity to accommodate change, without compromising the key characteristics of this Landscape Character Type is considered to be very limited, apart from change which reinforces positive attributes, such as habitat </w:t>
            </w:r>
            <w:proofErr w:type="gramStart"/>
            <w:r w:rsidR="006D0E96" w:rsidRPr="00785752">
              <w:rPr>
                <w:rFonts w:ascii="GillSansMT" w:eastAsiaTheme="minorHAnsi" w:hAnsi="GillSansMT" w:cs="GillSansMT"/>
                <w:i/>
                <w:szCs w:val="22"/>
              </w:rPr>
              <w:t>enhancements’</w:t>
            </w:r>
            <w:proofErr w:type="gramEnd"/>
            <w:r w:rsidR="006D0E96">
              <w:rPr>
                <w:rFonts w:ascii="GillSansMT" w:eastAsiaTheme="minorHAnsi" w:hAnsi="GillSansMT" w:cs="GillSansMT"/>
                <w:szCs w:val="22"/>
              </w:rPr>
              <w:t>.</w:t>
            </w:r>
          </w:p>
          <w:p w14:paraId="388784E8" w14:textId="79650C38" w:rsidR="006D0E96" w:rsidRDefault="006D0E96" w:rsidP="006D0E96">
            <w:pPr>
              <w:overflowPunct/>
              <w:jc w:val="both"/>
              <w:textAlignment w:val="auto"/>
              <w:rPr>
                <w:rFonts w:ascii="GillSansMT" w:eastAsiaTheme="minorHAnsi" w:hAnsi="GillSansMT" w:cs="GillSansMT"/>
                <w:szCs w:val="22"/>
              </w:rPr>
            </w:pPr>
          </w:p>
          <w:p w14:paraId="37338DC4" w14:textId="053652E7" w:rsidR="00785752" w:rsidRDefault="00785752" w:rsidP="006D0E96">
            <w:pPr>
              <w:overflowPunct/>
              <w:jc w:val="both"/>
              <w:textAlignment w:val="auto"/>
              <w:rPr>
                <w:rFonts w:ascii="GillSansMT" w:eastAsiaTheme="minorHAnsi" w:hAnsi="GillSansMT" w:cs="GillSansMT"/>
                <w:szCs w:val="22"/>
              </w:rPr>
            </w:pPr>
            <w:r w:rsidRPr="00932B90">
              <w:rPr>
                <w:rFonts w:ascii="GillSansMT" w:eastAsiaTheme="minorHAnsi" w:hAnsi="GillSansMT" w:cs="GillSansMT"/>
                <w:szCs w:val="22"/>
              </w:rPr>
              <w:t>Regarding the detached holiday units, these would be afforded a high level of visibility and would fail to reflect local vernacular style in a highly sensitive landscape</w:t>
            </w:r>
            <w:r>
              <w:rPr>
                <w:rFonts w:ascii="GillSansMT" w:eastAsiaTheme="minorHAnsi" w:hAnsi="GillSansMT" w:cs="GillSansMT"/>
                <w:szCs w:val="22"/>
              </w:rPr>
              <w:t>. The AONB Partnership has objected to the application with specific reference to the impact of the detached units</w:t>
            </w:r>
            <w:r w:rsidR="00253079">
              <w:rPr>
                <w:rFonts w:ascii="GillSansMT" w:eastAsiaTheme="minorHAnsi" w:hAnsi="GillSansMT" w:cs="GillSansMT"/>
                <w:szCs w:val="22"/>
              </w:rPr>
              <w:t xml:space="preserve"> and failure of the applicant to adequately consider the likely visual and landscape impacts.</w:t>
            </w:r>
          </w:p>
          <w:p w14:paraId="54434623" w14:textId="77777777" w:rsidR="00785752" w:rsidRDefault="00785752" w:rsidP="006D0E96">
            <w:pPr>
              <w:overflowPunct/>
              <w:jc w:val="both"/>
              <w:textAlignment w:val="auto"/>
              <w:rPr>
                <w:rFonts w:ascii="GillSansMT" w:eastAsiaTheme="minorHAnsi" w:hAnsi="GillSansMT" w:cs="GillSansMT"/>
                <w:szCs w:val="22"/>
              </w:rPr>
            </w:pPr>
          </w:p>
          <w:p w14:paraId="02CE3C6B" w14:textId="7A89A5B9" w:rsidR="00253079" w:rsidRDefault="00253079" w:rsidP="00253079">
            <w:pPr>
              <w:overflowPunct/>
              <w:jc w:val="both"/>
              <w:textAlignment w:val="auto"/>
              <w:rPr>
                <w:rFonts w:ascii="GillSansMT" w:eastAsiaTheme="minorHAnsi" w:hAnsi="GillSansMT" w:cs="GillSansMT"/>
                <w:szCs w:val="22"/>
              </w:rPr>
            </w:pPr>
            <w:r>
              <w:rPr>
                <w:rFonts w:ascii="GillSansMT" w:eastAsiaTheme="minorHAnsi" w:hAnsi="GillSansMT" w:cs="GillSansMT"/>
                <w:szCs w:val="22"/>
              </w:rPr>
              <w:t xml:space="preserve">The proposed roof extension above the flat roof of the existing building does not raise any particular design concerns. However, the proposed pitched roof dormers and bulky, timber clad external stairway access at the roadside would be afforded high visibility from the highway and public footpaths. It is considered that these elements would result in a negative impact on the appearance of the building. </w:t>
            </w:r>
          </w:p>
          <w:p w14:paraId="3CF07DA2" w14:textId="77777777" w:rsidR="00253079" w:rsidRDefault="00253079" w:rsidP="00253079">
            <w:pPr>
              <w:overflowPunct/>
              <w:jc w:val="both"/>
              <w:textAlignment w:val="auto"/>
              <w:rPr>
                <w:rFonts w:ascii="GillSansMT" w:eastAsiaTheme="minorHAnsi" w:hAnsi="GillSansMT" w:cs="GillSansMT"/>
                <w:szCs w:val="22"/>
              </w:rPr>
            </w:pPr>
          </w:p>
          <w:p w14:paraId="7110827F" w14:textId="1DD8F511" w:rsidR="00253079" w:rsidRDefault="00253079" w:rsidP="00253079">
            <w:pPr>
              <w:overflowPunct/>
              <w:jc w:val="both"/>
              <w:textAlignment w:val="auto"/>
              <w:rPr>
                <w:rFonts w:ascii="GillSansMT" w:eastAsiaTheme="minorHAnsi" w:hAnsi="GillSansMT" w:cs="GillSansMT"/>
                <w:szCs w:val="22"/>
              </w:rPr>
            </w:pPr>
            <w:r>
              <w:rPr>
                <w:rFonts w:ascii="GillSansMT" w:eastAsiaTheme="minorHAnsi" w:hAnsi="GillSansMT" w:cs="GillSansMT"/>
                <w:szCs w:val="22"/>
              </w:rPr>
              <w:t>To the rear, the large-glazed dormers and balcony would also be highly visible and bulky additions to the rear roof slope, visible when approaching the building by car from both directions along Clitheroe Road. There would also be some long-distance views from the north-west.</w:t>
            </w:r>
          </w:p>
          <w:p w14:paraId="2F62B4A3" w14:textId="75FACA3D" w:rsidR="00785752" w:rsidRDefault="00785752" w:rsidP="006D0E96">
            <w:pPr>
              <w:overflowPunct/>
              <w:jc w:val="both"/>
              <w:textAlignment w:val="auto"/>
              <w:rPr>
                <w:rFonts w:ascii="GillSansMT" w:eastAsiaTheme="minorHAnsi" w:hAnsi="GillSansMT" w:cs="GillSansMT"/>
                <w:szCs w:val="22"/>
              </w:rPr>
            </w:pPr>
          </w:p>
          <w:p w14:paraId="3492BB27" w14:textId="538DBBD7" w:rsidR="00785752" w:rsidRDefault="00253079" w:rsidP="006D0E96">
            <w:pPr>
              <w:overflowPunct/>
              <w:jc w:val="both"/>
              <w:textAlignment w:val="auto"/>
              <w:rPr>
                <w:rFonts w:asciiTheme="minorHAnsi" w:hAnsiTheme="minorHAnsi" w:cstheme="minorHAnsi"/>
                <w:bCs/>
                <w:szCs w:val="22"/>
              </w:rPr>
            </w:pPr>
            <w:r>
              <w:rPr>
                <w:rFonts w:asciiTheme="minorHAnsi" w:hAnsiTheme="minorHAnsi" w:cstheme="minorHAnsi"/>
                <w:bCs/>
                <w:szCs w:val="22"/>
              </w:rPr>
              <w:t xml:space="preserve">Having regard to the above, </w:t>
            </w:r>
            <w:r w:rsidR="00785752" w:rsidRPr="00932B90">
              <w:rPr>
                <w:rFonts w:asciiTheme="minorHAnsi" w:hAnsiTheme="minorHAnsi" w:cstheme="minorHAnsi"/>
                <w:bCs/>
                <w:szCs w:val="22"/>
              </w:rPr>
              <w:t>the proposals are contrary to Key Statement EN2 and policies DMG1, DMG2 and DMB3 of the Core Strategy and paragraph 172 of the Framework.</w:t>
            </w:r>
          </w:p>
          <w:p w14:paraId="604EB69D" w14:textId="6DEEB365" w:rsidR="001678F9" w:rsidRPr="00932B90" w:rsidRDefault="001678F9" w:rsidP="002827FF">
            <w:pPr>
              <w:overflowPunct/>
              <w:jc w:val="both"/>
              <w:textAlignment w:val="auto"/>
              <w:rPr>
                <w:rFonts w:ascii="GillSansMT" w:eastAsiaTheme="minorHAnsi" w:hAnsi="GillSansMT" w:cs="GillSansMT"/>
                <w:szCs w:val="22"/>
              </w:rPr>
            </w:pPr>
          </w:p>
        </w:tc>
      </w:tr>
      <w:tr w:rsidR="001678F9" w:rsidRPr="002809CF" w14:paraId="1291B2C4"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4BC37C" w14:textId="77777777" w:rsidR="00F41667" w:rsidRPr="008601E6" w:rsidRDefault="00F41667" w:rsidP="00F41667">
            <w:pPr>
              <w:overflowPunct/>
              <w:jc w:val="both"/>
              <w:textAlignment w:val="auto"/>
              <w:rPr>
                <w:rFonts w:asciiTheme="minorHAnsi" w:eastAsiaTheme="minorHAnsi" w:hAnsiTheme="minorHAnsi" w:cs="Arial"/>
                <w:b/>
                <w:szCs w:val="22"/>
                <w:u w:val="single"/>
              </w:rPr>
            </w:pPr>
            <w:r w:rsidRPr="008601E6">
              <w:rPr>
                <w:rFonts w:asciiTheme="minorHAnsi" w:eastAsiaTheme="minorHAnsi" w:hAnsiTheme="minorHAnsi" w:cs="Arial"/>
                <w:b/>
                <w:szCs w:val="22"/>
                <w:u w:val="single"/>
              </w:rPr>
              <w:lastRenderedPageBreak/>
              <w:t>Other Considerations</w:t>
            </w:r>
          </w:p>
          <w:p w14:paraId="49CC2182" w14:textId="74ACD7E7" w:rsidR="001678F9" w:rsidRPr="008601E6" w:rsidRDefault="008601E6" w:rsidP="00932B90">
            <w:pPr>
              <w:overflowPunct/>
              <w:jc w:val="both"/>
              <w:textAlignment w:val="auto"/>
              <w:rPr>
                <w:rFonts w:asciiTheme="minorHAnsi" w:eastAsiaTheme="minorHAnsi" w:hAnsiTheme="minorHAnsi" w:cs="Arial"/>
                <w:szCs w:val="22"/>
              </w:rPr>
            </w:pPr>
            <w:r w:rsidRPr="008601E6">
              <w:rPr>
                <w:rFonts w:asciiTheme="minorHAnsi" w:eastAsiaTheme="minorHAnsi" w:hAnsiTheme="minorHAnsi" w:cs="Arial"/>
                <w:szCs w:val="22"/>
              </w:rPr>
              <w:t>The County Highways Officer has raised no objection to the proposals despite an overall reduction in parking provision at the site.</w:t>
            </w:r>
            <w:r w:rsidR="00253079">
              <w:rPr>
                <w:rFonts w:asciiTheme="minorHAnsi" w:eastAsiaTheme="minorHAnsi" w:hAnsiTheme="minorHAnsi" w:cs="Arial"/>
                <w:szCs w:val="22"/>
              </w:rPr>
              <w:t xml:space="preserve"> It is noted however that a number of parking spaces shown on the ‘proposed site’ plan are unusable, including spaces projecting onto the adjacent highway.</w:t>
            </w:r>
          </w:p>
          <w:p w14:paraId="05DE758F" w14:textId="77777777" w:rsidR="008601E6" w:rsidRPr="008601E6" w:rsidRDefault="008601E6" w:rsidP="00932B90">
            <w:pPr>
              <w:overflowPunct/>
              <w:jc w:val="both"/>
              <w:textAlignment w:val="auto"/>
              <w:rPr>
                <w:rFonts w:asciiTheme="minorHAnsi" w:eastAsiaTheme="minorHAnsi" w:hAnsiTheme="minorHAnsi" w:cstheme="minorHAnsi"/>
                <w:b/>
                <w:szCs w:val="22"/>
                <w:u w:val="single"/>
              </w:rPr>
            </w:pPr>
          </w:p>
          <w:p w14:paraId="201CE904" w14:textId="77777777" w:rsidR="008601E6" w:rsidRPr="008601E6" w:rsidRDefault="008601E6" w:rsidP="00932B90">
            <w:pPr>
              <w:overflowPunct/>
              <w:jc w:val="both"/>
              <w:textAlignment w:val="auto"/>
              <w:rPr>
                <w:rFonts w:asciiTheme="minorHAnsi" w:hAnsiTheme="minorHAnsi" w:cstheme="minorHAnsi"/>
                <w:szCs w:val="22"/>
                <w:lang w:eastAsia="en-GB"/>
              </w:rPr>
            </w:pPr>
            <w:r w:rsidRPr="008601E6">
              <w:rPr>
                <w:rFonts w:asciiTheme="minorHAnsi" w:hAnsiTheme="minorHAnsi" w:cstheme="minorHAnsi"/>
                <w:szCs w:val="22"/>
              </w:rPr>
              <w:t>The application is accompanied by bat/barn owl survey which found no evidence of bats within the building, with roosting potential considered to be negligible</w:t>
            </w:r>
            <w:r w:rsidRPr="005549CD">
              <w:rPr>
                <w:rFonts w:asciiTheme="minorHAnsi" w:hAnsiTheme="minorHAnsi" w:cstheme="minorHAnsi"/>
                <w:szCs w:val="22"/>
              </w:rPr>
              <w:t xml:space="preserve">. As such </w:t>
            </w:r>
            <w:r w:rsidRPr="005549CD">
              <w:rPr>
                <w:rFonts w:asciiTheme="minorHAnsi" w:hAnsiTheme="minorHAnsi" w:cstheme="minorHAnsi"/>
                <w:szCs w:val="22"/>
                <w:lang w:eastAsia="en-GB"/>
              </w:rPr>
              <w:t xml:space="preserve">the proposed works are unlikely to </w:t>
            </w:r>
            <w:r w:rsidRPr="008601E6">
              <w:rPr>
                <w:rFonts w:asciiTheme="minorHAnsi" w:hAnsiTheme="minorHAnsi" w:cstheme="minorHAnsi"/>
                <w:szCs w:val="22"/>
                <w:lang w:eastAsia="en-GB"/>
              </w:rPr>
              <w:t>cause disturbance to bats, result in the loss of a bat roost or cause injury or death to bats.</w:t>
            </w:r>
          </w:p>
          <w:p w14:paraId="0EE250D8" w14:textId="77777777" w:rsidR="008601E6" w:rsidRPr="008601E6" w:rsidRDefault="008601E6" w:rsidP="00932B90">
            <w:pPr>
              <w:overflowPunct/>
              <w:jc w:val="both"/>
              <w:textAlignment w:val="auto"/>
              <w:rPr>
                <w:rFonts w:asciiTheme="minorHAnsi" w:eastAsiaTheme="minorHAnsi" w:hAnsiTheme="minorHAnsi" w:cstheme="minorHAnsi"/>
                <w:b/>
                <w:szCs w:val="22"/>
                <w:u w:val="single"/>
              </w:rPr>
            </w:pPr>
          </w:p>
          <w:p w14:paraId="4BBEFEF2" w14:textId="5944321B" w:rsidR="008601E6" w:rsidRDefault="008601E6" w:rsidP="00932B90">
            <w:pPr>
              <w:overflowPunct/>
              <w:jc w:val="both"/>
              <w:textAlignment w:val="auto"/>
              <w:rPr>
                <w:rFonts w:asciiTheme="minorHAnsi" w:eastAsiaTheme="minorHAnsi" w:hAnsiTheme="minorHAnsi" w:cstheme="minorHAnsi"/>
                <w:bCs/>
                <w:szCs w:val="22"/>
              </w:rPr>
            </w:pPr>
            <w:r w:rsidRPr="008601E6">
              <w:rPr>
                <w:rFonts w:asciiTheme="minorHAnsi" w:eastAsiaTheme="minorHAnsi" w:hAnsiTheme="minorHAnsi" w:cstheme="minorHAnsi"/>
                <w:bCs/>
                <w:szCs w:val="22"/>
              </w:rPr>
              <w:t xml:space="preserve">Concerns have been raised relating to the capacity of the existing septic tank and the proximity of the development to site ownership boundary. </w:t>
            </w:r>
            <w:r w:rsidR="00253079">
              <w:rPr>
                <w:rFonts w:asciiTheme="minorHAnsi" w:eastAsiaTheme="minorHAnsi" w:hAnsiTheme="minorHAnsi" w:cstheme="minorHAnsi"/>
                <w:bCs/>
                <w:szCs w:val="22"/>
              </w:rPr>
              <w:t>Regarding the first point, the applicant has provided a response from the septic tank installer which states there is sufficient capacity within the existing septic tank to cater for the proposals. Regarding details of land ownership, the applicant(s) are satisfied that all land required to implement the proposals are within their ownership</w:t>
            </w:r>
            <w:r w:rsidR="00CD6877">
              <w:rPr>
                <w:rFonts w:asciiTheme="minorHAnsi" w:eastAsiaTheme="minorHAnsi" w:hAnsiTheme="minorHAnsi" w:cstheme="minorHAnsi"/>
                <w:bCs/>
                <w:szCs w:val="22"/>
              </w:rPr>
              <w:t xml:space="preserve">. </w:t>
            </w:r>
          </w:p>
          <w:p w14:paraId="002B275C" w14:textId="3DA3B0B6" w:rsidR="006063BD" w:rsidRPr="008601E6" w:rsidRDefault="006063BD" w:rsidP="00932B90">
            <w:pPr>
              <w:overflowPunct/>
              <w:jc w:val="both"/>
              <w:textAlignment w:val="auto"/>
              <w:rPr>
                <w:rFonts w:asciiTheme="minorHAnsi" w:eastAsiaTheme="minorHAnsi" w:hAnsiTheme="minorHAnsi" w:cstheme="minorHAnsi"/>
                <w:bCs/>
                <w:color w:val="FF0000"/>
                <w:szCs w:val="22"/>
              </w:rPr>
            </w:pPr>
          </w:p>
        </w:tc>
      </w:tr>
      <w:tr w:rsidR="001678F9" w:rsidRPr="002809CF" w14:paraId="68CED95C"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83C179" w14:textId="77777777" w:rsidR="001678F9" w:rsidRPr="00CD6877" w:rsidRDefault="001678F9" w:rsidP="001678F9">
            <w:pPr>
              <w:pStyle w:val="Default"/>
              <w:jc w:val="both"/>
              <w:rPr>
                <w:rFonts w:asciiTheme="minorHAnsi" w:hAnsiTheme="minorHAnsi" w:cstheme="minorHAnsi"/>
                <w:b/>
                <w:color w:val="auto"/>
                <w:sz w:val="22"/>
                <w:szCs w:val="22"/>
                <w:u w:val="single"/>
              </w:rPr>
            </w:pPr>
            <w:r w:rsidRPr="00CD6877">
              <w:rPr>
                <w:rFonts w:asciiTheme="minorHAnsi" w:hAnsiTheme="minorHAnsi" w:cstheme="minorHAnsi"/>
                <w:b/>
                <w:color w:val="auto"/>
                <w:sz w:val="22"/>
                <w:szCs w:val="22"/>
                <w:u w:val="single"/>
              </w:rPr>
              <w:t>Conclusion</w:t>
            </w:r>
          </w:p>
          <w:p w14:paraId="2BA236FA" w14:textId="0A21E734" w:rsidR="001678F9" w:rsidRPr="00CD6877" w:rsidRDefault="001678F9" w:rsidP="001678F9">
            <w:pPr>
              <w:contextualSpacing/>
              <w:jc w:val="both"/>
              <w:rPr>
                <w:rFonts w:asciiTheme="minorHAnsi" w:hAnsiTheme="minorHAnsi" w:cstheme="minorHAnsi"/>
                <w:bCs/>
                <w:szCs w:val="22"/>
              </w:rPr>
            </w:pPr>
            <w:r w:rsidRPr="00CD6877">
              <w:rPr>
                <w:rFonts w:asciiTheme="minorHAnsi" w:hAnsiTheme="minorHAnsi" w:cstheme="minorHAnsi"/>
                <w:bCs/>
                <w:szCs w:val="22"/>
              </w:rPr>
              <w:t xml:space="preserve">Taking into account all of the above, it is considered that the proposals would result in undue visual </w:t>
            </w:r>
            <w:r w:rsidR="00326058" w:rsidRPr="00CD6877">
              <w:rPr>
                <w:rFonts w:asciiTheme="minorHAnsi" w:hAnsiTheme="minorHAnsi" w:cstheme="minorHAnsi"/>
                <w:bCs/>
                <w:szCs w:val="22"/>
              </w:rPr>
              <w:t>and</w:t>
            </w:r>
            <w:r w:rsidRPr="00CD6877">
              <w:rPr>
                <w:rFonts w:asciiTheme="minorHAnsi" w:hAnsiTheme="minorHAnsi" w:cstheme="minorHAnsi"/>
                <w:bCs/>
                <w:szCs w:val="22"/>
              </w:rPr>
              <w:t xml:space="preserve"> landscape impacts</w:t>
            </w:r>
            <w:r w:rsidR="00326058" w:rsidRPr="00CD6877">
              <w:rPr>
                <w:rFonts w:asciiTheme="minorHAnsi" w:hAnsiTheme="minorHAnsi" w:cstheme="minorHAnsi"/>
                <w:bCs/>
                <w:szCs w:val="22"/>
              </w:rPr>
              <w:t>, failing to conserve and enhance landscape and scenic beauty</w:t>
            </w:r>
            <w:r w:rsidRPr="00CD6877">
              <w:rPr>
                <w:rFonts w:asciiTheme="minorHAnsi" w:hAnsiTheme="minorHAnsi" w:cstheme="minorHAnsi"/>
                <w:bCs/>
                <w:szCs w:val="22"/>
              </w:rPr>
              <w:t xml:space="preserve">. </w:t>
            </w:r>
          </w:p>
          <w:p w14:paraId="0923CFCB" w14:textId="77777777" w:rsidR="001678F9" w:rsidRPr="00CD6877" w:rsidRDefault="001678F9" w:rsidP="001678F9">
            <w:pPr>
              <w:contextualSpacing/>
              <w:jc w:val="both"/>
              <w:rPr>
                <w:rFonts w:asciiTheme="minorHAnsi" w:hAnsiTheme="minorHAnsi" w:cstheme="minorHAnsi"/>
                <w:bCs/>
                <w:szCs w:val="22"/>
              </w:rPr>
            </w:pPr>
          </w:p>
          <w:p w14:paraId="3DE75059" w14:textId="20F82615" w:rsidR="001678F9" w:rsidRPr="00CD6877" w:rsidRDefault="001678F9" w:rsidP="001678F9">
            <w:pPr>
              <w:overflowPunct/>
              <w:jc w:val="both"/>
              <w:textAlignment w:val="auto"/>
              <w:rPr>
                <w:rFonts w:asciiTheme="minorHAnsi" w:hAnsiTheme="minorHAnsi" w:cstheme="minorHAnsi"/>
                <w:bCs/>
                <w:szCs w:val="22"/>
              </w:rPr>
            </w:pPr>
            <w:r w:rsidRPr="00CD6877">
              <w:rPr>
                <w:rFonts w:asciiTheme="minorHAnsi" w:hAnsiTheme="minorHAnsi" w:cstheme="minorHAnsi"/>
                <w:bCs/>
                <w:szCs w:val="22"/>
              </w:rPr>
              <w:t xml:space="preserve">It is recommended that the application be </w:t>
            </w:r>
            <w:r w:rsidR="00326058" w:rsidRPr="00CD6877">
              <w:rPr>
                <w:rFonts w:asciiTheme="minorHAnsi" w:hAnsiTheme="minorHAnsi" w:cstheme="minorHAnsi"/>
                <w:bCs/>
                <w:szCs w:val="22"/>
              </w:rPr>
              <w:t>refused</w:t>
            </w:r>
            <w:r w:rsidRPr="00CD6877">
              <w:rPr>
                <w:rFonts w:asciiTheme="minorHAnsi" w:hAnsiTheme="minorHAnsi" w:cstheme="minorHAnsi"/>
                <w:bCs/>
                <w:szCs w:val="22"/>
              </w:rPr>
              <w:t>.</w:t>
            </w:r>
          </w:p>
          <w:p w14:paraId="6E02499C" w14:textId="77777777" w:rsidR="001678F9" w:rsidRPr="00CD6877" w:rsidRDefault="001678F9" w:rsidP="001678F9">
            <w:pPr>
              <w:overflowPunct/>
              <w:jc w:val="both"/>
              <w:textAlignment w:val="auto"/>
              <w:rPr>
                <w:rFonts w:asciiTheme="minorHAnsi" w:eastAsiaTheme="minorHAnsi" w:hAnsiTheme="minorHAnsi" w:cs="Arial"/>
                <w:b/>
                <w:szCs w:val="22"/>
                <w:u w:val="single"/>
              </w:rPr>
            </w:pPr>
          </w:p>
        </w:tc>
      </w:tr>
      <w:tr w:rsidR="00326058" w14:paraId="5B0C40D0" w14:textId="77777777" w:rsidTr="00326058">
        <w:trPr>
          <w:jc w:val="center"/>
        </w:trPr>
        <w:tc>
          <w:tcPr>
            <w:tcW w:w="28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67CCF6B9" w14:textId="77777777" w:rsidR="00326058" w:rsidRPr="00CD6877" w:rsidRDefault="00326058">
            <w:pPr>
              <w:rPr>
                <w:rFonts w:asciiTheme="minorHAnsi" w:hAnsiTheme="minorHAnsi" w:cstheme="minorHAnsi"/>
                <w:b/>
                <w:bCs/>
              </w:rPr>
            </w:pPr>
            <w:r w:rsidRPr="00CD6877">
              <w:rPr>
                <w:rFonts w:asciiTheme="minorHAnsi" w:hAnsiTheme="minorHAnsi" w:cstheme="minorHAnsi"/>
                <w:b/>
              </w:rPr>
              <w:t>RECOMMENDATION</w:t>
            </w:r>
            <w:r w:rsidRPr="00CD6877">
              <w:rPr>
                <w:rFonts w:asciiTheme="minorHAnsi" w:hAnsiTheme="minorHAnsi" w:cstheme="minorHAnsi"/>
              </w:rPr>
              <w:t>:</w:t>
            </w:r>
          </w:p>
        </w:tc>
        <w:tc>
          <w:tcPr>
            <w:tcW w:w="648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D21F6F7" w14:textId="77777777" w:rsidR="00326058" w:rsidRPr="00CD6877" w:rsidRDefault="00326058">
            <w:pPr>
              <w:rPr>
                <w:rFonts w:asciiTheme="minorHAnsi" w:hAnsiTheme="minorHAnsi" w:cstheme="minorHAnsi"/>
                <w:bCs/>
              </w:rPr>
            </w:pPr>
            <w:r w:rsidRPr="00CD6877">
              <w:rPr>
                <w:rFonts w:asciiTheme="minorHAnsi" w:hAnsiTheme="minorHAnsi" w:cstheme="minorHAnsi"/>
                <w:bCs/>
              </w:rPr>
              <w:t>That planning consent be refused for the following reasons:</w:t>
            </w:r>
          </w:p>
        </w:tc>
      </w:tr>
      <w:tr w:rsidR="00326058" w14:paraId="4D9910DA" w14:textId="77777777" w:rsidTr="00326058">
        <w:trPr>
          <w:jc w:val="center"/>
        </w:trPr>
        <w:tc>
          <w:tcPr>
            <w:tcW w:w="928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27A9BE33" w14:textId="5C3E2795" w:rsidR="00CD6877" w:rsidRPr="00CD6877" w:rsidRDefault="00CD6877" w:rsidP="00CD6877">
            <w:pPr>
              <w:pStyle w:val="ListParagraph"/>
              <w:numPr>
                <w:ilvl w:val="0"/>
                <w:numId w:val="17"/>
              </w:numPr>
              <w:textAlignment w:val="auto"/>
              <w:rPr>
                <w:rFonts w:asciiTheme="minorHAnsi" w:hAnsiTheme="minorHAnsi" w:cstheme="minorHAnsi"/>
              </w:rPr>
            </w:pPr>
            <w:r w:rsidRPr="00CD6877">
              <w:rPr>
                <w:rFonts w:asciiTheme="minorHAnsi" w:hAnsiTheme="minorHAnsi" w:cstheme="minorHAnsi"/>
              </w:rPr>
              <w:t xml:space="preserve">The proposal, by virtue of its siting, design, external appearance and scale, would result in a prominent and incongruous form of development that fails to respond positively to or enhance the immediate context, being of detriment to the visual amenity and landscape character of the Area of Outstanding Natural Beauty </w:t>
            </w:r>
            <w:r w:rsidRPr="00CD6877">
              <w:rPr>
                <w:rFonts w:asciiTheme="minorHAnsi" w:hAnsiTheme="minorHAnsi" w:cstheme="minorHAnsi"/>
                <w:bCs/>
              </w:rPr>
              <w:t xml:space="preserve">contrary to </w:t>
            </w:r>
            <w:r w:rsidRPr="00CD6877">
              <w:rPr>
                <w:rFonts w:asciiTheme="minorHAnsi" w:eastAsia="Calibri" w:hAnsiTheme="minorHAnsi" w:cstheme="minorHAnsi"/>
              </w:rPr>
              <w:t xml:space="preserve">Core Strategy Key Statement EN2 and Policies DMG1, DMG2 and DMB3 </w:t>
            </w:r>
            <w:r w:rsidRPr="00CD6877">
              <w:rPr>
                <w:rFonts w:asciiTheme="minorHAnsi" w:hAnsiTheme="minorHAnsi" w:cstheme="minorHAnsi"/>
                <w:bCs/>
              </w:rPr>
              <w:t>and paragraph 172 of the NPPF.</w:t>
            </w:r>
          </w:p>
          <w:p w14:paraId="7F7E344F" w14:textId="77777777" w:rsidR="00CD6877" w:rsidRPr="00CD6877" w:rsidRDefault="00CD6877" w:rsidP="00CD6877">
            <w:pPr>
              <w:textAlignment w:val="auto"/>
              <w:rPr>
                <w:rFonts w:asciiTheme="minorHAnsi" w:hAnsiTheme="minorHAnsi" w:cstheme="minorHAnsi"/>
                <w:bCs/>
              </w:rPr>
            </w:pPr>
          </w:p>
          <w:p w14:paraId="001F58AA" w14:textId="76A86DEF" w:rsidR="00253079" w:rsidRPr="00CD6877" w:rsidRDefault="00253079" w:rsidP="00253079">
            <w:pPr>
              <w:pStyle w:val="ListParagraph"/>
              <w:textAlignment w:val="auto"/>
              <w:rPr>
                <w:rFonts w:asciiTheme="minorHAnsi" w:hAnsiTheme="minorHAnsi" w:cstheme="minorHAnsi"/>
                <w:bCs/>
              </w:rPr>
            </w:pPr>
          </w:p>
        </w:tc>
      </w:tr>
    </w:tbl>
    <w:p w14:paraId="48CE9BF3" w14:textId="77777777" w:rsidR="0031197A" w:rsidRPr="00D2449B" w:rsidRDefault="0070032D">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A42C6E"/>
    <w:multiLevelType w:val="hybridMultilevel"/>
    <w:tmpl w:val="384C45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2"/>
  </w:num>
  <w:num w:numId="4">
    <w:abstractNumId w:val="5"/>
  </w:num>
  <w:num w:numId="5">
    <w:abstractNumId w:val="4"/>
  </w:num>
  <w:num w:numId="6">
    <w:abstractNumId w:val="10"/>
  </w:num>
  <w:num w:numId="7">
    <w:abstractNumId w:val="3"/>
  </w:num>
  <w:num w:numId="8">
    <w:abstractNumId w:val="7"/>
  </w:num>
  <w:num w:numId="9">
    <w:abstractNumId w:val="0"/>
  </w:num>
  <w:num w:numId="10">
    <w:abstractNumId w:val="15"/>
  </w:num>
  <w:num w:numId="11">
    <w:abstractNumId w:val="1"/>
  </w:num>
  <w:num w:numId="12">
    <w:abstractNumId w:val="13"/>
  </w:num>
  <w:num w:numId="13">
    <w:abstractNumId w:val="11"/>
  </w:num>
  <w:num w:numId="14">
    <w:abstractNumId w:val="2"/>
  </w:num>
  <w:num w:numId="15">
    <w:abstractNumId w:val="9"/>
  </w:num>
  <w:num w:numId="16">
    <w:abstractNumId w:va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05477"/>
    <w:rsid w:val="000126BC"/>
    <w:rsid w:val="00012EDE"/>
    <w:rsid w:val="000150DB"/>
    <w:rsid w:val="00017E90"/>
    <w:rsid w:val="0002429E"/>
    <w:rsid w:val="0002776A"/>
    <w:rsid w:val="0003161C"/>
    <w:rsid w:val="000368C1"/>
    <w:rsid w:val="00055149"/>
    <w:rsid w:val="0008529C"/>
    <w:rsid w:val="00094524"/>
    <w:rsid w:val="000A15E0"/>
    <w:rsid w:val="000A1B42"/>
    <w:rsid w:val="000A1BF2"/>
    <w:rsid w:val="000B4DDA"/>
    <w:rsid w:val="000B7B43"/>
    <w:rsid w:val="000C6DEE"/>
    <w:rsid w:val="000C7298"/>
    <w:rsid w:val="000D37AD"/>
    <w:rsid w:val="000E2190"/>
    <w:rsid w:val="000E506F"/>
    <w:rsid w:val="001049FF"/>
    <w:rsid w:val="00107606"/>
    <w:rsid w:val="001203C7"/>
    <w:rsid w:val="001209CC"/>
    <w:rsid w:val="001255CE"/>
    <w:rsid w:val="00130EA4"/>
    <w:rsid w:val="00130F61"/>
    <w:rsid w:val="001469DF"/>
    <w:rsid w:val="00151246"/>
    <w:rsid w:val="001678F9"/>
    <w:rsid w:val="0017422B"/>
    <w:rsid w:val="0017619D"/>
    <w:rsid w:val="00176972"/>
    <w:rsid w:val="00177974"/>
    <w:rsid w:val="00182039"/>
    <w:rsid w:val="00185AEF"/>
    <w:rsid w:val="00190B38"/>
    <w:rsid w:val="00191305"/>
    <w:rsid w:val="00191BE5"/>
    <w:rsid w:val="00193093"/>
    <w:rsid w:val="00195110"/>
    <w:rsid w:val="001A12BA"/>
    <w:rsid w:val="001B1D57"/>
    <w:rsid w:val="001C0315"/>
    <w:rsid w:val="001C68B9"/>
    <w:rsid w:val="001D10FA"/>
    <w:rsid w:val="001D486D"/>
    <w:rsid w:val="001D4F7A"/>
    <w:rsid w:val="001D5BEB"/>
    <w:rsid w:val="001F1D2C"/>
    <w:rsid w:val="001F4F72"/>
    <w:rsid w:val="001F51A2"/>
    <w:rsid w:val="00202F97"/>
    <w:rsid w:val="00212077"/>
    <w:rsid w:val="00217CC0"/>
    <w:rsid w:val="00224D60"/>
    <w:rsid w:val="00233B0B"/>
    <w:rsid w:val="00234341"/>
    <w:rsid w:val="002348DB"/>
    <w:rsid w:val="00234B44"/>
    <w:rsid w:val="00237A39"/>
    <w:rsid w:val="002410E5"/>
    <w:rsid w:val="00242567"/>
    <w:rsid w:val="002453B4"/>
    <w:rsid w:val="00250879"/>
    <w:rsid w:val="00253079"/>
    <w:rsid w:val="00255242"/>
    <w:rsid w:val="00257650"/>
    <w:rsid w:val="00261582"/>
    <w:rsid w:val="00280206"/>
    <w:rsid w:val="002809CF"/>
    <w:rsid w:val="002827FF"/>
    <w:rsid w:val="0029334A"/>
    <w:rsid w:val="002A01CF"/>
    <w:rsid w:val="002B1E6A"/>
    <w:rsid w:val="002C539A"/>
    <w:rsid w:val="002D07D8"/>
    <w:rsid w:val="002D66DB"/>
    <w:rsid w:val="002E1BA8"/>
    <w:rsid w:val="002F0904"/>
    <w:rsid w:val="00303DFB"/>
    <w:rsid w:val="0032069A"/>
    <w:rsid w:val="003240E6"/>
    <w:rsid w:val="00326058"/>
    <w:rsid w:val="00330548"/>
    <w:rsid w:val="00340A3E"/>
    <w:rsid w:val="003413D4"/>
    <w:rsid w:val="00357317"/>
    <w:rsid w:val="00360664"/>
    <w:rsid w:val="00370196"/>
    <w:rsid w:val="00381BC7"/>
    <w:rsid w:val="00382EA8"/>
    <w:rsid w:val="003851E1"/>
    <w:rsid w:val="003866DD"/>
    <w:rsid w:val="003A2660"/>
    <w:rsid w:val="003A4017"/>
    <w:rsid w:val="003B0784"/>
    <w:rsid w:val="003B214B"/>
    <w:rsid w:val="003B3AEE"/>
    <w:rsid w:val="003C4499"/>
    <w:rsid w:val="003D0736"/>
    <w:rsid w:val="003E61A3"/>
    <w:rsid w:val="003E70F2"/>
    <w:rsid w:val="003F0C1C"/>
    <w:rsid w:val="003F102D"/>
    <w:rsid w:val="003F76F8"/>
    <w:rsid w:val="004030C0"/>
    <w:rsid w:val="00405F61"/>
    <w:rsid w:val="00410606"/>
    <w:rsid w:val="004120B2"/>
    <w:rsid w:val="004143FD"/>
    <w:rsid w:val="004149FF"/>
    <w:rsid w:val="004226C7"/>
    <w:rsid w:val="0043253F"/>
    <w:rsid w:val="00441C8F"/>
    <w:rsid w:val="00471A14"/>
    <w:rsid w:val="00471BB5"/>
    <w:rsid w:val="00476243"/>
    <w:rsid w:val="00491E19"/>
    <w:rsid w:val="00492970"/>
    <w:rsid w:val="004A31F6"/>
    <w:rsid w:val="004A5EA9"/>
    <w:rsid w:val="004A6EE1"/>
    <w:rsid w:val="004B670A"/>
    <w:rsid w:val="004B680D"/>
    <w:rsid w:val="004C2434"/>
    <w:rsid w:val="004C4E68"/>
    <w:rsid w:val="004D2EFE"/>
    <w:rsid w:val="004F0649"/>
    <w:rsid w:val="004F1555"/>
    <w:rsid w:val="004F710B"/>
    <w:rsid w:val="00501010"/>
    <w:rsid w:val="005024F0"/>
    <w:rsid w:val="005121D7"/>
    <w:rsid w:val="00515DD7"/>
    <w:rsid w:val="00531814"/>
    <w:rsid w:val="00532612"/>
    <w:rsid w:val="00554D6C"/>
    <w:rsid w:val="00560933"/>
    <w:rsid w:val="00561950"/>
    <w:rsid w:val="00566B2B"/>
    <w:rsid w:val="00581171"/>
    <w:rsid w:val="00586697"/>
    <w:rsid w:val="005A3DDB"/>
    <w:rsid w:val="005A7AE9"/>
    <w:rsid w:val="005B1E7A"/>
    <w:rsid w:val="005C5D83"/>
    <w:rsid w:val="005E28A6"/>
    <w:rsid w:val="005E46B8"/>
    <w:rsid w:val="005E531A"/>
    <w:rsid w:val="005E5723"/>
    <w:rsid w:val="005E57A7"/>
    <w:rsid w:val="005E61FF"/>
    <w:rsid w:val="005E65DF"/>
    <w:rsid w:val="005E6D58"/>
    <w:rsid w:val="005E7358"/>
    <w:rsid w:val="005E7C4C"/>
    <w:rsid w:val="005F0294"/>
    <w:rsid w:val="00600171"/>
    <w:rsid w:val="006063BD"/>
    <w:rsid w:val="00606D07"/>
    <w:rsid w:val="0061567C"/>
    <w:rsid w:val="00617A5D"/>
    <w:rsid w:val="00624257"/>
    <w:rsid w:val="00630780"/>
    <w:rsid w:val="006347B8"/>
    <w:rsid w:val="00641DD1"/>
    <w:rsid w:val="00647ABB"/>
    <w:rsid w:val="006521CD"/>
    <w:rsid w:val="0066213A"/>
    <w:rsid w:val="00672354"/>
    <w:rsid w:val="006732FB"/>
    <w:rsid w:val="00676C49"/>
    <w:rsid w:val="00683703"/>
    <w:rsid w:val="00692B60"/>
    <w:rsid w:val="006A0318"/>
    <w:rsid w:val="006A1776"/>
    <w:rsid w:val="006C0EBD"/>
    <w:rsid w:val="006C2BFA"/>
    <w:rsid w:val="006C3934"/>
    <w:rsid w:val="006C4428"/>
    <w:rsid w:val="006D021C"/>
    <w:rsid w:val="006D0E96"/>
    <w:rsid w:val="006D5183"/>
    <w:rsid w:val="006E6684"/>
    <w:rsid w:val="006E6AEB"/>
    <w:rsid w:val="006F6158"/>
    <w:rsid w:val="0070032D"/>
    <w:rsid w:val="0070054B"/>
    <w:rsid w:val="00701178"/>
    <w:rsid w:val="00704F9A"/>
    <w:rsid w:val="00720065"/>
    <w:rsid w:val="00721F97"/>
    <w:rsid w:val="0073007F"/>
    <w:rsid w:val="00734B57"/>
    <w:rsid w:val="007367A9"/>
    <w:rsid w:val="00745BA2"/>
    <w:rsid w:val="00746E38"/>
    <w:rsid w:val="00756FA4"/>
    <w:rsid w:val="007624B7"/>
    <w:rsid w:val="00776AE2"/>
    <w:rsid w:val="00785752"/>
    <w:rsid w:val="007A024C"/>
    <w:rsid w:val="007A4325"/>
    <w:rsid w:val="007B2C66"/>
    <w:rsid w:val="007D3C70"/>
    <w:rsid w:val="007D4193"/>
    <w:rsid w:val="007D5C82"/>
    <w:rsid w:val="007D5CC5"/>
    <w:rsid w:val="007D7DF4"/>
    <w:rsid w:val="007E0D23"/>
    <w:rsid w:val="007E4B28"/>
    <w:rsid w:val="007E5BC5"/>
    <w:rsid w:val="007F5FB6"/>
    <w:rsid w:val="007F6A0A"/>
    <w:rsid w:val="007F6B84"/>
    <w:rsid w:val="00800D89"/>
    <w:rsid w:val="00802DFD"/>
    <w:rsid w:val="00805B48"/>
    <w:rsid w:val="008069AA"/>
    <w:rsid w:val="0081124A"/>
    <w:rsid w:val="008115AF"/>
    <w:rsid w:val="00814B26"/>
    <w:rsid w:val="00825593"/>
    <w:rsid w:val="00832119"/>
    <w:rsid w:val="00834430"/>
    <w:rsid w:val="00851AD5"/>
    <w:rsid w:val="00853327"/>
    <w:rsid w:val="008601E6"/>
    <w:rsid w:val="008705E5"/>
    <w:rsid w:val="00870B9E"/>
    <w:rsid w:val="008744C6"/>
    <w:rsid w:val="00874EB1"/>
    <w:rsid w:val="008A1FA5"/>
    <w:rsid w:val="008A28C8"/>
    <w:rsid w:val="008A32DE"/>
    <w:rsid w:val="008E0710"/>
    <w:rsid w:val="00900C65"/>
    <w:rsid w:val="009144F5"/>
    <w:rsid w:val="00921183"/>
    <w:rsid w:val="0092562C"/>
    <w:rsid w:val="00927477"/>
    <w:rsid w:val="00927663"/>
    <w:rsid w:val="00930427"/>
    <w:rsid w:val="00931BDA"/>
    <w:rsid w:val="00932B90"/>
    <w:rsid w:val="00941E71"/>
    <w:rsid w:val="009457A2"/>
    <w:rsid w:val="00954D09"/>
    <w:rsid w:val="009628BC"/>
    <w:rsid w:val="00963D4D"/>
    <w:rsid w:val="009659CE"/>
    <w:rsid w:val="00975C9D"/>
    <w:rsid w:val="00977E73"/>
    <w:rsid w:val="009827FD"/>
    <w:rsid w:val="009A11DF"/>
    <w:rsid w:val="009A7561"/>
    <w:rsid w:val="009B409E"/>
    <w:rsid w:val="009B48E6"/>
    <w:rsid w:val="009B550D"/>
    <w:rsid w:val="009B67A0"/>
    <w:rsid w:val="009C5680"/>
    <w:rsid w:val="009C7066"/>
    <w:rsid w:val="009E51E2"/>
    <w:rsid w:val="009E5B3B"/>
    <w:rsid w:val="009F0AD0"/>
    <w:rsid w:val="009F2A98"/>
    <w:rsid w:val="00A05183"/>
    <w:rsid w:val="00A0745C"/>
    <w:rsid w:val="00A1109F"/>
    <w:rsid w:val="00A14F47"/>
    <w:rsid w:val="00A1592E"/>
    <w:rsid w:val="00A2001E"/>
    <w:rsid w:val="00A20E29"/>
    <w:rsid w:val="00A22554"/>
    <w:rsid w:val="00A30759"/>
    <w:rsid w:val="00A41CBF"/>
    <w:rsid w:val="00A512F1"/>
    <w:rsid w:val="00A56821"/>
    <w:rsid w:val="00A579BB"/>
    <w:rsid w:val="00A63D55"/>
    <w:rsid w:val="00A72749"/>
    <w:rsid w:val="00A824B2"/>
    <w:rsid w:val="00A83783"/>
    <w:rsid w:val="00A95D89"/>
    <w:rsid w:val="00AA03AF"/>
    <w:rsid w:val="00AA2484"/>
    <w:rsid w:val="00AB35FC"/>
    <w:rsid w:val="00AB39C9"/>
    <w:rsid w:val="00AB6F91"/>
    <w:rsid w:val="00AC1360"/>
    <w:rsid w:val="00AC3F07"/>
    <w:rsid w:val="00AD20A4"/>
    <w:rsid w:val="00AD717C"/>
    <w:rsid w:val="00AE2A3F"/>
    <w:rsid w:val="00AF6061"/>
    <w:rsid w:val="00B031FD"/>
    <w:rsid w:val="00B05276"/>
    <w:rsid w:val="00B0607D"/>
    <w:rsid w:val="00B149C8"/>
    <w:rsid w:val="00B15499"/>
    <w:rsid w:val="00B20FD0"/>
    <w:rsid w:val="00B222F7"/>
    <w:rsid w:val="00B47173"/>
    <w:rsid w:val="00B539CF"/>
    <w:rsid w:val="00B56EE5"/>
    <w:rsid w:val="00B71CF6"/>
    <w:rsid w:val="00B83410"/>
    <w:rsid w:val="00B900C0"/>
    <w:rsid w:val="00BA56E1"/>
    <w:rsid w:val="00BB60AE"/>
    <w:rsid w:val="00BC6256"/>
    <w:rsid w:val="00BC7EC0"/>
    <w:rsid w:val="00BD3F03"/>
    <w:rsid w:val="00BE6631"/>
    <w:rsid w:val="00BF16AC"/>
    <w:rsid w:val="00BF6740"/>
    <w:rsid w:val="00C169E6"/>
    <w:rsid w:val="00C20575"/>
    <w:rsid w:val="00C21529"/>
    <w:rsid w:val="00C32539"/>
    <w:rsid w:val="00C32E6B"/>
    <w:rsid w:val="00C3488E"/>
    <w:rsid w:val="00C46191"/>
    <w:rsid w:val="00C55E69"/>
    <w:rsid w:val="00C618DB"/>
    <w:rsid w:val="00C620CA"/>
    <w:rsid w:val="00C6539A"/>
    <w:rsid w:val="00C71711"/>
    <w:rsid w:val="00C73F50"/>
    <w:rsid w:val="00C800AE"/>
    <w:rsid w:val="00C85610"/>
    <w:rsid w:val="00C87589"/>
    <w:rsid w:val="00CA2984"/>
    <w:rsid w:val="00CB53D5"/>
    <w:rsid w:val="00CD1AF1"/>
    <w:rsid w:val="00CD6877"/>
    <w:rsid w:val="00CE2EA7"/>
    <w:rsid w:val="00CE4790"/>
    <w:rsid w:val="00CE6501"/>
    <w:rsid w:val="00CF086A"/>
    <w:rsid w:val="00CF6BDD"/>
    <w:rsid w:val="00D11007"/>
    <w:rsid w:val="00D138D0"/>
    <w:rsid w:val="00D2449B"/>
    <w:rsid w:val="00D33078"/>
    <w:rsid w:val="00D40208"/>
    <w:rsid w:val="00D40B6F"/>
    <w:rsid w:val="00D41C8B"/>
    <w:rsid w:val="00D43F81"/>
    <w:rsid w:val="00D52D6D"/>
    <w:rsid w:val="00D559BF"/>
    <w:rsid w:val="00D633E4"/>
    <w:rsid w:val="00D650D0"/>
    <w:rsid w:val="00D70AE4"/>
    <w:rsid w:val="00D7368F"/>
    <w:rsid w:val="00D84478"/>
    <w:rsid w:val="00D87A1F"/>
    <w:rsid w:val="00D95F52"/>
    <w:rsid w:val="00DA0F2A"/>
    <w:rsid w:val="00DA3722"/>
    <w:rsid w:val="00DB2BF5"/>
    <w:rsid w:val="00DB780D"/>
    <w:rsid w:val="00DC1569"/>
    <w:rsid w:val="00DC3642"/>
    <w:rsid w:val="00DD62F6"/>
    <w:rsid w:val="00DE309D"/>
    <w:rsid w:val="00DE56DF"/>
    <w:rsid w:val="00DF1B6F"/>
    <w:rsid w:val="00DF2AE9"/>
    <w:rsid w:val="00DF2F39"/>
    <w:rsid w:val="00E10C37"/>
    <w:rsid w:val="00E13979"/>
    <w:rsid w:val="00E14E1B"/>
    <w:rsid w:val="00E241B0"/>
    <w:rsid w:val="00E30B8F"/>
    <w:rsid w:val="00E336EF"/>
    <w:rsid w:val="00E41462"/>
    <w:rsid w:val="00E43A71"/>
    <w:rsid w:val="00E542DD"/>
    <w:rsid w:val="00E60D94"/>
    <w:rsid w:val="00E66534"/>
    <w:rsid w:val="00E74A72"/>
    <w:rsid w:val="00E8224C"/>
    <w:rsid w:val="00E95525"/>
    <w:rsid w:val="00E97502"/>
    <w:rsid w:val="00EA09F9"/>
    <w:rsid w:val="00EA1B54"/>
    <w:rsid w:val="00EA22EB"/>
    <w:rsid w:val="00EA29F8"/>
    <w:rsid w:val="00EB0809"/>
    <w:rsid w:val="00EB6D41"/>
    <w:rsid w:val="00EB7095"/>
    <w:rsid w:val="00EC23C7"/>
    <w:rsid w:val="00ED212D"/>
    <w:rsid w:val="00EE00A3"/>
    <w:rsid w:val="00EE6E46"/>
    <w:rsid w:val="00EF2F6D"/>
    <w:rsid w:val="00EF6D88"/>
    <w:rsid w:val="00F00135"/>
    <w:rsid w:val="00F03026"/>
    <w:rsid w:val="00F125CE"/>
    <w:rsid w:val="00F13667"/>
    <w:rsid w:val="00F1744B"/>
    <w:rsid w:val="00F22639"/>
    <w:rsid w:val="00F2336E"/>
    <w:rsid w:val="00F2589A"/>
    <w:rsid w:val="00F32421"/>
    <w:rsid w:val="00F34921"/>
    <w:rsid w:val="00F34C5B"/>
    <w:rsid w:val="00F41667"/>
    <w:rsid w:val="00F43A94"/>
    <w:rsid w:val="00F4735E"/>
    <w:rsid w:val="00F530DB"/>
    <w:rsid w:val="00F66C9B"/>
    <w:rsid w:val="00F710BA"/>
    <w:rsid w:val="00F74726"/>
    <w:rsid w:val="00F83D27"/>
    <w:rsid w:val="00F961D4"/>
    <w:rsid w:val="00FA63E0"/>
    <w:rsid w:val="00FA6F0F"/>
    <w:rsid w:val="00FA7333"/>
    <w:rsid w:val="00FB1645"/>
    <w:rsid w:val="00FB26F1"/>
    <w:rsid w:val="00FC28CA"/>
    <w:rsid w:val="00FD32CB"/>
    <w:rsid w:val="00FD4BAC"/>
    <w:rsid w:val="00FE2050"/>
    <w:rsid w:val="00FE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6E11"/>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1388">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521502469">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BA2E0-DBC5-4373-9C2F-6B67B5C7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2018-11-20T12:47:00Z</cp:lastPrinted>
  <dcterms:created xsi:type="dcterms:W3CDTF">2021-05-19T10:52:00Z</dcterms:created>
  <dcterms:modified xsi:type="dcterms:W3CDTF">2021-05-19T10:52:00Z</dcterms:modified>
</cp:coreProperties>
</file>