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35"/>
        <w:gridCol w:w="425"/>
        <w:gridCol w:w="233"/>
        <w:gridCol w:w="2744"/>
        <w:gridCol w:w="712"/>
        <w:gridCol w:w="2893"/>
      </w:tblGrid>
      <w:tr w:rsidR="004A5EA9" w:rsidRPr="00D2449B" w14:paraId="5D89BB4D" w14:textId="77777777" w:rsidTr="001D4F7A">
        <w:trPr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49FB258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4A5EA9" w:rsidRPr="00D2449B" w14:paraId="38B012EE" w14:textId="77777777" w:rsidTr="001D4F7A">
        <w:trPr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07E35E94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1BB767E2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31305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D8980" w14:textId="1E1FDD7C" w:rsidR="004A5EA9" w:rsidRPr="00250879" w:rsidRDefault="004A5EA9" w:rsidP="00802BB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2C6277">
              <w:rPr>
                <w:rFonts w:ascii="Calibri" w:hAnsi="Calibri"/>
                <w:szCs w:val="22"/>
              </w:rPr>
              <w:t>3/</w:t>
            </w:r>
            <w:r w:rsidR="001C4F8D">
              <w:rPr>
                <w:rFonts w:ascii="Calibri" w:hAnsi="Calibri"/>
                <w:szCs w:val="22"/>
              </w:rPr>
              <w:t>2021/0277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9E0AF71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1C2D2F8" wp14:editId="1A244312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D2449B" w14:paraId="7A05AAE0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618F6CE" w14:textId="77777777" w:rsidR="004A5EA9" w:rsidRPr="00E86776" w:rsidRDefault="004A5EA9">
            <w:pPr>
              <w:rPr>
                <w:rFonts w:ascii="Calibri" w:hAnsi="Calibri"/>
                <w:b/>
                <w:szCs w:val="22"/>
              </w:rPr>
            </w:pPr>
            <w:r w:rsidRPr="00E86776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C13565" w14:textId="0F2C4F6C" w:rsidR="004A5EA9" w:rsidRPr="00E86776" w:rsidRDefault="001C4F8D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05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D2A4780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36C46240" w14:textId="77777777" w:rsidTr="001D4F7A">
        <w:trPr>
          <w:jc w:val="center"/>
        </w:trPr>
        <w:tc>
          <w:tcPr>
            <w:tcW w:w="22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679481D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D05A60" w14:textId="2BFD7015" w:rsidR="004A5EA9" w:rsidRPr="00250879" w:rsidRDefault="001C4F8D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1C4F8D">
              <w:rPr>
                <w:rFonts w:ascii="Calibri" w:hAnsi="Calibri"/>
                <w:szCs w:val="22"/>
              </w:rPr>
              <w:t>RB</w:t>
            </w:r>
          </w:p>
        </w:tc>
        <w:tc>
          <w:tcPr>
            <w:tcW w:w="3605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527E68D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7EDE1FE0" w14:textId="77777777" w:rsidTr="001D4F7A">
        <w:trPr>
          <w:jc w:val="center"/>
        </w:trPr>
        <w:tc>
          <w:tcPr>
            <w:tcW w:w="563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6F9FF7A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CAB712" w14:textId="6D9CE0DF" w:rsidR="004A5EA9" w:rsidRPr="00D2449B" w:rsidRDefault="00CC6379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Granted</w:t>
            </w:r>
          </w:p>
        </w:tc>
      </w:tr>
      <w:tr w:rsidR="004A5EA9" w:rsidRPr="00D2449B" w14:paraId="1FEB375C" w14:textId="77777777" w:rsidTr="001D4F7A">
        <w:trPr>
          <w:trHeight w:hRule="exact" w:val="170"/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A79DB9F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012DCC6B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DB77AAC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E9DF72" w14:textId="1203C130" w:rsidR="004A5EA9" w:rsidRPr="002C6277" w:rsidRDefault="001C4F8D" w:rsidP="007E08F8">
            <w:pPr>
              <w:rPr>
                <w:rFonts w:ascii="Calibri" w:hAnsi="Calibri"/>
                <w:szCs w:val="22"/>
              </w:rPr>
            </w:pPr>
            <w:r w:rsidRPr="001C4F8D">
              <w:rPr>
                <w:rFonts w:ascii="Calibri" w:hAnsi="Calibri"/>
                <w:szCs w:val="22"/>
              </w:rPr>
              <w:t>Certificate of lawful for a proposed single storey side extension</w:t>
            </w:r>
          </w:p>
        </w:tc>
      </w:tr>
      <w:tr w:rsidR="002A01CF" w:rsidRPr="00D2449B" w14:paraId="775E93EF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07DA98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3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9DC21" w14:textId="35D62C18" w:rsidR="002A01CF" w:rsidRPr="002C6277" w:rsidRDefault="001C4F8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57 Fairfield Drive, Clitheroe, BB7 2PS </w:t>
            </w:r>
          </w:p>
        </w:tc>
      </w:tr>
      <w:tr w:rsidR="00A95D89" w:rsidRPr="00D2449B" w14:paraId="725644C6" w14:textId="77777777" w:rsidTr="001D4F7A">
        <w:trPr>
          <w:trHeight w:hRule="exact" w:val="170"/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025E2FA3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448E4C88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299417C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235FE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799B2ABF" w14:textId="77777777" w:rsidTr="001D4F7A">
        <w:trPr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21ACF9B" w14:textId="77777777" w:rsidR="002A01CF" w:rsidRPr="00D2449B" w:rsidRDefault="00F86FAA">
            <w:pPr>
              <w:rPr>
                <w:rFonts w:ascii="Calibri" w:hAnsi="Calibri"/>
                <w:b/>
                <w:szCs w:val="22"/>
              </w:rPr>
            </w:pPr>
            <w:r w:rsidRPr="0047011A">
              <w:rPr>
                <w:rFonts w:ascii="Calibri" w:hAnsi="Calibri"/>
                <w:szCs w:val="22"/>
              </w:rPr>
              <w:t>N/A</w:t>
            </w:r>
          </w:p>
        </w:tc>
      </w:tr>
      <w:tr w:rsidR="00C618DB" w:rsidRPr="00D2449B" w14:paraId="0561B33A" w14:textId="77777777" w:rsidTr="001D4F7A">
        <w:trPr>
          <w:trHeight w:hRule="exact" w:val="170"/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0C3DF7E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017FDD8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025725E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A13FC4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F86FAA" w:rsidRPr="00D2449B" w14:paraId="0FD2FE94" w14:textId="77777777" w:rsidTr="00221B62">
        <w:trPr>
          <w:gridAfter w:val="1"/>
          <w:wAfter w:w="2893" w:type="dxa"/>
          <w:jc w:val="center"/>
        </w:trPr>
        <w:tc>
          <w:tcPr>
            <w:tcW w:w="634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7237C9" w14:textId="77777777" w:rsidR="00F86FAA" w:rsidRPr="00D2449B" w:rsidRDefault="00F86FA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19C4ABE5" w14:textId="77777777" w:rsidTr="001D4F7A">
        <w:trPr>
          <w:jc w:val="center"/>
        </w:trPr>
        <w:tc>
          <w:tcPr>
            <w:tcW w:w="28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C7D1E1A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3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F896F9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EC23C7" w:rsidRPr="00D2449B" w14:paraId="7B64A74B" w14:textId="77777777" w:rsidTr="001D4F7A">
        <w:trPr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9033713" w14:textId="77777777" w:rsidR="00250879" w:rsidRPr="00692B60" w:rsidRDefault="00F86FAA" w:rsidP="00692B60">
            <w:pPr>
              <w:rPr>
                <w:rFonts w:ascii="Calibri" w:hAnsi="Calibri"/>
                <w:szCs w:val="22"/>
              </w:rPr>
            </w:pPr>
            <w:r w:rsidRPr="0047011A">
              <w:rPr>
                <w:rFonts w:ascii="Calibri" w:hAnsi="Calibri"/>
                <w:szCs w:val="22"/>
              </w:rPr>
              <w:t>N/A</w:t>
            </w:r>
          </w:p>
        </w:tc>
      </w:tr>
      <w:tr w:rsidR="00C618DB" w:rsidRPr="00D2449B" w14:paraId="5740AA75" w14:textId="77777777" w:rsidTr="001D4F7A">
        <w:trPr>
          <w:trHeight w:hRule="exact" w:val="170"/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F72EED1" w14:textId="77777777" w:rsidR="00C618DB" w:rsidRPr="00D2449B" w:rsidRDefault="00C618DB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EC23C7" w:rsidRPr="00D2449B" w14:paraId="0C253F16" w14:textId="77777777" w:rsidTr="001D4F7A">
        <w:trPr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6D81EDF" w14:textId="77777777" w:rsidR="00EC23C7" w:rsidRPr="00D2449B" w:rsidRDefault="00EC23C7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 w:rsidR="006A71AD"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618DB" w:rsidRPr="00D2449B" w14:paraId="208BF89B" w14:textId="77777777" w:rsidTr="001D4F7A">
        <w:trPr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BF1DBF4" w14:textId="77777777" w:rsidR="007E08F8" w:rsidRDefault="007E08F8" w:rsidP="007E08F8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proposal is assessed against the provisions </w:t>
            </w:r>
            <w:r>
              <w:rPr>
                <w:rFonts w:ascii="Calibri" w:hAnsi="Calibri"/>
                <w:szCs w:val="22"/>
              </w:rPr>
              <w:t>of Schedule 2 Part 1 Class A of the Town and Country Planning (General Permitted Development) Order 2015.</w:t>
            </w:r>
          </w:p>
          <w:p w14:paraId="588FD284" w14:textId="77777777" w:rsidR="00D11007" w:rsidRPr="00D2449B" w:rsidRDefault="00D11007" w:rsidP="00C618DB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6A71AD" w:rsidRPr="00D2449B" w14:paraId="3D434990" w14:textId="77777777" w:rsidTr="006A71AD">
        <w:trPr>
          <w:trHeight w:hRule="exact" w:val="170"/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4CD264E" w14:textId="77777777" w:rsidR="006A71AD" w:rsidRPr="006A71AD" w:rsidRDefault="006A71A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EC23C7" w:rsidRPr="00D2449B" w14:paraId="52BE5887" w14:textId="77777777" w:rsidTr="001D4F7A">
        <w:trPr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96A013D" w14:textId="77777777" w:rsidR="00EC23C7" w:rsidRPr="00D2449B" w:rsidRDefault="006C2BFA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6C2BFA" w:rsidRPr="00D2449B" w14:paraId="3F26ABE9" w14:textId="77777777" w:rsidTr="001D4F7A">
        <w:trPr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B5704F0" w14:textId="77777777" w:rsidR="00440CB6" w:rsidRDefault="00440CB6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0465597C" w14:textId="622CA6A0" w:rsidR="00692B60" w:rsidRPr="006C2BFA" w:rsidRDefault="00F86FAA" w:rsidP="00E8677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development is proposed to the </w:t>
            </w:r>
            <w:r w:rsidR="00E86776">
              <w:rPr>
                <w:rFonts w:ascii="Calibri" w:hAnsi="Calibri"/>
                <w:szCs w:val="22"/>
              </w:rPr>
              <w:t>side of</w:t>
            </w:r>
            <w:r w:rsidR="001C4F8D">
              <w:rPr>
                <w:rFonts w:ascii="Calibri" w:hAnsi="Calibri"/>
                <w:szCs w:val="22"/>
              </w:rPr>
              <w:t xml:space="preserve"> 57 Fairfield Drive, Clitheroe. </w:t>
            </w:r>
            <w:r>
              <w:rPr>
                <w:rFonts w:ascii="Calibri" w:hAnsi="Calibri"/>
                <w:szCs w:val="22"/>
              </w:rPr>
              <w:t xml:space="preserve">The </w:t>
            </w:r>
            <w:r w:rsidR="001C4F8D">
              <w:rPr>
                <w:rFonts w:ascii="Calibri" w:hAnsi="Calibri"/>
                <w:szCs w:val="22"/>
              </w:rPr>
              <w:t>semi-</w:t>
            </w:r>
            <w:r>
              <w:rPr>
                <w:rFonts w:ascii="Calibri" w:hAnsi="Calibri"/>
                <w:szCs w:val="22"/>
              </w:rPr>
              <w:t>detached property has not had any permitted development rights removed.</w:t>
            </w:r>
          </w:p>
        </w:tc>
      </w:tr>
      <w:tr w:rsidR="00EA09F9" w:rsidRPr="00D2449B" w14:paraId="1609E009" w14:textId="77777777" w:rsidTr="001D4F7A">
        <w:trPr>
          <w:jc w:val="center"/>
        </w:trPr>
        <w:tc>
          <w:tcPr>
            <w:tcW w:w="924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99DD685" w14:textId="77777777" w:rsidR="00EA09F9" w:rsidRDefault="00EA09F9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Observations/</w:t>
            </w:r>
            <w:r w:rsidR="004C2434">
              <w:rPr>
                <w:rFonts w:ascii="Calibri" w:hAnsi="Calibri"/>
                <w:b/>
                <w:bCs/>
                <w:szCs w:val="22"/>
              </w:rPr>
              <w:t xml:space="preserve">Consideration of </w:t>
            </w:r>
            <w:r w:rsidR="005E65DF">
              <w:rPr>
                <w:rFonts w:ascii="Calibri" w:hAnsi="Calibri"/>
                <w:b/>
                <w:bCs/>
                <w:szCs w:val="22"/>
              </w:rPr>
              <w:t>Matters</w:t>
            </w:r>
            <w:r w:rsidR="004C2434">
              <w:rPr>
                <w:rFonts w:ascii="Calibri" w:hAnsi="Calibri"/>
                <w:b/>
                <w:bCs/>
                <w:szCs w:val="22"/>
              </w:rPr>
              <w:t xml:space="preserve"> Raised/</w:t>
            </w:r>
            <w:r w:rsidR="007E0D23">
              <w:rPr>
                <w:rFonts w:ascii="Calibri" w:hAnsi="Calibri"/>
                <w:b/>
                <w:bCs/>
                <w:szCs w:val="22"/>
              </w:rPr>
              <w:t>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473B9418" w14:textId="77777777" w:rsidR="00DD62F6" w:rsidRPr="00D2449B" w:rsidRDefault="00DD62F6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53AD2626" w14:textId="77777777" w:rsidR="007E08F8" w:rsidRDefault="007E08F8" w:rsidP="007E08F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merits of the proposal are not under consideration as the application is seeking formal confirmation that the proposal is lawful under the terms of the Town &amp; Country Planning (General Permitted Development) Order 2015 (GPDO) as amended.</w:t>
            </w:r>
          </w:p>
          <w:p w14:paraId="349D59F2" w14:textId="77777777" w:rsidR="007E08F8" w:rsidRDefault="007E08F8" w:rsidP="007E08F8">
            <w:pPr>
              <w:rPr>
                <w:rFonts w:ascii="Calibri" w:hAnsi="Calibri"/>
                <w:szCs w:val="22"/>
              </w:rPr>
            </w:pPr>
          </w:p>
          <w:p w14:paraId="13906019" w14:textId="77777777" w:rsidR="007E08F8" w:rsidRDefault="007E08F8" w:rsidP="007E08F8">
            <w:pPr>
              <w:pStyle w:val="BodyText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Extensions to dwellings fall under Schedule 2, Part 1, Class A of the GPDO which permits the enlargement, </w:t>
            </w:r>
            <w:proofErr w:type="gramStart"/>
            <w:r>
              <w:rPr>
                <w:rFonts w:ascii="Calibri" w:hAnsi="Calibri"/>
                <w:szCs w:val="22"/>
              </w:rPr>
              <w:t>improvement</w:t>
            </w:r>
            <w:proofErr w:type="gramEnd"/>
            <w:r>
              <w:rPr>
                <w:rFonts w:ascii="Calibri" w:hAnsi="Calibri"/>
                <w:szCs w:val="22"/>
              </w:rPr>
              <w:t xml:space="preserve"> or other alteration of a </w:t>
            </w:r>
            <w:proofErr w:type="spellStart"/>
            <w:r>
              <w:rPr>
                <w:rFonts w:ascii="Calibri" w:hAnsi="Calibri"/>
                <w:szCs w:val="22"/>
              </w:rPr>
              <w:t>dwellinghouse</w:t>
            </w:r>
            <w:proofErr w:type="spellEnd"/>
            <w:r>
              <w:rPr>
                <w:rFonts w:ascii="Calibri" w:hAnsi="Calibri"/>
                <w:szCs w:val="22"/>
              </w:rPr>
              <w:t>.</w:t>
            </w:r>
          </w:p>
          <w:p w14:paraId="24C367FD" w14:textId="77777777" w:rsidR="007E08F8" w:rsidRDefault="007E08F8" w:rsidP="007E08F8">
            <w:pPr>
              <w:pStyle w:val="BodyText"/>
              <w:rPr>
                <w:rFonts w:ascii="Calibri" w:hAnsi="Calibri"/>
                <w:szCs w:val="22"/>
              </w:rPr>
            </w:pPr>
          </w:p>
          <w:p w14:paraId="777924A1" w14:textId="77777777" w:rsidR="007E08F8" w:rsidRDefault="007E08F8" w:rsidP="007E08F8">
            <w:pPr>
              <w:pStyle w:val="BodyText"/>
              <w:rPr>
                <w:rStyle w:val="legamendingtext"/>
                <w:b/>
                <w:bCs/>
              </w:rPr>
            </w:pPr>
            <w:r>
              <w:rPr>
                <w:rFonts w:ascii="Calibri" w:hAnsi="Calibri"/>
                <w:szCs w:val="22"/>
              </w:rPr>
              <w:t>There are a number of limitations to what can be built as stated below. As such, the development is assessed against each of these in turn.</w:t>
            </w:r>
          </w:p>
          <w:p w14:paraId="7D7F3EE1" w14:textId="77777777" w:rsidR="007E08F8" w:rsidRDefault="007E08F8" w:rsidP="007E08F8">
            <w:pPr>
              <w:pStyle w:val="PlainText"/>
              <w:rPr>
                <w:rFonts w:cs="Arial"/>
                <w:sz w:val="22"/>
              </w:rPr>
            </w:pPr>
          </w:p>
          <w:p w14:paraId="159C2A76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A.1 Development is not permitted by Class A if –</w:t>
            </w:r>
          </w:p>
          <w:p w14:paraId="2315B9ED" w14:textId="77777777" w:rsidR="007E08F8" w:rsidRDefault="007E08F8" w:rsidP="007E08F8">
            <w:pPr>
              <w:overflowPunct/>
              <w:rPr>
                <w:rFonts w:ascii="Calibri" w:hAnsi="Calibri" w:cs="Times-Roman"/>
                <w:szCs w:val="22"/>
                <w:lang w:eastAsia="en-GB"/>
              </w:rPr>
            </w:pPr>
            <w:r>
              <w:rPr>
                <w:rFonts w:ascii="Calibri" w:hAnsi="Calibri" w:cs="Times-Roman"/>
                <w:szCs w:val="22"/>
                <w:lang w:eastAsia="en-GB"/>
              </w:rPr>
              <w:t xml:space="preserve">(a) permission to use the </w:t>
            </w:r>
            <w:proofErr w:type="spellStart"/>
            <w:r>
              <w:rPr>
                <w:rFonts w:ascii="Calibri" w:hAnsi="Calibri" w:cs="Times-Roman"/>
                <w:szCs w:val="22"/>
                <w:lang w:eastAsia="en-GB"/>
              </w:rPr>
              <w:t>dwellinghouse</w:t>
            </w:r>
            <w:proofErr w:type="spellEnd"/>
            <w:r>
              <w:rPr>
                <w:rFonts w:ascii="Calibri" w:hAnsi="Calibri" w:cs="Times-Roman"/>
                <w:szCs w:val="22"/>
                <w:lang w:eastAsia="en-GB"/>
              </w:rPr>
              <w:t xml:space="preserve"> as a </w:t>
            </w:r>
            <w:proofErr w:type="spellStart"/>
            <w:r>
              <w:rPr>
                <w:rFonts w:ascii="Calibri" w:hAnsi="Calibri" w:cs="Times-Roman"/>
                <w:szCs w:val="22"/>
                <w:lang w:eastAsia="en-GB"/>
              </w:rPr>
              <w:t>dwellinghouse</w:t>
            </w:r>
            <w:proofErr w:type="spellEnd"/>
            <w:r>
              <w:rPr>
                <w:rFonts w:ascii="Calibri" w:hAnsi="Calibri" w:cs="Times-Roman"/>
                <w:szCs w:val="22"/>
                <w:lang w:eastAsia="en-GB"/>
              </w:rPr>
              <w:t xml:space="preserve"> has been granted only by virtue</w:t>
            </w:r>
          </w:p>
          <w:p w14:paraId="138A7066" w14:textId="77777777" w:rsidR="007E08F8" w:rsidRDefault="007E08F8" w:rsidP="007E08F8">
            <w:pPr>
              <w:pStyle w:val="PlainText"/>
              <w:rPr>
                <w:rFonts w:ascii="Calibri" w:hAnsi="Calibri" w:cs="Times-Roman"/>
                <w:sz w:val="22"/>
                <w:szCs w:val="22"/>
                <w:lang w:eastAsia="en-GB"/>
              </w:rPr>
            </w:pPr>
            <w:r>
              <w:rPr>
                <w:rFonts w:ascii="Calibri" w:hAnsi="Calibri" w:cs="Times-Roman"/>
                <w:sz w:val="22"/>
                <w:szCs w:val="22"/>
                <w:lang w:eastAsia="en-GB"/>
              </w:rPr>
              <w:t>of Class M, N, P or Q of Part 3 of this Schedule (changes of use);</w:t>
            </w:r>
          </w:p>
          <w:p w14:paraId="4106AE7B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</w:p>
          <w:p w14:paraId="38606BB7" w14:textId="77777777" w:rsidR="007E08F8" w:rsidRDefault="007E08F8" w:rsidP="007E08F8">
            <w:pPr>
              <w:pStyle w:val="PlainText"/>
              <w:ind w:left="7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Permission for use as a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dwellinghouse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was not granted by virtue of Class M, N, P or Q of Part 3.</w:t>
            </w:r>
          </w:p>
          <w:p w14:paraId="66112CCF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</w:p>
          <w:p w14:paraId="3BF0FF87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(b) as a result of the works the total area of ground covered by buildings within the curtilage of the dwelling house (other than the original dwelling house) would exceed 50% of the total area of the curtilage (excluding the ground area of the original dwelling house);</w:t>
            </w:r>
          </w:p>
          <w:p w14:paraId="2787C153" w14:textId="77777777" w:rsidR="007E08F8" w:rsidRDefault="007E08F8" w:rsidP="007E08F8">
            <w:pPr>
              <w:pStyle w:val="PlainText"/>
              <w:rPr>
                <w:rFonts w:ascii="Calibri" w:hAnsi="Calibri" w:cs="Arial"/>
                <w:i/>
                <w:sz w:val="22"/>
                <w:szCs w:val="22"/>
              </w:rPr>
            </w:pPr>
          </w:p>
          <w:p w14:paraId="1E105A7B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  <w:t xml:space="preserve">The </w:t>
            </w:r>
            <w:r>
              <w:rPr>
                <w:rFonts w:ascii="Calibri" w:hAnsi="Calibri" w:cs="Arial"/>
                <w:b/>
                <w:color w:val="auto"/>
                <w:sz w:val="22"/>
                <w:szCs w:val="22"/>
              </w:rPr>
              <w:t xml:space="preserve">single storey rear extension </w:t>
            </w: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  <w:t>would not exceed 50% of the total area of curtilage of the property.</w:t>
            </w:r>
          </w:p>
          <w:p w14:paraId="746BE58A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</w:p>
          <w:p w14:paraId="6A51DC8F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(c) the height of the part of the dwelling house enlarged, improved or altered would exceed the height of the highest part of the roof of the existing dwelling house;</w:t>
            </w:r>
          </w:p>
          <w:p w14:paraId="61875CD9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b/>
                <w:i/>
                <w:color w:val="auto"/>
                <w:sz w:val="22"/>
                <w:szCs w:val="22"/>
                <w:lang w:val="en"/>
              </w:rPr>
            </w:pPr>
          </w:p>
          <w:p w14:paraId="2101D730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  <w:t xml:space="preserve">The height of the proposed </w:t>
            </w:r>
            <w:r>
              <w:rPr>
                <w:rFonts w:ascii="Calibri" w:hAnsi="Calibri" w:cs="Arial"/>
                <w:b/>
                <w:color w:val="auto"/>
                <w:sz w:val="22"/>
                <w:szCs w:val="22"/>
              </w:rPr>
              <w:t xml:space="preserve">single storey extension </w:t>
            </w: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  <w:t>would not exceed the height of the existing dwelling.</w:t>
            </w:r>
          </w:p>
          <w:p w14:paraId="5EA9048F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</w:p>
          <w:p w14:paraId="1520BDAA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(d) the height of the eaves of the part of the dwelling house enlarged or improved or altered would exceed the height of the existing dwelling house;</w:t>
            </w:r>
          </w:p>
          <w:p w14:paraId="2418E2D3" w14:textId="77777777" w:rsidR="007E08F8" w:rsidRDefault="007E08F8" w:rsidP="007E08F8">
            <w:pPr>
              <w:pStyle w:val="ListParagraph"/>
              <w:rPr>
                <w:rStyle w:val="legamendingtext"/>
                <w:b/>
                <w:i/>
                <w:lang w:val="en"/>
              </w:rPr>
            </w:pPr>
          </w:p>
          <w:p w14:paraId="69C277BD" w14:textId="77777777" w:rsidR="007E08F8" w:rsidRDefault="007E08F8" w:rsidP="007E08F8">
            <w:pPr>
              <w:pStyle w:val="ListParagraph"/>
              <w:rPr>
                <w:rStyle w:val="legamendingtext"/>
                <w:rFonts w:ascii="Calibri" w:hAnsi="Calibri"/>
                <w:b/>
                <w:szCs w:val="22"/>
                <w:lang w:val="en"/>
              </w:rPr>
            </w:pPr>
            <w:r>
              <w:rPr>
                <w:rStyle w:val="legamendingtext"/>
                <w:rFonts w:ascii="Calibri" w:hAnsi="Calibri"/>
                <w:b/>
                <w:szCs w:val="22"/>
                <w:lang w:val="en"/>
              </w:rPr>
              <w:t xml:space="preserve">The eaves of the proposed </w:t>
            </w:r>
            <w:r>
              <w:rPr>
                <w:rFonts w:ascii="Calibri" w:hAnsi="Calibri" w:cs="Arial"/>
                <w:b/>
                <w:szCs w:val="22"/>
              </w:rPr>
              <w:t xml:space="preserve">single storey extension </w:t>
            </w:r>
            <w:r>
              <w:rPr>
                <w:rFonts w:ascii="Calibri" w:hAnsi="Calibri" w:cs="Arial"/>
                <w:b/>
                <w:szCs w:val="22"/>
                <w:lang w:val="en"/>
              </w:rPr>
              <w:t>would not exceed the height of the eaves of the existing dwelling.</w:t>
            </w:r>
          </w:p>
          <w:p w14:paraId="64788B9D" w14:textId="77777777" w:rsidR="007E08F8" w:rsidRDefault="007E08F8" w:rsidP="007E08F8">
            <w:pPr>
              <w:pStyle w:val="PlainText"/>
              <w:rPr>
                <w:sz w:val="22"/>
              </w:rPr>
            </w:pPr>
          </w:p>
          <w:p w14:paraId="7F90ECD5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(e) the enlarged part of the dwelling house would extend beyond a wall which  - (i) fronts a highway; and (ii) forms either the principal elevation or a side elevation of the original dwelling house;</w:t>
            </w:r>
          </w:p>
          <w:p w14:paraId="75DAAFAC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b/>
                <w:i/>
                <w:color w:val="auto"/>
                <w:sz w:val="22"/>
                <w:szCs w:val="22"/>
                <w:lang w:val="en"/>
              </w:rPr>
            </w:pPr>
          </w:p>
          <w:p w14:paraId="619242E8" w14:textId="1C69B2E2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  <w:t xml:space="preserve">The proposed </w:t>
            </w:r>
            <w:r>
              <w:rPr>
                <w:rFonts w:ascii="Calibri" w:hAnsi="Calibri" w:cs="Arial"/>
                <w:b/>
                <w:color w:val="auto"/>
                <w:sz w:val="22"/>
                <w:szCs w:val="22"/>
              </w:rPr>
              <w:t xml:space="preserve">single storey </w:t>
            </w:r>
            <w:r w:rsidR="00CC6379">
              <w:rPr>
                <w:rFonts w:ascii="Calibri" w:hAnsi="Calibri" w:cs="Arial"/>
                <w:b/>
                <w:color w:val="auto"/>
                <w:sz w:val="22"/>
                <w:szCs w:val="22"/>
              </w:rPr>
              <w:t>side</w:t>
            </w:r>
            <w:r>
              <w:rPr>
                <w:rFonts w:ascii="Calibri" w:hAnsi="Calibri" w:cs="Arial"/>
                <w:b/>
                <w:color w:val="auto"/>
                <w:sz w:val="22"/>
                <w:szCs w:val="22"/>
              </w:rPr>
              <w:t xml:space="preserve"> extension </w:t>
            </w: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  <w:t>would not extend beyond a wall which is considered to front a highway.</w:t>
            </w:r>
          </w:p>
          <w:p w14:paraId="431DAE00" w14:textId="77777777" w:rsidR="007E08F8" w:rsidRDefault="007E08F8" w:rsidP="007E08F8">
            <w:pPr>
              <w:pStyle w:val="PlainTex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64A9092B" w14:textId="251DE446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(f) subject to paragraph (g), the enlarged part of the dwelling house would have a single storey and – (i) extend beyond the rear wall of the original dwelling house by more than 4 metres in the case of a detached dwelling house or 3 metres in the case of any other dwelling house, or (ii) exceed 4 metres in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height;</w:t>
            </w:r>
            <w:proofErr w:type="gramEnd"/>
          </w:p>
          <w:p w14:paraId="06CB1AF0" w14:textId="38D523EF" w:rsidR="00CC6379" w:rsidRDefault="00CC6379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</w:p>
          <w:p w14:paraId="63D04AE2" w14:textId="220AB648" w:rsidR="00CC6379" w:rsidRPr="00CC6379" w:rsidRDefault="00CC6379" w:rsidP="007E08F8">
            <w:pPr>
              <w:pStyle w:val="PlainTex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C6379">
              <w:rPr>
                <w:rFonts w:ascii="Calibri" w:hAnsi="Calibri" w:cs="Arial"/>
                <w:b/>
                <w:bCs/>
                <w:sz w:val="22"/>
                <w:szCs w:val="22"/>
              </w:rPr>
              <w:t>N/A</w:t>
            </w:r>
          </w:p>
          <w:p w14:paraId="4018871D" w14:textId="0804397B" w:rsidR="00CC6379" w:rsidRDefault="00CC6379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43D1A84A" w14:textId="77777777" w:rsidR="007E08F8" w:rsidRDefault="007E08F8" w:rsidP="007E08F8">
            <w:pPr>
              <w:pStyle w:val="PlainText"/>
              <w:rPr>
                <w:rFonts w:ascii="Calibri" w:hAnsi="Calibri" w:cs="Arial"/>
                <w:i/>
                <w:sz w:val="22"/>
                <w:szCs w:val="22"/>
              </w:rPr>
            </w:pPr>
          </w:p>
          <w:p w14:paraId="5D31E769" w14:textId="124B9CE3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(g) </w:t>
            </w:r>
            <w:r w:rsidR="001C4F8D">
              <w:rPr>
                <w:rFonts w:ascii="Calibri" w:hAnsi="Calibri" w:cs="Times-Roman"/>
                <w:sz w:val="22"/>
                <w:szCs w:val="22"/>
                <w:lang w:eastAsia="en-GB"/>
              </w:rPr>
              <w:t xml:space="preserve">For </w:t>
            </w:r>
            <w:r>
              <w:rPr>
                <w:rFonts w:ascii="Calibri" w:hAnsi="Calibri" w:cs="Times-Roman"/>
                <w:sz w:val="22"/>
                <w:szCs w:val="22"/>
                <w:lang w:eastAsia="en-GB"/>
              </w:rPr>
              <w:t xml:space="preserve">a </w:t>
            </w:r>
            <w:proofErr w:type="spellStart"/>
            <w:r>
              <w:rPr>
                <w:rFonts w:ascii="Calibri" w:hAnsi="Calibri" w:cs="Times-Roman"/>
                <w:sz w:val="22"/>
                <w:szCs w:val="22"/>
                <w:lang w:eastAsia="en-GB"/>
              </w:rPr>
              <w:t>dwellinghouse</w:t>
            </w:r>
            <w:proofErr w:type="spellEnd"/>
            <w:r>
              <w:rPr>
                <w:rFonts w:ascii="Calibri" w:hAnsi="Calibri" w:cs="Times-Roman"/>
                <w:sz w:val="22"/>
                <w:szCs w:val="22"/>
                <w:lang w:eastAsia="en-GB"/>
              </w:rPr>
              <w:t xml:space="preserve"> not on article 2(3) </w:t>
            </w:r>
            <w:r>
              <w:rPr>
                <w:rFonts w:ascii="Calibri" w:hAnsi="Calibri" w:cs="Arial"/>
                <w:sz w:val="22"/>
                <w:szCs w:val="22"/>
              </w:rPr>
              <w:t xml:space="preserve">land nor on a site of special scientific interest, the enlarged part of the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dwellinghouse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would have a single storey and — (i) extend beyond the rear wall of the original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dwellinghouse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by more than 8 metres in the case of a detached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dwellinghouse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, or 6 metres in the case of any other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dwellinghouse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, or(ii) exceed 4 metres in height;”</w:t>
            </w:r>
          </w:p>
          <w:p w14:paraId="5E87A0C0" w14:textId="77777777" w:rsidR="007E08F8" w:rsidRDefault="007E08F8" w:rsidP="007E08F8">
            <w:pPr>
              <w:pStyle w:val="PlainText"/>
              <w:rPr>
                <w:rFonts w:ascii="Calibri" w:hAnsi="Calibri" w:cs="Arial"/>
                <w:i/>
                <w:sz w:val="22"/>
                <w:szCs w:val="22"/>
              </w:rPr>
            </w:pPr>
          </w:p>
          <w:p w14:paraId="6516405F" w14:textId="66C3F5FD" w:rsidR="004501DE" w:rsidRPr="00CC6379" w:rsidRDefault="00CC6379" w:rsidP="007E08F8">
            <w:pPr>
              <w:pStyle w:val="PlainTex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C6379">
              <w:rPr>
                <w:rFonts w:ascii="Calibri" w:hAnsi="Calibri" w:cs="Arial"/>
                <w:b/>
                <w:bCs/>
                <w:sz w:val="22"/>
                <w:szCs w:val="22"/>
              </w:rPr>
              <w:t>N/A</w:t>
            </w:r>
          </w:p>
          <w:p w14:paraId="06C0DBFB" w14:textId="77777777" w:rsidR="00CC6379" w:rsidRDefault="00CC6379" w:rsidP="007E08F8">
            <w:pPr>
              <w:pStyle w:val="PlainTex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21B0767F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(h) the enlarged part of the dwelling house would have more than one storey and – (i) extend beyond the rear wall of the original dwelling house by more than 3 metres, or be within 7 metres of any boundary of the curtilage of the dwelling house opposite the rear wall of the dwelling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house;</w:t>
            </w:r>
            <w:proofErr w:type="gramEnd"/>
          </w:p>
          <w:p w14:paraId="09BEB4E4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b/>
                <w:i/>
                <w:color w:val="auto"/>
                <w:sz w:val="22"/>
                <w:szCs w:val="22"/>
                <w:lang w:val="en"/>
              </w:rPr>
            </w:pPr>
          </w:p>
          <w:p w14:paraId="742E3EA1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  <w:t>The proposed extension would be single storey.</w:t>
            </w:r>
          </w:p>
          <w:p w14:paraId="2D25A259" w14:textId="77777777" w:rsidR="007E08F8" w:rsidRDefault="007E08F8" w:rsidP="007E08F8">
            <w:pPr>
              <w:pStyle w:val="PlainTex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17D1ED8D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(i) the enlarged part of the dwelling house would be within 2 metres of the boundary of the curtilage of the dwelling house, and the height of the eaves of the enlarged part would exceed 3 metres;</w:t>
            </w:r>
          </w:p>
          <w:p w14:paraId="6B92FD0E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b/>
                <w:i/>
                <w:color w:val="auto"/>
                <w:sz w:val="22"/>
                <w:szCs w:val="22"/>
                <w:lang w:val="en"/>
              </w:rPr>
            </w:pPr>
          </w:p>
          <w:p w14:paraId="01030331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</w:pP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  <w:t xml:space="preserve">The proposed </w:t>
            </w:r>
            <w:r>
              <w:rPr>
                <w:rFonts w:ascii="Calibri" w:hAnsi="Calibri" w:cs="Arial"/>
                <w:b/>
                <w:color w:val="auto"/>
                <w:sz w:val="22"/>
                <w:szCs w:val="22"/>
              </w:rPr>
              <w:t xml:space="preserve">single storey rear extension </w:t>
            </w:r>
            <w:r w:rsidR="00F86FAA"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  <w:t>would be 2.7</w:t>
            </w: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en"/>
              </w:rPr>
              <w:t>m in height to the eaves.</w:t>
            </w:r>
          </w:p>
          <w:p w14:paraId="6B9E2113" w14:textId="77777777" w:rsidR="007E08F8" w:rsidRDefault="007E08F8" w:rsidP="007E08F8">
            <w:pPr>
              <w:pStyle w:val="PlainText"/>
              <w:rPr>
                <w:rFonts w:ascii="Calibri" w:hAnsi="Calibri" w:cs="Arial"/>
                <w:color w:val="FF0000"/>
                <w:sz w:val="22"/>
                <w:szCs w:val="22"/>
              </w:rPr>
            </w:pPr>
          </w:p>
          <w:p w14:paraId="2C67D189" w14:textId="77777777" w:rsidR="007E08F8" w:rsidRDefault="007E08F8" w:rsidP="007E08F8">
            <w:pPr>
              <w:pStyle w:val="legclearfix2"/>
              <w:spacing w:after="0" w:line="240" w:lineRule="auto"/>
              <w:contextualSpacing/>
              <w:rPr>
                <w:rStyle w:val="legamendingtext"/>
                <w:color w:val="auto"/>
                <w:lang w:val="en"/>
              </w:rPr>
            </w:pPr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 xml:space="preserve">(j) the enlarged part of the </w:t>
            </w:r>
            <w:proofErr w:type="spellStart"/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dwellinghouse</w:t>
            </w:r>
            <w:proofErr w:type="spellEnd"/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 xml:space="preserve"> would extend beyond a wall forming a side elevation of the original </w:t>
            </w:r>
            <w:proofErr w:type="spellStart"/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dwellinghouse</w:t>
            </w:r>
            <w:proofErr w:type="spellEnd"/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 xml:space="preserve">, and would – </w:t>
            </w:r>
          </w:p>
          <w:p w14:paraId="25DE4EE9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</w:pPr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(</w:t>
            </w:r>
            <w:proofErr w:type="spellStart"/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i</w:t>
            </w:r>
            <w:proofErr w:type="spellEnd"/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 xml:space="preserve">)          exceed 4 </w:t>
            </w:r>
            <w:proofErr w:type="spellStart"/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metres</w:t>
            </w:r>
            <w:proofErr w:type="spellEnd"/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 xml:space="preserve"> in height,</w:t>
            </w:r>
            <w:r>
              <w:rPr>
                <w:rFonts w:ascii="Calibri" w:hAnsi="Calibri" w:cs="Arial"/>
                <w:color w:val="auto"/>
                <w:sz w:val="22"/>
                <w:szCs w:val="22"/>
                <w:lang w:val="en"/>
              </w:rPr>
              <w:t xml:space="preserve"> </w:t>
            </w:r>
          </w:p>
          <w:p w14:paraId="5C8607D3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color w:val="auto"/>
                <w:sz w:val="22"/>
                <w:szCs w:val="22"/>
                <w:lang w:val="en"/>
              </w:rPr>
            </w:pPr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(ii)         have more than one storey, or</w:t>
            </w:r>
            <w:r>
              <w:rPr>
                <w:rFonts w:ascii="Calibri" w:hAnsi="Calibri" w:cs="Arial"/>
                <w:color w:val="auto"/>
                <w:sz w:val="22"/>
                <w:szCs w:val="22"/>
                <w:lang w:val="en"/>
              </w:rPr>
              <w:t xml:space="preserve"> </w:t>
            </w:r>
          </w:p>
          <w:p w14:paraId="1CE718EC" w14:textId="1142636E" w:rsidR="007E08F8" w:rsidRPr="00CC6379" w:rsidRDefault="007E08F8" w:rsidP="00CC6379">
            <w:pPr>
              <w:pStyle w:val="legclearfix2"/>
              <w:numPr>
                <w:ilvl w:val="0"/>
                <w:numId w:val="2"/>
              </w:numPr>
              <w:spacing w:after="0" w:line="240" w:lineRule="auto"/>
              <w:contextualSpacing/>
            </w:pPr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lastRenderedPageBreak/>
              <w:t xml:space="preserve">have a width greater than half the width of the original </w:t>
            </w:r>
            <w:proofErr w:type="spellStart"/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dwellinghouse</w:t>
            </w:r>
            <w:proofErr w:type="spellEnd"/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;</w:t>
            </w:r>
            <w:r w:rsidRPr="00CC6379"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 xml:space="preserve"> or</w:t>
            </w:r>
            <w:r w:rsidRPr="00CC6379">
              <w:rPr>
                <w:rFonts w:ascii="Calibri" w:hAnsi="Calibri" w:cs="Arial"/>
                <w:color w:val="auto"/>
                <w:sz w:val="22"/>
                <w:szCs w:val="22"/>
                <w:lang w:val="en"/>
              </w:rPr>
              <w:t xml:space="preserve"> </w:t>
            </w:r>
          </w:p>
          <w:p w14:paraId="3AED1BB9" w14:textId="354D5ADB" w:rsidR="00CC6379" w:rsidRDefault="00CC6379" w:rsidP="00CC6379">
            <w:pPr>
              <w:pStyle w:val="legclearfix2"/>
              <w:spacing w:after="0" w:line="240" w:lineRule="auto"/>
              <w:contextualSpacing/>
              <w:rPr>
                <w:rFonts w:ascii="Calibri" w:hAnsi="Calibri" w:cs="Arial"/>
                <w:szCs w:val="22"/>
                <w:lang w:val="en"/>
              </w:rPr>
            </w:pPr>
          </w:p>
          <w:p w14:paraId="4AF35676" w14:textId="77777777" w:rsidR="00CC6379" w:rsidRPr="00CC6379" w:rsidRDefault="00CC6379" w:rsidP="00CC6379">
            <w:pPr>
              <w:pStyle w:val="legclearfix2"/>
              <w:contextualSpacing/>
              <w:rPr>
                <w:rFonts w:ascii="Calibri" w:hAnsi="Calibri" w:cs="Arial"/>
                <w:b/>
                <w:bCs/>
                <w:color w:val="auto"/>
                <w:sz w:val="22"/>
                <w:szCs w:val="28"/>
                <w:lang w:val="en"/>
              </w:rPr>
            </w:pPr>
          </w:p>
          <w:p w14:paraId="73A34472" w14:textId="2E295CF9" w:rsidR="00CC6379" w:rsidRPr="00CC6379" w:rsidRDefault="00CC6379" w:rsidP="00CC6379">
            <w:pPr>
              <w:pStyle w:val="legclearfix2"/>
              <w:spacing w:after="0" w:line="240" w:lineRule="auto"/>
              <w:contextualSpacing/>
              <w:rPr>
                <w:rFonts w:ascii="Calibri" w:hAnsi="Calibri" w:cs="Arial"/>
                <w:b/>
                <w:bCs/>
                <w:color w:val="auto"/>
                <w:sz w:val="22"/>
                <w:szCs w:val="28"/>
                <w:lang w:val="en"/>
              </w:rPr>
            </w:pPr>
            <w:r w:rsidRPr="00CC6379">
              <w:rPr>
                <w:rFonts w:ascii="Calibri" w:hAnsi="Calibri" w:cs="Arial"/>
                <w:b/>
                <w:bCs/>
                <w:color w:val="auto"/>
                <w:sz w:val="22"/>
                <w:szCs w:val="28"/>
                <w:lang w:val="en"/>
              </w:rPr>
              <w:t xml:space="preserve">The proposed single storey extension would extend beyond a wall forming the side elevation of the </w:t>
            </w:r>
            <w:proofErr w:type="spellStart"/>
            <w:r w:rsidRPr="00CC6379">
              <w:rPr>
                <w:rFonts w:ascii="Calibri" w:hAnsi="Calibri" w:cs="Arial"/>
                <w:b/>
                <w:bCs/>
                <w:color w:val="auto"/>
                <w:sz w:val="22"/>
                <w:szCs w:val="28"/>
                <w:lang w:val="en"/>
              </w:rPr>
              <w:t>dwellinghouse</w:t>
            </w:r>
            <w:proofErr w:type="spellEnd"/>
            <w:r w:rsidRPr="00CC6379">
              <w:rPr>
                <w:rFonts w:ascii="Calibri" w:hAnsi="Calibri" w:cs="Arial"/>
                <w:b/>
                <w:bCs/>
                <w:color w:val="auto"/>
                <w:sz w:val="22"/>
                <w:szCs w:val="28"/>
                <w:lang w:val="en"/>
              </w:rPr>
              <w:t xml:space="preserve"> but does not have a width greater than half the width of the original house and does not exceed 4m in height.</w:t>
            </w:r>
          </w:p>
          <w:p w14:paraId="788F7271" w14:textId="77777777" w:rsidR="00CC6379" w:rsidRDefault="00CC6379" w:rsidP="00CC6379">
            <w:pPr>
              <w:pStyle w:val="legclearfix2"/>
              <w:spacing w:after="0" w:line="240" w:lineRule="auto"/>
              <w:contextualSpacing/>
              <w:rPr>
                <w:rStyle w:val="legamendingtext"/>
              </w:rPr>
            </w:pPr>
          </w:p>
          <w:p w14:paraId="68B3E575" w14:textId="77777777" w:rsidR="007E08F8" w:rsidRDefault="007E08F8" w:rsidP="007E08F8">
            <w:pPr>
              <w:pStyle w:val="legclearfix2"/>
              <w:spacing w:after="0" w:line="240" w:lineRule="auto"/>
              <w:contextualSpacing/>
            </w:pPr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(k) it would consist of or include—</w:t>
            </w:r>
            <w:r>
              <w:rPr>
                <w:rFonts w:ascii="Calibri" w:hAnsi="Calibri" w:cs="Arial"/>
                <w:color w:val="auto"/>
                <w:sz w:val="22"/>
                <w:szCs w:val="22"/>
                <w:lang w:val="en"/>
              </w:rPr>
              <w:t xml:space="preserve"> </w:t>
            </w:r>
          </w:p>
          <w:p w14:paraId="58769D88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color w:val="auto"/>
                <w:sz w:val="22"/>
                <w:szCs w:val="22"/>
                <w:lang w:val="en"/>
              </w:rPr>
            </w:pPr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(i)          the construction or provision of a veranda, balcony or raised platform,</w:t>
            </w:r>
            <w:r>
              <w:rPr>
                <w:rFonts w:ascii="Calibri" w:hAnsi="Calibri" w:cs="Arial"/>
                <w:color w:val="auto"/>
                <w:sz w:val="22"/>
                <w:szCs w:val="22"/>
                <w:lang w:val="en"/>
              </w:rPr>
              <w:t xml:space="preserve"> </w:t>
            </w:r>
          </w:p>
          <w:p w14:paraId="5986570D" w14:textId="77777777" w:rsidR="007E08F8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color w:val="auto"/>
                <w:sz w:val="22"/>
                <w:szCs w:val="22"/>
                <w:lang w:val="en"/>
              </w:rPr>
            </w:pPr>
            <w:r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(ii)         the installation, alteration or replacement of a microwave antenna,</w:t>
            </w:r>
          </w:p>
          <w:p w14:paraId="11C6761A" w14:textId="77777777" w:rsidR="007E08F8" w:rsidRPr="00C57550" w:rsidRDefault="007E08F8" w:rsidP="007E08F8">
            <w:pPr>
              <w:pStyle w:val="legclearfix2"/>
              <w:spacing w:after="0" w:line="240" w:lineRule="auto"/>
              <w:ind w:left="720"/>
              <w:contextualSpacing/>
              <w:rPr>
                <w:rFonts w:ascii="Calibri" w:hAnsi="Calibri" w:cs="Arial"/>
                <w:color w:val="auto"/>
                <w:sz w:val="22"/>
                <w:szCs w:val="22"/>
                <w:lang w:val="en"/>
              </w:rPr>
            </w:pPr>
            <w:r w:rsidRPr="00C57550"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(iii)        the installation, alteration or replacement of a chimney, flue or soil and vent pipe, or</w:t>
            </w:r>
          </w:p>
          <w:p w14:paraId="05AD77E6" w14:textId="253B739A" w:rsidR="007E08F8" w:rsidRPr="00CC6379" w:rsidRDefault="007E08F8" w:rsidP="007E08F8">
            <w:pPr>
              <w:pStyle w:val="legclearfix2"/>
              <w:numPr>
                <w:ilvl w:val="0"/>
                <w:numId w:val="2"/>
              </w:numPr>
              <w:spacing w:after="0" w:line="240" w:lineRule="auto"/>
              <w:contextualSpacing/>
              <w:rPr>
                <w:rStyle w:val="legamendingtext"/>
              </w:rPr>
            </w:pPr>
            <w:r w:rsidRPr="00C57550"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 xml:space="preserve">an alteration to any part of the roof of the </w:t>
            </w:r>
            <w:proofErr w:type="spellStart"/>
            <w:r w:rsidRPr="00C57550"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dwellinghouse</w:t>
            </w:r>
            <w:proofErr w:type="spellEnd"/>
            <w:r w:rsidRPr="00C57550">
              <w:rPr>
                <w:rStyle w:val="legamendingtext"/>
                <w:rFonts w:ascii="Calibri" w:hAnsi="Calibri"/>
                <w:color w:val="auto"/>
                <w:sz w:val="22"/>
                <w:szCs w:val="22"/>
                <w:lang w:val="en"/>
              </w:rPr>
              <w:t>.</w:t>
            </w:r>
          </w:p>
          <w:p w14:paraId="74CEAB31" w14:textId="378A653F" w:rsidR="00CC6379" w:rsidRDefault="00CC6379" w:rsidP="00CC6379">
            <w:pPr>
              <w:pStyle w:val="legclearfix2"/>
              <w:spacing w:after="0" w:line="240" w:lineRule="auto"/>
              <w:contextualSpacing/>
              <w:rPr>
                <w:rStyle w:val="legamendingtext"/>
                <w:rFonts w:ascii="Calibri" w:hAnsi="Calibri"/>
                <w:szCs w:val="22"/>
                <w:lang w:val="en"/>
              </w:rPr>
            </w:pPr>
          </w:p>
          <w:p w14:paraId="535AF1D6" w14:textId="1F1971A4" w:rsidR="00CC6379" w:rsidRPr="00CC6379" w:rsidRDefault="00CC6379" w:rsidP="00CC6379">
            <w:pPr>
              <w:pStyle w:val="legclearfix2"/>
              <w:spacing w:after="0" w:line="240" w:lineRule="auto"/>
              <w:contextualSpacing/>
              <w:rPr>
                <w:rStyle w:val="legamendingtext"/>
                <w:b/>
                <w:bCs/>
                <w:sz w:val="22"/>
                <w:szCs w:val="22"/>
              </w:rPr>
            </w:pPr>
            <w:r w:rsidRPr="00CC6379">
              <w:rPr>
                <w:rStyle w:val="legamendingtext"/>
                <w:rFonts w:ascii="Calibri" w:hAnsi="Calibri"/>
                <w:b/>
                <w:bCs/>
                <w:sz w:val="22"/>
                <w:szCs w:val="28"/>
                <w:lang w:val="en"/>
              </w:rPr>
              <w:t xml:space="preserve">The development would not consist of any of the above. </w:t>
            </w:r>
          </w:p>
          <w:p w14:paraId="36DD00FF" w14:textId="77777777" w:rsidR="007E08F8" w:rsidRDefault="007E08F8" w:rsidP="007E08F8">
            <w:pPr>
              <w:pStyle w:val="PlainText"/>
              <w:rPr>
                <w:rFonts w:ascii="Calibri" w:hAnsi="Calibri" w:cs="Arial"/>
                <w:sz w:val="22"/>
                <w:szCs w:val="22"/>
              </w:rPr>
            </w:pPr>
          </w:p>
          <w:p w14:paraId="577C08E8" w14:textId="77777777" w:rsidR="007E08F8" w:rsidRDefault="007E08F8" w:rsidP="007E08F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building is not within a World Heritage Site, a National Park, an area of outstanding natural beauty or the Broads.</w:t>
            </w:r>
          </w:p>
          <w:p w14:paraId="4C6E970E" w14:textId="77777777" w:rsidR="007E08F8" w:rsidRDefault="007E08F8" w:rsidP="007E08F8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9A5C7B5" w14:textId="77777777" w:rsidR="007E08F8" w:rsidRDefault="007E08F8" w:rsidP="007E08F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meets the above criteria to be permitted development.</w:t>
            </w:r>
          </w:p>
          <w:p w14:paraId="77EB3980" w14:textId="77777777" w:rsidR="00DD62F6" w:rsidRDefault="00DD62F6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25722" w:rsidRPr="00D2449B" w14:paraId="5690C7F6" w14:textId="77777777" w:rsidTr="00CD2CEF">
        <w:trPr>
          <w:jc w:val="center"/>
        </w:trPr>
        <w:tc>
          <w:tcPr>
            <w:tcW w:w="26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3E4688D" w14:textId="77777777" w:rsidR="00C25722" w:rsidRPr="00D2449B" w:rsidRDefault="00C25722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58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BB44D" w14:textId="093AB457" w:rsidR="00C25722" w:rsidRPr="00D2449B" w:rsidRDefault="00130035" w:rsidP="00CD2CEF">
            <w:pPr>
              <w:rPr>
                <w:rFonts w:ascii="Calibri" w:hAnsi="Calibri"/>
                <w:bCs/>
                <w:szCs w:val="22"/>
              </w:rPr>
            </w:pPr>
            <w:r w:rsidRPr="008E0D46">
              <w:rPr>
                <w:rFonts w:asciiTheme="minorHAnsi" w:hAnsiTheme="minorHAnsi"/>
                <w:bCs/>
                <w:szCs w:val="22"/>
              </w:rPr>
              <w:t xml:space="preserve">That </w:t>
            </w:r>
            <w:r w:rsidR="00CC6379">
              <w:rPr>
                <w:rFonts w:asciiTheme="minorHAnsi" w:hAnsiTheme="minorHAnsi"/>
                <w:bCs/>
                <w:szCs w:val="22"/>
              </w:rPr>
              <w:t>t</w:t>
            </w:r>
            <w:r w:rsidR="00CC6379">
              <w:rPr>
                <w:rFonts w:asciiTheme="minorHAnsi" w:hAnsiTheme="minorHAnsi"/>
                <w:bCs/>
              </w:rPr>
              <w:t>he lawful development certificate</w:t>
            </w:r>
            <w:r w:rsidRPr="008E0D46">
              <w:rPr>
                <w:rFonts w:asciiTheme="minorHAnsi" w:hAnsiTheme="minorHAnsi"/>
                <w:bCs/>
                <w:szCs w:val="22"/>
              </w:rPr>
              <w:t xml:space="preserve"> be granted</w:t>
            </w:r>
            <w:r>
              <w:rPr>
                <w:rFonts w:asciiTheme="minorHAnsi" w:hAnsiTheme="minorHAnsi"/>
                <w:bCs/>
                <w:szCs w:val="22"/>
              </w:rPr>
              <w:t>.</w:t>
            </w:r>
          </w:p>
        </w:tc>
      </w:tr>
    </w:tbl>
    <w:p w14:paraId="0B5407FB" w14:textId="77777777" w:rsidR="0031197A" w:rsidRPr="00D2449B" w:rsidRDefault="00413EBA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DB6"/>
    <w:multiLevelType w:val="hybridMultilevel"/>
    <w:tmpl w:val="49B6201E"/>
    <w:lvl w:ilvl="0" w:tplc="0C881AAA">
      <w:start w:val="1"/>
      <w:numFmt w:val="lowerRoman"/>
      <w:lvlText w:val="(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C08DD"/>
    <w:rsid w:val="000C300A"/>
    <w:rsid w:val="00130035"/>
    <w:rsid w:val="001C4F8D"/>
    <w:rsid w:val="001D4F7A"/>
    <w:rsid w:val="00250879"/>
    <w:rsid w:val="0029334A"/>
    <w:rsid w:val="002A01CF"/>
    <w:rsid w:val="002C6277"/>
    <w:rsid w:val="00367CEB"/>
    <w:rsid w:val="00413EBA"/>
    <w:rsid w:val="00440CB6"/>
    <w:rsid w:val="004501DE"/>
    <w:rsid w:val="0047011A"/>
    <w:rsid w:val="004A5EA9"/>
    <w:rsid w:val="004C2434"/>
    <w:rsid w:val="004F0649"/>
    <w:rsid w:val="00510FA2"/>
    <w:rsid w:val="005E65DF"/>
    <w:rsid w:val="00692B60"/>
    <w:rsid w:val="006A71AD"/>
    <w:rsid w:val="006C2BFA"/>
    <w:rsid w:val="0070054B"/>
    <w:rsid w:val="00776AE2"/>
    <w:rsid w:val="007D7DF4"/>
    <w:rsid w:val="007E08F8"/>
    <w:rsid w:val="007E0D23"/>
    <w:rsid w:val="00802BBE"/>
    <w:rsid w:val="008A28C8"/>
    <w:rsid w:val="00A579BB"/>
    <w:rsid w:val="00A63D55"/>
    <w:rsid w:val="00A95D89"/>
    <w:rsid w:val="00BD3F03"/>
    <w:rsid w:val="00C25722"/>
    <w:rsid w:val="00C57550"/>
    <w:rsid w:val="00C618DB"/>
    <w:rsid w:val="00CC6379"/>
    <w:rsid w:val="00D11007"/>
    <w:rsid w:val="00D2449B"/>
    <w:rsid w:val="00DD62F6"/>
    <w:rsid w:val="00E66534"/>
    <w:rsid w:val="00E86776"/>
    <w:rsid w:val="00EA09F9"/>
    <w:rsid w:val="00EC23C7"/>
    <w:rsid w:val="00F86FAA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3662"/>
  <w15:docId w15:val="{B9F8A021-87A0-40E6-ADFF-7A10184F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7E08F8"/>
    <w:pPr>
      <w:suppressAutoHyphens/>
      <w:overflowPunct/>
      <w:autoSpaceDE/>
      <w:autoSpaceDN/>
      <w:adjustRightInd/>
      <w:textAlignment w:val="auto"/>
    </w:pPr>
    <w:rPr>
      <w:rFonts w:cs="Arial"/>
      <w:color w:val="00000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7E08F8"/>
    <w:rPr>
      <w:rFonts w:ascii="Arial" w:eastAsia="Times New Roman" w:hAnsi="Arial" w:cs="Arial"/>
      <w:color w:val="00000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08F8"/>
    <w:pPr>
      <w:overflowPunct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08F8"/>
    <w:rPr>
      <w:rFonts w:ascii="Courier New" w:eastAsia="Times New Roman" w:hAnsi="Courier New" w:cs="Courier New"/>
      <w:sz w:val="20"/>
      <w:szCs w:val="20"/>
    </w:rPr>
  </w:style>
  <w:style w:type="paragraph" w:customStyle="1" w:styleId="legclearfix2">
    <w:name w:val="legclearfix2"/>
    <w:basedOn w:val="Normal"/>
    <w:rsid w:val="007E08F8"/>
    <w:pPr>
      <w:shd w:val="clear" w:color="auto" w:fill="FFFFFF"/>
      <w:overflowPunct/>
      <w:autoSpaceDE/>
      <w:autoSpaceDN/>
      <w:adjustRightInd/>
      <w:spacing w:after="120" w:line="360" w:lineRule="atLeast"/>
      <w:textAlignment w:val="auto"/>
    </w:pPr>
    <w:rPr>
      <w:rFonts w:ascii="Times New Roman" w:hAnsi="Times New Roman"/>
      <w:color w:val="000000"/>
      <w:sz w:val="19"/>
      <w:szCs w:val="19"/>
      <w:lang w:eastAsia="en-GB"/>
    </w:rPr>
  </w:style>
  <w:style w:type="character" w:customStyle="1" w:styleId="legamendingtext">
    <w:name w:val="legamendingtext"/>
    <w:rsid w:val="007E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F431-FD37-4D83-A04C-6229F337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Tara Thompson</cp:lastModifiedBy>
  <cp:revision>2</cp:revision>
  <cp:lastPrinted>2016-01-04T13:03:00Z</cp:lastPrinted>
  <dcterms:created xsi:type="dcterms:W3CDTF">2021-05-21T15:53:00Z</dcterms:created>
  <dcterms:modified xsi:type="dcterms:W3CDTF">2021-05-21T15:53:00Z</dcterms:modified>
</cp:coreProperties>
</file>