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40"/>
        <w:gridCol w:w="1595"/>
        <w:gridCol w:w="194"/>
        <w:gridCol w:w="620"/>
        <w:gridCol w:w="2588"/>
        <w:gridCol w:w="3634"/>
      </w:tblGrid>
      <w:tr w:rsidR="004A5EA9" w:rsidRPr="00866186" w14:paraId="1A29811F" w14:textId="77777777" w:rsidTr="00C70DC7">
        <w:trPr>
          <w:jc w:val="center"/>
        </w:trPr>
        <w:tc>
          <w:tcPr>
            <w:tcW w:w="927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A278BC3" w14:textId="77777777" w:rsidR="004A5EA9" w:rsidRPr="00866186" w:rsidRDefault="00D2449B" w:rsidP="00D2449B">
            <w:pPr>
              <w:jc w:val="center"/>
              <w:rPr>
                <w:rFonts w:asciiTheme="minorHAnsi" w:hAnsiTheme="minorHAnsi" w:cstheme="minorHAnsi"/>
                <w:b/>
                <w:szCs w:val="22"/>
              </w:rPr>
            </w:pPr>
            <w:r w:rsidRPr="00866186">
              <w:rPr>
                <w:rFonts w:asciiTheme="minorHAnsi" w:hAnsiTheme="minorHAnsi" w:cstheme="minorHAnsi"/>
                <w:b/>
                <w:szCs w:val="22"/>
              </w:rPr>
              <w:t>R</w:t>
            </w:r>
            <w:r w:rsidR="004A5EA9" w:rsidRPr="00866186">
              <w:rPr>
                <w:rFonts w:asciiTheme="minorHAnsi" w:hAnsiTheme="minorHAnsi" w:cstheme="minorHAnsi"/>
                <w:b/>
                <w:szCs w:val="22"/>
              </w:rPr>
              <w:t>eport to be read in conjunction with the Decision Notice.</w:t>
            </w:r>
          </w:p>
        </w:tc>
      </w:tr>
      <w:tr w:rsidR="004A5EA9" w:rsidRPr="00866186" w14:paraId="750DFAA7" w14:textId="77777777" w:rsidTr="00C70DC7">
        <w:trPr>
          <w:jc w:val="center"/>
        </w:trPr>
        <w:tc>
          <w:tcPr>
            <w:tcW w:w="9271" w:type="dxa"/>
            <w:gridSpan w:val="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454B4E77" w14:textId="77777777" w:rsidR="004A5EA9" w:rsidRPr="00866186" w:rsidRDefault="004A5EA9" w:rsidP="004A5EA9">
            <w:pPr>
              <w:jc w:val="center"/>
              <w:rPr>
                <w:rFonts w:asciiTheme="minorHAnsi" w:hAnsiTheme="minorHAnsi" w:cstheme="minorHAnsi"/>
                <w:b/>
                <w:szCs w:val="22"/>
              </w:rPr>
            </w:pPr>
          </w:p>
        </w:tc>
      </w:tr>
      <w:tr w:rsidR="004A5EA9" w:rsidRPr="00866186" w14:paraId="050229FF" w14:textId="77777777" w:rsidTr="00C70DC7">
        <w:trPr>
          <w:jc w:val="center"/>
        </w:trPr>
        <w:tc>
          <w:tcPr>
            <w:tcW w:w="22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55C730" w14:textId="77777777" w:rsidR="004A5EA9" w:rsidRPr="00866186" w:rsidRDefault="004A5EA9">
            <w:pPr>
              <w:rPr>
                <w:rFonts w:asciiTheme="minorHAnsi" w:hAnsiTheme="minorHAnsi" w:cstheme="minorHAnsi"/>
                <w:b/>
                <w:szCs w:val="22"/>
              </w:rPr>
            </w:pPr>
            <w:r w:rsidRPr="00866186">
              <w:rPr>
                <w:rFonts w:asciiTheme="minorHAnsi" w:hAnsiTheme="minorHAnsi" w:cstheme="minorHAnsi"/>
                <w:b/>
                <w:szCs w:val="22"/>
              </w:rPr>
              <w:t>Application Ref:</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C75347" w14:textId="031D44B1" w:rsidR="004A5EA9" w:rsidRPr="00866186" w:rsidRDefault="003B7144" w:rsidP="008A57EC">
            <w:pPr>
              <w:rPr>
                <w:rFonts w:asciiTheme="minorHAnsi" w:hAnsiTheme="minorHAnsi" w:cstheme="minorHAnsi"/>
                <w:szCs w:val="22"/>
              </w:rPr>
            </w:pPr>
            <w:r w:rsidRPr="00866186">
              <w:rPr>
                <w:rFonts w:asciiTheme="minorHAnsi" w:hAnsiTheme="minorHAnsi" w:cstheme="minorHAnsi"/>
                <w:szCs w:val="22"/>
              </w:rPr>
              <w:t>3/</w:t>
            </w:r>
            <w:r w:rsidR="00866186">
              <w:rPr>
                <w:rFonts w:asciiTheme="minorHAnsi" w:hAnsiTheme="minorHAnsi" w:cstheme="minorHAnsi"/>
                <w:szCs w:val="22"/>
              </w:rPr>
              <w:t>2021/0</w:t>
            </w:r>
            <w:r w:rsidR="008500EA">
              <w:rPr>
                <w:rFonts w:asciiTheme="minorHAnsi" w:hAnsiTheme="minorHAnsi" w:cstheme="minorHAnsi"/>
                <w:szCs w:val="22"/>
              </w:rPr>
              <w:t>374</w:t>
            </w:r>
          </w:p>
        </w:tc>
        <w:tc>
          <w:tcPr>
            <w:tcW w:w="363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D2B8A3" w14:textId="77777777" w:rsidR="004A5EA9" w:rsidRPr="00866186" w:rsidRDefault="004A5EA9">
            <w:pPr>
              <w:rPr>
                <w:rFonts w:asciiTheme="minorHAnsi" w:hAnsiTheme="minorHAnsi" w:cstheme="minorHAnsi"/>
                <w:szCs w:val="22"/>
              </w:rPr>
            </w:pPr>
            <w:r w:rsidRPr="00866186">
              <w:rPr>
                <w:rFonts w:asciiTheme="minorHAnsi" w:hAnsiTheme="minorHAnsi" w:cstheme="minorHAnsi"/>
                <w:noProof/>
                <w:szCs w:val="22"/>
                <w:lang w:eastAsia="en-GB"/>
              </w:rPr>
              <w:drawing>
                <wp:anchor distT="0" distB="0" distL="114300" distR="114300" simplePos="0" relativeHeight="251657216" behindDoc="0" locked="0" layoutInCell="1" allowOverlap="1" wp14:anchorId="6E92CF08" wp14:editId="111D4571">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A5EA9" w:rsidRPr="00866186" w14:paraId="12091F01" w14:textId="77777777" w:rsidTr="00C70DC7">
        <w:trPr>
          <w:jc w:val="center"/>
        </w:trPr>
        <w:tc>
          <w:tcPr>
            <w:tcW w:w="22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F11DAE0" w14:textId="77777777" w:rsidR="004A5EA9" w:rsidRPr="00866186" w:rsidRDefault="004A5EA9">
            <w:pPr>
              <w:rPr>
                <w:rFonts w:asciiTheme="minorHAnsi" w:hAnsiTheme="minorHAnsi" w:cstheme="minorHAnsi"/>
                <w:b/>
                <w:szCs w:val="22"/>
              </w:rPr>
            </w:pPr>
            <w:r w:rsidRPr="00866186">
              <w:rPr>
                <w:rFonts w:asciiTheme="minorHAnsi" w:hAnsiTheme="minorHAnsi" w:cstheme="minorHAnsi"/>
                <w:b/>
                <w:szCs w:val="22"/>
              </w:rPr>
              <w:t>Date Inspected:</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06A8E8" w14:textId="7C6773E3" w:rsidR="004A5EA9" w:rsidRPr="00866186" w:rsidRDefault="008500EA">
            <w:pPr>
              <w:rPr>
                <w:rFonts w:asciiTheme="minorHAnsi" w:hAnsiTheme="minorHAnsi" w:cstheme="minorHAnsi"/>
                <w:szCs w:val="22"/>
              </w:rPr>
            </w:pPr>
            <w:r>
              <w:rPr>
                <w:rFonts w:asciiTheme="minorHAnsi" w:hAnsiTheme="minorHAnsi" w:cstheme="minorHAnsi"/>
                <w:szCs w:val="22"/>
              </w:rPr>
              <w:t>~</w:t>
            </w:r>
          </w:p>
        </w:tc>
        <w:tc>
          <w:tcPr>
            <w:tcW w:w="363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98A847A" w14:textId="77777777" w:rsidR="004A5EA9" w:rsidRPr="00866186" w:rsidRDefault="004A5EA9">
            <w:pPr>
              <w:rPr>
                <w:rFonts w:asciiTheme="minorHAnsi" w:hAnsiTheme="minorHAnsi" w:cstheme="minorHAnsi"/>
                <w:szCs w:val="22"/>
              </w:rPr>
            </w:pPr>
          </w:p>
        </w:tc>
      </w:tr>
      <w:tr w:rsidR="004A5EA9" w:rsidRPr="00866186" w14:paraId="416D41B7" w14:textId="77777777" w:rsidTr="00C70DC7">
        <w:trPr>
          <w:jc w:val="center"/>
        </w:trPr>
        <w:tc>
          <w:tcPr>
            <w:tcW w:w="22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2F7254F" w14:textId="77777777" w:rsidR="004A5EA9" w:rsidRPr="00866186" w:rsidRDefault="00D2449B">
            <w:pPr>
              <w:rPr>
                <w:rFonts w:asciiTheme="minorHAnsi" w:hAnsiTheme="minorHAnsi" w:cstheme="minorHAnsi"/>
                <w:b/>
                <w:szCs w:val="22"/>
              </w:rPr>
            </w:pPr>
            <w:r w:rsidRPr="00866186">
              <w:rPr>
                <w:rFonts w:asciiTheme="minorHAnsi" w:hAnsiTheme="minorHAnsi" w:cstheme="minorHAnsi"/>
                <w:b/>
                <w:szCs w:val="22"/>
              </w:rPr>
              <w:t>Officer</w:t>
            </w:r>
            <w:r w:rsidR="004A5EA9" w:rsidRPr="00866186">
              <w:rPr>
                <w:rFonts w:asciiTheme="minorHAnsi" w:hAnsiTheme="minorHAnsi" w:cstheme="minorHAnsi"/>
                <w:b/>
                <w:szCs w:val="22"/>
              </w:rPr>
              <w:t>:</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5F0729" w14:textId="77777777" w:rsidR="004A5EA9" w:rsidRPr="00866186" w:rsidRDefault="00F22639">
            <w:pPr>
              <w:rPr>
                <w:rFonts w:asciiTheme="minorHAnsi" w:hAnsiTheme="minorHAnsi" w:cstheme="minorHAnsi"/>
                <w:szCs w:val="22"/>
              </w:rPr>
            </w:pPr>
            <w:r w:rsidRPr="00866186">
              <w:rPr>
                <w:rFonts w:asciiTheme="minorHAnsi" w:hAnsiTheme="minorHAnsi" w:cstheme="minorHAnsi"/>
                <w:szCs w:val="22"/>
              </w:rPr>
              <w:t>AB</w:t>
            </w:r>
          </w:p>
        </w:tc>
        <w:tc>
          <w:tcPr>
            <w:tcW w:w="363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EA2AA54" w14:textId="77777777" w:rsidR="004A5EA9" w:rsidRPr="00866186" w:rsidRDefault="004A5EA9">
            <w:pPr>
              <w:rPr>
                <w:rFonts w:asciiTheme="minorHAnsi" w:hAnsiTheme="minorHAnsi" w:cstheme="minorHAnsi"/>
                <w:szCs w:val="22"/>
              </w:rPr>
            </w:pPr>
          </w:p>
        </w:tc>
      </w:tr>
      <w:tr w:rsidR="004A5EA9" w:rsidRPr="00866186" w14:paraId="55C388F2" w14:textId="77777777" w:rsidTr="00C70DC7">
        <w:trPr>
          <w:jc w:val="center"/>
        </w:trPr>
        <w:tc>
          <w:tcPr>
            <w:tcW w:w="563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77EE439" w14:textId="77777777" w:rsidR="004A5EA9" w:rsidRPr="00866186" w:rsidRDefault="004A5EA9" w:rsidP="004A5EA9">
            <w:pPr>
              <w:rPr>
                <w:rFonts w:asciiTheme="minorHAnsi" w:hAnsiTheme="minorHAnsi" w:cstheme="minorHAnsi"/>
                <w:b/>
                <w:szCs w:val="22"/>
              </w:rPr>
            </w:pPr>
            <w:r w:rsidRPr="00866186">
              <w:rPr>
                <w:rFonts w:asciiTheme="minorHAnsi" w:hAnsiTheme="minorHAnsi" w:cstheme="minorHAnsi"/>
                <w:b/>
                <w:szCs w:val="22"/>
              </w:rPr>
              <w:t xml:space="preserve">DELEGATED ITEM FILE REPORT: </w:t>
            </w:r>
          </w:p>
        </w:tc>
        <w:tc>
          <w:tcPr>
            <w:tcW w:w="3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0610E8" w14:textId="77777777" w:rsidR="004A5EA9" w:rsidRPr="00866186" w:rsidRDefault="007453E1" w:rsidP="002A01CF">
            <w:pPr>
              <w:jc w:val="center"/>
              <w:rPr>
                <w:rFonts w:asciiTheme="minorHAnsi" w:hAnsiTheme="minorHAnsi" w:cstheme="minorHAnsi"/>
                <w:b/>
                <w:szCs w:val="22"/>
              </w:rPr>
            </w:pPr>
            <w:r w:rsidRPr="00866186">
              <w:rPr>
                <w:rFonts w:asciiTheme="minorHAnsi" w:hAnsiTheme="minorHAnsi" w:cstheme="minorHAnsi"/>
                <w:b/>
                <w:szCs w:val="22"/>
              </w:rPr>
              <w:t>REFUSED</w:t>
            </w:r>
          </w:p>
        </w:tc>
      </w:tr>
      <w:tr w:rsidR="004A5EA9" w:rsidRPr="00866186" w14:paraId="6F2EDAF0" w14:textId="77777777" w:rsidTr="00C70DC7">
        <w:trPr>
          <w:trHeight w:hRule="exact" w:val="170"/>
          <w:jc w:val="center"/>
        </w:trPr>
        <w:tc>
          <w:tcPr>
            <w:tcW w:w="9271" w:type="dxa"/>
            <w:gridSpan w:val="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49697EB6" w14:textId="77777777" w:rsidR="004A5EA9" w:rsidRPr="00866186" w:rsidRDefault="007E0D23" w:rsidP="007E0D23">
            <w:pPr>
              <w:tabs>
                <w:tab w:val="left" w:pos="4007"/>
              </w:tabs>
              <w:rPr>
                <w:rFonts w:asciiTheme="minorHAnsi" w:hAnsiTheme="minorHAnsi" w:cstheme="minorHAnsi"/>
                <w:b/>
                <w:szCs w:val="22"/>
              </w:rPr>
            </w:pPr>
            <w:r w:rsidRPr="00866186">
              <w:rPr>
                <w:rFonts w:asciiTheme="minorHAnsi" w:hAnsiTheme="minorHAnsi" w:cstheme="minorHAnsi"/>
                <w:b/>
                <w:szCs w:val="22"/>
              </w:rPr>
              <w:tab/>
            </w:r>
          </w:p>
        </w:tc>
      </w:tr>
      <w:tr w:rsidR="004A5EA9" w:rsidRPr="00866186" w14:paraId="45DEF386" w14:textId="77777777" w:rsidTr="002C0855">
        <w:trPr>
          <w:jc w:val="center"/>
        </w:trPr>
        <w:tc>
          <w:tcPr>
            <w:tcW w:w="304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3922CAF" w14:textId="77777777" w:rsidR="004A5EA9" w:rsidRPr="00866186" w:rsidRDefault="004A5EA9" w:rsidP="00A95D89">
            <w:pPr>
              <w:rPr>
                <w:rFonts w:asciiTheme="minorHAnsi" w:hAnsiTheme="minorHAnsi" w:cstheme="minorHAnsi"/>
                <w:b/>
                <w:szCs w:val="22"/>
              </w:rPr>
            </w:pPr>
            <w:r w:rsidRPr="00866186">
              <w:rPr>
                <w:rFonts w:asciiTheme="minorHAnsi" w:hAnsiTheme="minorHAnsi" w:cstheme="minorHAnsi"/>
                <w:b/>
                <w:szCs w:val="22"/>
              </w:rPr>
              <w:t xml:space="preserve">Development </w:t>
            </w:r>
            <w:r w:rsidR="00A95D89" w:rsidRPr="00866186">
              <w:rPr>
                <w:rFonts w:asciiTheme="minorHAnsi" w:hAnsiTheme="minorHAnsi" w:cstheme="minorHAnsi"/>
                <w:b/>
                <w:szCs w:val="22"/>
              </w:rPr>
              <w:t>Description</w:t>
            </w:r>
            <w:r w:rsidRPr="00866186">
              <w:rPr>
                <w:rFonts w:asciiTheme="minorHAnsi" w:hAnsiTheme="minorHAnsi" w:cstheme="minorHAnsi"/>
                <w:b/>
                <w:szCs w:val="22"/>
              </w:rPr>
              <w:t>:</w:t>
            </w:r>
          </w:p>
        </w:tc>
        <w:tc>
          <w:tcPr>
            <w:tcW w:w="622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C92D62" w14:textId="78FCC58D" w:rsidR="004A5EA9" w:rsidRPr="00866186" w:rsidRDefault="008500EA">
            <w:pPr>
              <w:rPr>
                <w:rFonts w:asciiTheme="minorHAnsi" w:hAnsiTheme="minorHAnsi" w:cstheme="minorHAnsi"/>
                <w:b/>
                <w:szCs w:val="22"/>
              </w:rPr>
            </w:pPr>
            <w:r w:rsidRPr="008500EA">
              <w:rPr>
                <w:rFonts w:asciiTheme="minorHAnsi" w:hAnsiTheme="minorHAnsi" w:cstheme="minorHAnsi"/>
                <w:b/>
                <w:szCs w:val="22"/>
              </w:rPr>
              <w:t xml:space="preserve">Permission in Principle for a </w:t>
            </w:r>
            <w:proofErr w:type="gramStart"/>
            <w:r w:rsidRPr="008500EA">
              <w:rPr>
                <w:rFonts w:asciiTheme="minorHAnsi" w:hAnsiTheme="minorHAnsi" w:cstheme="minorHAnsi"/>
                <w:b/>
                <w:szCs w:val="22"/>
              </w:rPr>
              <w:t>4 bedroom</w:t>
            </w:r>
            <w:proofErr w:type="gramEnd"/>
            <w:r w:rsidRPr="008500EA">
              <w:rPr>
                <w:rFonts w:asciiTheme="minorHAnsi" w:hAnsiTheme="minorHAnsi" w:cstheme="minorHAnsi"/>
                <w:b/>
                <w:szCs w:val="22"/>
              </w:rPr>
              <w:t xml:space="preserve"> detached house.</w:t>
            </w:r>
          </w:p>
        </w:tc>
      </w:tr>
      <w:tr w:rsidR="002A01CF" w:rsidRPr="00866186" w14:paraId="338A5E0A" w14:textId="77777777" w:rsidTr="002C0855">
        <w:trPr>
          <w:jc w:val="center"/>
        </w:trPr>
        <w:tc>
          <w:tcPr>
            <w:tcW w:w="304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5313D3D" w14:textId="77777777" w:rsidR="002A01CF" w:rsidRPr="00866186" w:rsidRDefault="002A01CF">
            <w:pPr>
              <w:rPr>
                <w:rFonts w:asciiTheme="minorHAnsi" w:hAnsiTheme="minorHAnsi" w:cstheme="minorHAnsi"/>
                <w:b/>
                <w:szCs w:val="22"/>
              </w:rPr>
            </w:pPr>
            <w:r w:rsidRPr="00866186">
              <w:rPr>
                <w:rFonts w:asciiTheme="minorHAnsi" w:hAnsiTheme="minorHAnsi" w:cstheme="minorHAnsi"/>
                <w:b/>
                <w:szCs w:val="22"/>
              </w:rPr>
              <w:t>Site Address</w:t>
            </w:r>
            <w:r w:rsidR="00A95D89" w:rsidRPr="00866186">
              <w:rPr>
                <w:rFonts w:asciiTheme="minorHAnsi" w:hAnsiTheme="minorHAnsi" w:cstheme="minorHAnsi"/>
                <w:b/>
                <w:szCs w:val="22"/>
              </w:rPr>
              <w:t>/Location</w:t>
            </w:r>
            <w:r w:rsidRPr="00866186">
              <w:rPr>
                <w:rFonts w:asciiTheme="minorHAnsi" w:hAnsiTheme="minorHAnsi" w:cstheme="minorHAnsi"/>
                <w:b/>
                <w:szCs w:val="22"/>
              </w:rPr>
              <w:t>:</w:t>
            </w:r>
          </w:p>
        </w:tc>
        <w:tc>
          <w:tcPr>
            <w:tcW w:w="622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0713AC" w14:textId="1B5701CD" w:rsidR="002A01CF" w:rsidRPr="00866186" w:rsidRDefault="008500EA" w:rsidP="00594478">
            <w:pPr>
              <w:rPr>
                <w:rFonts w:asciiTheme="minorHAnsi" w:hAnsiTheme="minorHAnsi" w:cstheme="minorHAnsi"/>
                <w:b/>
                <w:szCs w:val="22"/>
              </w:rPr>
            </w:pPr>
            <w:r w:rsidRPr="008500EA">
              <w:rPr>
                <w:rFonts w:asciiTheme="minorHAnsi" w:hAnsiTheme="minorHAnsi" w:cstheme="minorHAnsi"/>
                <w:b/>
                <w:szCs w:val="22"/>
              </w:rPr>
              <w:t xml:space="preserve">Land Adjacent to 56 Knowsley Road West </w:t>
            </w:r>
            <w:proofErr w:type="spellStart"/>
            <w:r w:rsidRPr="008500EA">
              <w:rPr>
                <w:rFonts w:asciiTheme="minorHAnsi" w:hAnsiTheme="minorHAnsi" w:cstheme="minorHAnsi"/>
                <w:b/>
                <w:szCs w:val="22"/>
              </w:rPr>
              <w:t>Wilpshire</w:t>
            </w:r>
            <w:proofErr w:type="spellEnd"/>
            <w:r w:rsidRPr="008500EA">
              <w:rPr>
                <w:rFonts w:asciiTheme="minorHAnsi" w:hAnsiTheme="minorHAnsi" w:cstheme="minorHAnsi"/>
                <w:b/>
                <w:szCs w:val="22"/>
              </w:rPr>
              <w:t xml:space="preserve"> BB1 9PW</w:t>
            </w:r>
          </w:p>
        </w:tc>
      </w:tr>
      <w:tr w:rsidR="00A95D89" w:rsidRPr="00866186" w14:paraId="4FE02A49" w14:textId="77777777" w:rsidTr="00C70DC7">
        <w:trPr>
          <w:trHeight w:hRule="exact" w:val="170"/>
          <w:jc w:val="center"/>
        </w:trPr>
        <w:tc>
          <w:tcPr>
            <w:tcW w:w="9271" w:type="dxa"/>
            <w:gridSpan w:val="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E467415" w14:textId="77777777" w:rsidR="00A95D89" w:rsidRPr="00866186" w:rsidRDefault="007E0D23" w:rsidP="007E0D23">
            <w:pPr>
              <w:tabs>
                <w:tab w:val="left" w:pos="2667"/>
              </w:tabs>
              <w:rPr>
                <w:rFonts w:asciiTheme="minorHAnsi" w:hAnsiTheme="minorHAnsi" w:cstheme="minorHAnsi"/>
                <w:b/>
                <w:szCs w:val="22"/>
              </w:rPr>
            </w:pPr>
            <w:r w:rsidRPr="00866186">
              <w:rPr>
                <w:rFonts w:asciiTheme="minorHAnsi" w:hAnsiTheme="minorHAnsi" w:cstheme="minorHAnsi"/>
                <w:b/>
                <w:szCs w:val="22"/>
              </w:rPr>
              <w:tab/>
            </w:r>
          </w:p>
        </w:tc>
      </w:tr>
      <w:tr w:rsidR="00C618DB" w:rsidRPr="00866186" w14:paraId="094C2F66" w14:textId="77777777" w:rsidTr="002C0855">
        <w:trPr>
          <w:jc w:val="center"/>
        </w:trPr>
        <w:tc>
          <w:tcPr>
            <w:tcW w:w="304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5C3187F" w14:textId="77777777" w:rsidR="00C618DB" w:rsidRPr="00866186" w:rsidRDefault="00C618DB">
            <w:pPr>
              <w:rPr>
                <w:rFonts w:asciiTheme="minorHAnsi" w:hAnsiTheme="minorHAnsi" w:cstheme="minorHAnsi"/>
                <w:b/>
                <w:szCs w:val="22"/>
              </w:rPr>
            </w:pPr>
            <w:r w:rsidRPr="00866186">
              <w:rPr>
                <w:rFonts w:asciiTheme="minorHAnsi" w:hAnsiTheme="minorHAnsi" w:cstheme="minorHAnsi"/>
                <w:b/>
                <w:szCs w:val="22"/>
              </w:rPr>
              <w:t xml:space="preserve">CONSULTATIONS: </w:t>
            </w:r>
          </w:p>
        </w:tc>
        <w:tc>
          <w:tcPr>
            <w:tcW w:w="622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8FA226" w14:textId="77777777" w:rsidR="00C618DB" w:rsidRPr="00866186" w:rsidRDefault="00C618DB">
            <w:pPr>
              <w:rPr>
                <w:rFonts w:asciiTheme="minorHAnsi" w:hAnsiTheme="minorHAnsi" w:cstheme="minorHAnsi"/>
                <w:b/>
                <w:szCs w:val="22"/>
              </w:rPr>
            </w:pPr>
            <w:r w:rsidRPr="00866186">
              <w:rPr>
                <w:rFonts w:asciiTheme="minorHAnsi" w:hAnsiTheme="minorHAnsi" w:cstheme="minorHAnsi"/>
                <w:b/>
                <w:szCs w:val="22"/>
              </w:rPr>
              <w:t>Parish/Town Council</w:t>
            </w:r>
          </w:p>
        </w:tc>
      </w:tr>
      <w:tr w:rsidR="002A01CF" w:rsidRPr="00866186" w14:paraId="39D2B396" w14:textId="77777777" w:rsidTr="00C70DC7">
        <w:trPr>
          <w:jc w:val="center"/>
        </w:trPr>
        <w:tc>
          <w:tcPr>
            <w:tcW w:w="927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31A3F" w14:textId="0383D718" w:rsidR="002054BE" w:rsidRPr="008500EA" w:rsidRDefault="008500EA" w:rsidP="008500EA">
            <w:pPr>
              <w:jc w:val="both"/>
              <w:rPr>
                <w:rFonts w:asciiTheme="minorHAnsi" w:hAnsiTheme="minorHAnsi" w:cstheme="minorHAnsi"/>
                <w:szCs w:val="22"/>
              </w:rPr>
            </w:pPr>
            <w:r>
              <w:rPr>
                <w:rFonts w:asciiTheme="minorHAnsi" w:hAnsiTheme="minorHAnsi" w:cstheme="minorHAnsi"/>
                <w:szCs w:val="22"/>
              </w:rPr>
              <w:t>None received.</w:t>
            </w:r>
          </w:p>
        </w:tc>
      </w:tr>
      <w:tr w:rsidR="00C618DB" w:rsidRPr="00866186" w14:paraId="34D79641" w14:textId="77777777" w:rsidTr="00C70DC7">
        <w:trPr>
          <w:trHeight w:hRule="exact" w:val="170"/>
          <w:jc w:val="center"/>
        </w:trPr>
        <w:tc>
          <w:tcPr>
            <w:tcW w:w="9271" w:type="dxa"/>
            <w:gridSpan w:val="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3404D05" w14:textId="77777777" w:rsidR="00C618DB" w:rsidRPr="00866186" w:rsidRDefault="00C618DB" w:rsidP="005D7447">
            <w:pPr>
              <w:jc w:val="both"/>
              <w:rPr>
                <w:rFonts w:asciiTheme="minorHAnsi" w:hAnsiTheme="minorHAnsi" w:cstheme="minorHAnsi"/>
                <w:bCs/>
                <w:szCs w:val="22"/>
              </w:rPr>
            </w:pPr>
          </w:p>
        </w:tc>
      </w:tr>
      <w:tr w:rsidR="00C618DB" w:rsidRPr="00866186" w14:paraId="29D34C29" w14:textId="77777777" w:rsidTr="002C0855">
        <w:trPr>
          <w:jc w:val="center"/>
        </w:trPr>
        <w:tc>
          <w:tcPr>
            <w:tcW w:w="304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A725C04" w14:textId="77777777" w:rsidR="00C618DB" w:rsidRPr="00866186" w:rsidRDefault="00C618DB" w:rsidP="005D7447">
            <w:pPr>
              <w:jc w:val="both"/>
              <w:rPr>
                <w:rFonts w:asciiTheme="minorHAnsi" w:hAnsiTheme="minorHAnsi" w:cstheme="minorHAnsi"/>
                <w:b/>
                <w:szCs w:val="22"/>
              </w:rPr>
            </w:pPr>
            <w:r w:rsidRPr="00866186">
              <w:rPr>
                <w:rFonts w:asciiTheme="minorHAnsi" w:hAnsiTheme="minorHAnsi" w:cstheme="minorHAnsi"/>
                <w:b/>
                <w:szCs w:val="22"/>
              </w:rPr>
              <w:t xml:space="preserve">CONSULTATIONS: </w:t>
            </w:r>
          </w:p>
        </w:tc>
        <w:tc>
          <w:tcPr>
            <w:tcW w:w="622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4107C2" w14:textId="77777777" w:rsidR="00C618DB" w:rsidRPr="00866186" w:rsidRDefault="00C618DB" w:rsidP="00C618DB">
            <w:pPr>
              <w:rPr>
                <w:rFonts w:asciiTheme="minorHAnsi" w:hAnsiTheme="minorHAnsi" w:cstheme="minorHAnsi"/>
                <w:b/>
                <w:szCs w:val="22"/>
              </w:rPr>
            </w:pPr>
            <w:r w:rsidRPr="00866186">
              <w:rPr>
                <w:rFonts w:asciiTheme="minorHAnsi" w:hAnsiTheme="minorHAnsi" w:cstheme="minorHAnsi"/>
                <w:b/>
                <w:szCs w:val="22"/>
              </w:rPr>
              <w:t>Additional Representations.</w:t>
            </w:r>
          </w:p>
        </w:tc>
      </w:tr>
      <w:tr w:rsidR="00EC23C7" w:rsidRPr="00866186" w14:paraId="20E69D64" w14:textId="77777777" w:rsidTr="00C70DC7">
        <w:trPr>
          <w:jc w:val="center"/>
        </w:trPr>
        <w:tc>
          <w:tcPr>
            <w:tcW w:w="927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CF9D809" w14:textId="562D5003" w:rsidR="004E5A2E" w:rsidRDefault="002054BE" w:rsidP="008500EA">
            <w:pPr>
              <w:jc w:val="both"/>
              <w:rPr>
                <w:rFonts w:asciiTheme="minorHAnsi" w:hAnsiTheme="minorHAnsi" w:cstheme="minorHAnsi"/>
                <w:szCs w:val="22"/>
              </w:rPr>
            </w:pPr>
            <w:r>
              <w:rPr>
                <w:rFonts w:asciiTheme="minorHAnsi" w:hAnsiTheme="minorHAnsi" w:cstheme="minorHAnsi"/>
                <w:szCs w:val="22"/>
              </w:rPr>
              <w:t xml:space="preserve">A total of </w:t>
            </w:r>
            <w:r w:rsidR="008500EA">
              <w:rPr>
                <w:rFonts w:asciiTheme="minorHAnsi" w:hAnsiTheme="minorHAnsi" w:cstheme="minorHAnsi"/>
                <w:szCs w:val="22"/>
              </w:rPr>
              <w:t>9 objections have been received and raise the following concerns:</w:t>
            </w:r>
          </w:p>
          <w:p w14:paraId="23635ECE" w14:textId="3638C4E7" w:rsidR="008500EA" w:rsidRDefault="008500EA" w:rsidP="008500EA">
            <w:pPr>
              <w:jc w:val="both"/>
              <w:rPr>
                <w:rFonts w:asciiTheme="minorHAnsi" w:hAnsiTheme="minorHAnsi" w:cstheme="minorHAnsi"/>
                <w:szCs w:val="22"/>
              </w:rPr>
            </w:pPr>
          </w:p>
          <w:p w14:paraId="3AE69102" w14:textId="6AEA1242" w:rsidR="008500EA" w:rsidRPr="0006273B" w:rsidRDefault="008500EA" w:rsidP="0006273B">
            <w:pPr>
              <w:pStyle w:val="ListParagraph"/>
              <w:numPr>
                <w:ilvl w:val="0"/>
                <w:numId w:val="16"/>
              </w:numPr>
              <w:jc w:val="both"/>
              <w:rPr>
                <w:rFonts w:asciiTheme="minorHAnsi" w:hAnsiTheme="minorHAnsi" w:cstheme="minorHAnsi"/>
                <w:szCs w:val="22"/>
              </w:rPr>
            </w:pPr>
            <w:r w:rsidRPr="0006273B">
              <w:rPr>
                <w:rFonts w:asciiTheme="minorHAnsi" w:hAnsiTheme="minorHAnsi" w:cstheme="minorHAnsi"/>
                <w:szCs w:val="22"/>
              </w:rPr>
              <w:t xml:space="preserve">The land is Green Belt </w:t>
            </w:r>
            <w:proofErr w:type="gramStart"/>
            <w:r w:rsidRPr="0006273B">
              <w:rPr>
                <w:rFonts w:asciiTheme="minorHAnsi" w:hAnsiTheme="minorHAnsi" w:cstheme="minorHAnsi"/>
                <w:szCs w:val="22"/>
              </w:rPr>
              <w:t>land;</w:t>
            </w:r>
            <w:proofErr w:type="gramEnd"/>
          </w:p>
          <w:p w14:paraId="30CB5D06" w14:textId="58F80B43" w:rsidR="008500EA" w:rsidRPr="0006273B" w:rsidRDefault="008500EA" w:rsidP="0006273B">
            <w:pPr>
              <w:pStyle w:val="ListParagraph"/>
              <w:numPr>
                <w:ilvl w:val="0"/>
                <w:numId w:val="16"/>
              </w:numPr>
              <w:jc w:val="both"/>
              <w:rPr>
                <w:rFonts w:asciiTheme="minorHAnsi" w:hAnsiTheme="minorHAnsi" w:cstheme="minorHAnsi"/>
                <w:szCs w:val="22"/>
              </w:rPr>
            </w:pPr>
            <w:r w:rsidRPr="0006273B">
              <w:rPr>
                <w:rFonts w:asciiTheme="minorHAnsi" w:hAnsiTheme="minorHAnsi" w:cstheme="minorHAnsi"/>
                <w:szCs w:val="22"/>
              </w:rPr>
              <w:t xml:space="preserve">Would provide opportunity for future </w:t>
            </w:r>
            <w:proofErr w:type="gramStart"/>
            <w:r w:rsidRPr="0006273B">
              <w:rPr>
                <w:rFonts w:asciiTheme="minorHAnsi" w:hAnsiTheme="minorHAnsi" w:cstheme="minorHAnsi"/>
                <w:szCs w:val="22"/>
              </w:rPr>
              <w:t>encroachment;</w:t>
            </w:r>
            <w:proofErr w:type="gramEnd"/>
          </w:p>
          <w:p w14:paraId="3ED4FFCD" w14:textId="43695C40" w:rsidR="008500EA" w:rsidRPr="0006273B" w:rsidRDefault="008500EA" w:rsidP="0006273B">
            <w:pPr>
              <w:pStyle w:val="ListParagraph"/>
              <w:numPr>
                <w:ilvl w:val="0"/>
                <w:numId w:val="16"/>
              </w:numPr>
              <w:jc w:val="both"/>
              <w:rPr>
                <w:rFonts w:asciiTheme="minorHAnsi" w:hAnsiTheme="minorHAnsi" w:cstheme="minorHAnsi"/>
                <w:szCs w:val="22"/>
              </w:rPr>
            </w:pPr>
            <w:r w:rsidRPr="0006273B">
              <w:rPr>
                <w:rFonts w:asciiTheme="minorHAnsi" w:hAnsiTheme="minorHAnsi" w:cstheme="minorHAnsi"/>
                <w:szCs w:val="22"/>
              </w:rPr>
              <w:t xml:space="preserve">Not clear why this house needs to be so far from existing </w:t>
            </w:r>
            <w:proofErr w:type="gramStart"/>
            <w:r w:rsidRPr="0006273B">
              <w:rPr>
                <w:rFonts w:asciiTheme="minorHAnsi" w:hAnsiTheme="minorHAnsi" w:cstheme="minorHAnsi"/>
                <w:szCs w:val="22"/>
              </w:rPr>
              <w:t>farmhouse;</w:t>
            </w:r>
            <w:proofErr w:type="gramEnd"/>
          </w:p>
          <w:p w14:paraId="3C04D0CD" w14:textId="50DA2117" w:rsidR="008500EA" w:rsidRPr="0006273B" w:rsidRDefault="008500EA" w:rsidP="0006273B">
            <w:pPr>
              <w:pStyle w:val="ListParagraph"/>
              <w:numPr>
                <w:ilvl w:val="0"/>
                <w:numId w:val="16"/>
              </w:numPr>
              <w:jc w:val="both"/>
              <w:rPr>
                <w:rFonts w:asciiTheme="minorHAnsi" w:hAnsiTheme="minorHAnsi" w:cstheme="minorHAnsi"/>
                <w:szCs w:val="22"/>
              </w:rPr>
            </w:pPr>
            <w:r w:rsidRPr="0006273B">
              <w:rPr>
                <w:rFonts w:asciiTheme="minorHAnsi" w:hAnsiTheme="minorHAnsi" w:cstheme="minorHAnsi"/>
                <w:szCs w:val="22"/>
              </w:rPr>
              <w:t xml:space="preserve">Poor </w:t>
            </w:r>
            <w:proofErr w:type="gramStart"/>
            <w:r w:rsidRPr="0006273B">
              <w:rPr>
                <w:rFonts w:asciiTheme="minorHAnsi" w:hAnsiTheme="minorHAnsi" w:cstheme="minorHAnsi"/>
                <w:szCs w:val="22"/>
              </w:rPr>
              <w:t>access;</w:t>
            </w:r>
            <w:proofErr w:type="gramEnd"/>
          </w:p>
          <w:p w14:paraId="5B345628" w14:textId="4767A974" w:rsidR="008500EA" w:rsidRPr="0006273B" w:rsidRDefault="008500EA" w:rsidP="0006273B">
            <w:pPr>
              <w:pStyle w:val="ListParagraph"/>
              <w:numPr>
                <w:ilvl w:val="0"/>
                <w:numId w:val="16"/>
              </w:numPr>
              <w:jc w:val="both"/>
              <w:rPr>
                <w:rFonts w:asciiTheme="minorHAnsi" w:hAnsiTheme="minorHAnsi" w:cstheme="minorHAnsi"/>
                <w:szCs w:val="22"/>
              </w:rPr>
            </w:pPr>
            <w:r w:rsidRPr="0006273B">
              <w:rPr>
                <w:rFonts w:asciiTheme="minorHAnsi" w:hAnsiTheme="minorHAnsi" w:cstheme="minorHAnsi"/>
                <w:szCs w:val="22"/>
              </w:rPr>
              <w:t xml:space="preserve">House would obscure views from neighbouring </w:t>
            </w:r>
            <w:proofErr w:type="gramStart"/>
            <w:r w:rsidRPr="0006273B">
              <w:rPr>
                <w:rFonts w:asciiTheme="minorHAnsi" w:hAnsiTheme="minorHAnsi" w:cstheme="minorHAnsi"/>
                <w:szCs w:val="22"/>
              </w:rPr>
              <w:t>properties;</w:t>
            </w:r>
            <w:proofErr w:type="gramEnd"/>
          </w:p>
          <w:p w14:paraId="6EDC91C4" w14:textId="2B35A259" w:rsidR="008500EA" w:rsidRPr="0006273B" w:rsidRDefault="008500EA" w:rsidP="0006273B">
            <w:pPr>
              <w:pStyle w:val="ListParagraph"/>
              <w:numPr>
                <w:ilvl w:val="0"/>
                <w:numId w:val="16"/>
              </w:numPr>
              <w:jc w:val="both"/>
              <w:rPr>
                <w:rFonts w:asciiTheme="minorHAnsi" w:hAnsiTheme="minorHAnsi" w:cstheme="minorHAnsi"/>
                <w:szCs w:val="22"/>
              </w:rPr>
            </w:pPr>
            <w:r w:rsidRPr="0006273B">
              <w:rPr>
                <w:rFonts w:asciiTheme="minorHAnsi" w:hAnsiTheme="minorHAnsi" w:cstheme="minorHAnsi"/>
                <w:szCs w:val="22"/>
              </w:rPr>
              <w:t xml:space="preserve">Additional </w:t>
            </w:r>
            <w:proofErr w:type="gramStart"/>
            <w:r w:rsidRPr="0006273B">
              <w:rPr>
                <w:rFonts w:asciiTheme="minorHAnsi" w:hAnsiTheme="minorHAnsi" w:cstheme="minorHAnsi"/>
                <w:szCs w:val="22"/>
              </w:rPr>
              <w:t>traffic;</w:t>
            </w:r>
            <w:proofErr w:type="gramEnd"/>
          </w:p>
          <w:p w14:paraId="43A1F8CA" w14:textId="4A7C49D8" w:rsidR="0006273B" w:rsidRPr="0006273B" w:rsidRDefault="0006273B" w:rsidP="0006273B">
            <w:pPr>
              <w:pStyle w:val="ListParagraph"/>
              <w:numPr>
                <w:ilvl w:val="0"/>
                <w:numId w:val="16"/>
              </w:numPr>
              <w:jc w:val="both"/>
              <w:rPr>
                <w:rFonts w:asciiTheme="minorHAnsi" w:hAnsiTheme="minorHAnsi" w:cstheme="minorHAnsi"/>
                <w:szCs w:val="22"/>
              </w:rPr>
            </w:pPr>
            <w:r w:rsidRPr="0006273B">
              <w:rPr>
                <w:rFonts w:asciiTheme="minorHAnsi" w:hAnsiTheme="minorHAnsi" w:cstheme="minorHAnsi"/>
                <w:szCs w:val="22"/>
              </w:rPr>
              <w:t xml:space="preserve">Foul sewer may run through the </w:t>
            </w:r>
            <w:proofErr w:type="gramStart"/>
            <w:r w:rsidRPr="0006273B">
              <w:rPr>
                <w:rFonts w:asciiTheme="minorHAnsi" w:hAnsiTheme="minorHAnsi" w:cstheme="minorHAnsi"/>
                <w:szCs w:val="22"/>
              </w:rPr>
              <w:t>site;</w:t>
            </w:r>
            <w:proofErr w:type="gramEnd"/>
          </w:p>
          <w:p w14:paraId="1D29AE40" w14:textId="30261D6A" w:rsidR="0006273B" w:rsidRPr="0006273B" w:rsidRDefault="0006273B" w:rsidP="0006273B">
            <w:pPr>
              <w:pStyle w:val="ListParagraph"/>
              <w:numPr>
                <w:ilvl w:val="0"/>
                <w:numId w:val="16"/>
              </w:numPr>
              <w:jc w:val="both"/>
              <w:rPr>
                <w:rFonts w:asciiTheme="minorHAnsi" w:hAnsiTheme="minorHAnsi" w:cstheme="minorHAnsi"/>
                <w:szCs w:val="22"/>
              </w:rPr>
            </w:pPr>
            <w:r w:rsidRPr="0006273B">
              <w:rPr>
                <w:rFonts w:asciiTheme="minorHAnsi" w:hAnsiTheme="minorHAnsi" w:cstheme="minorHAnsi"/>
                <w:szCs w:val="22"/>
              </w:rPr>
              <w:t xml:space="preserve">Concerns regarding public consultation </w:t>
            </w:r>
            <w:proofErr w:type="gramStart"/>
            <w:r w:rsidRPr="0006273B">
              <w:rPr>
                <w:rFonts w:asciiTheme="minorHAnsi" w:hAnsiTheme="minorHAnsi" w:cstheme="minorHAnsi"/>
                <w:szCs w:val="22"/>
              </w:rPr>
              <w:t>process;</w:t>
            </w:r>
            <w:proofErr w:type="gramEnd"/>
          </w:p>
          <w:p w14:paraId="21D91AD2" w14:textId="45579B9E" w:rsidR="004E5A2E" w:rsidRPr="004E5A2E" w:rsidRDefault="004E5A2E" w:rsidP="004E5A2E">
            <w:pPr>
              <w:pStyle w:val="ListParagraph"/>
              <w:jc w:val="both"/>
              <w:rPr>
                <w:rFonts w:asciiTheme="minorHAnsi" w:hAnsiTheme="minorHAnsi" w:cstheme="minorHAnsi"/>
                <w:szCs w:val="22"/>
              </w:rPr>
            </w:pPr>
          </w:p>
        </w:tc>
      </w:tr>
      <w:tr w:rsidR="00C618DB" w:rsidRPr="00866186" w14:paraId="4F3C0E4F" w14:textId="77777777" w:rsidTr="00C70DC7">
        <w:trPr>
          <w:trHeight w:hRule="exact" w:val="170"/>
          <w:jc w:val="center"/>
        </w:trPr>
        <w:tc>
          <w:tcPr>
            <w:tcW w:w="9271" w:type="dxa"/>
            <w:gridSpan w:val="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4A30DA85" w14:textId="77777777" w:rsidR="00C618DB" w:rsidRPr="00866186" w:rsidRDefault="00C618DB">
            <w:pPr>
              <w:rPr>
                <w:rFonts w:asciiTheme="minorHAnsi" w:hAnsiTheme="minorHAnsi" w:cstheme="minorHAnsi"/>
                <w:szCs w:val="22"/>
              </w:rPr>
            </w:pPr>
          </w:p>
        </w:tc>
      </w:tr>
      <w:tr w:rsidR="00EC23C7" w:rsidRPr="00866186" w14:paraId="1F70C2DF" w14:textId="77777777" w:rsidTr="00C70DC7">
        <w:trPr>
          <w:jc w:val="center"/>
        </w:trPr>
        <w:tc>
          <w:tcPr>
            <w:tcW w:w="927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FDDF6A" w14:textId="77777777" w:rsidR="00EC23C7" w:rsidRPr="00866186" w:rsidRDefault="00EC23C7">
            <w:pPr>
              <w:rPr>
                <w:rFonts w:asciiTheme="minorHAnsi" w:hAnsiTheme="minorHAnsi" w:cstheme="minorHAnsi"/>
                <w:b/>
                <w:szCs w:val="22"/>
              </w:rPr>
            </w:pPr>
            <w:r w:rsidRPr="00866186">
              <w:rPr>
                <w:rFonts w:asciiTheme="minorHAnsi" w:hAnsiTheme="minorHAnsi" w:cstheme="minorHAnsi"/>
                <w:b/>
                <w:szCs w:val="22"/>
              </w:rPr>
              <w:t>RELEVANT POLICIES:</w:t>
            </w:r>
          </w:p>
        </w:tc>
      </w:tr>
      <w:tr w:rsidR="00C618DB" w:rsidRPr="00866186" w14:paraId="08604738" w14:textId="77777777" w:rsidTr="00C70DC7">
        <w:trPr>
          <w:jc w:val="center"/>
        </w:trPr>
        <w:tc>
          <w:tcPr>
            <w:tcW w:w="927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3F0A4ED" w14:textId="77777777" w:rsidR="00C618DB" w:rsidRPr="00866186" w:rsidRDefault="00C618DB" w:rsidP="00A63D55">
            <w:pPr>
              <w:pStyle w:val="PLANNING"/>
              <w:rPr>
                <w:rFonts w:asciiTheme="minorHAnsi" w:hAnsiTheme="minorHAnsi" w:cstheme="minorHAnsi"/>
                <w:b/>
                <w:bCs/>
                <w:szCs w:val="22"/>
              </w:rPr>
            </w:pPr>
            <w:r w:rsidRPr="00866186">
              <w:rPr>
                <w:rFonts w:asciiTheme="minorHAnsi" w:hAnsiTheme="minorHAnsi" w:cstheme="minorHAnsi"/>
                <w:b/>
                <w:bCs/>
                <w:szCs w:val="22"/>
              </w:rPr>
              <w:t>Ribble Valley Core Strategy:</w:t>
            </w:r>
          </w:p>
          <w:p w14:paraId="01F3EF9E" w14:textId="77777777" w:rsidR="00594478" w:rsidRPr="00866186" w:rsidRDefault="004B0D01" w:rsidP="00A63D55">
            <w:pPr>
              <w:pStyle w:val="PLANNING"/>
              <w:rPr>
                <w:rFonts w:asciiTheme="minorHAnsi" w:hAnsiTheme="minorHAnsi" w:cstheme="minorHAnsi"/>
                <w:bCs/>
                <w:szCs w:val="22"/>
              </w:rPr>
            </w:pPr>
            <w:r w:rsidRPr="00866186">
              <w:rPr>
                <w:rFonts w:asciiTheme="minorHAnsi" w:hAnsiTheme="minorHAnsi" w:cstheme="minorHAnsi"/>
                <w:bCs/>
                <w:szCs w:val="22"/>
              </w:rPr>
              <w:t xml:space="preserve">Key Statement </w:t>
            </w:r>
            <w:r w:rsidR="00594478" w:rsidRPr="00866186">
              <w:rPr>
                <w:rFonts w:asciiTheme="minorHAnsi" w:hAnsiTheme="minorHAnsi" w:cstheme="minorHAnsi"/>
                <w:bCs/>
                <w:szCs w:val="22"/>
              </w:rPr>
              <w:t>DS1 – Development Strategy</w:t>
            </w:r>
          </w:p>
          <w:p w14:paraId="063C39DF" w14:textId="7E73F613" w:rsidR="00594478" w:rsidRDefault="004B0D01" w:rsidP="00A63D55">
            <w:pPr>
              <w:pStyle w:val="PLANNING"/>
              <w:rPr>
                <w:rFonts w:asciiTheme="minorHAnsi" w:hAnsiTheme="minorHAnsi" w:cstheme="minorHAnsi"/>
                <w:bCs/>
                <w:szCs w:val="22"/>
              </w:rPr>
            </w:pPr>
            <w:r w:rsidRPr="00866186">
              <w:rPr>
                <w:rFonts w:asciiTheme="minorHAnsi" w:hAnsiTheme="minorHAnsi" w:cstheme="minorHAnsi"/>
                <w:bCs/>
                <w:szCs w:val="22"/>
              </w:rPr>
              <w:t xml:space="preserve">Key Statement </w:t>
            </w:r>
            <w:r w:rsidR="00594478" w:rsidRPr="00866186">
              <w:rPr>
                <w:rFonts w:asciiTheme="minorHAnsi" w:hAnsiTheme="minorHAnsi" w:cstheme="minorHAnsi"/>
                <w:bCs/>
                <w:szCs w:val="22"/>
              </w:rPr>
              <w:t>DS2 – Sustainable Development</w:t>
            </w:r>
          </w:p>
          <w:p w14:paraId="60B06FC3" w14:textId="1980A5B7" w:rsidR="00AB5729" w:rsidRDefault="00AB5729" w:rsidP="00A63D55">
            <w:pPr>
              <w:pStyle w:val="PLANNING"/>
              <w:rPr>
                <w:rFonts w:asciiTheme="minorHAnsi" w:hAnsiTheme="minorHAnsi" w:cstheme="minorHAnsi"/>
                <w:bCs/>
                <w:szCs w:val="22"/>
              </w:rPr>
            </w:pPr>
            <w:r>
              <w:rPr>
                <w:rFonts w:asciiTheme="minorHAnsi" w:hAnsiTheme="minorHAnsi" w:cstheme="minorHAnsi"/>
                <w:bCs/>
                <w:szCs w:val="22"/>
              </w:rPr>
              <w:t>Key Statement DMI2 – Transport Considerations</w:t>
            </w:r>
          </w:p>
          <w:p w14:paraId="77622CE7" w14:textId="27164AE7" w:rsidR="004C2CC7" w:rsidRPr="00866186" w:rsidRDefault="004C2CC7" w:rsidP="00A63D55">
            <w:pPr>
              <w:pStyle w:val="PLANNING"/>
              <w:rPr>
                <w:rFonts w:asciiTheme="minorHAnsi" w:hAnsiTheme="minorHAnsi" w:cstheme="minorHAnsi"/>
                <w:bCs/>
                <w:szCs w:val="22"/>
              </w:rPr>
            </w:pPr>
            <w:r>
              <w:rPr>
                <w:rFonts w:asciiTheme="minorHAnsi" w:hAnsiTheme="minorHAnsi" w:cstheme="minorHAnsi"/>
                <w:bCs/>
                <w:szCs w:val="22"/>
              </w:rPr>
              <w:t>Key Statement EN1 – Green Belt</w:t>
            </w:r>
          </w:p>
          <w:p w14:paraId="4F84DFB4" w14:textId="39D14521" w:rsidR="00594478" w:rsidRDefault="004B0D01" w:rsidP="00A63D55">
            <w:pPr>
              <w:pStyle w:val="PLANNING"/>
              <w:rPr>
                <w:rFonts w:asciiTheme="minorHAnsi" w:hAnsiTheme="minorHAnsi" w:cstheme="minorHAnsi"/>
                <w:bCs/>
                <w:szCs w:val="22"/>
              </w:rPr>
            </w:pPr>
            <w:r w:rsidRPr="00866186">
              <w:rPr>
                <w:rFonts w:asciiTheme="minorHAnsi" w:hAnsiTheme="minorHAnsi" w:cstheme="minorHAnsi"/>
                <w:bCs/>
                <w:szCs w:val="22"/>
              </w:rPr>
              <w:t xml:space="preserve">Key Statement </w:t>
            </w:r>
            <w:r w:rsidR="00594478" w:rsidRPr="00866186">
              <w:rPr>
                <w:rFonts w:asciiTheme="minorHAnsi" w:hAnsiTheme="minorHAnsi" w:cstheme="minorHAnsi"/>
                <w:bCs/>
                <w:szCs w:val="22"/>
              </w:rPr>
              <w:t>EN2 – Landscape</w:t>
            </w:r>
          </w:p>
          <w:p w14:paraId="2C55C959" w14:textId="39B2AA19" w:rsidR="00AB5729" w:rsidRPr="00866186" w:rsidRDefault="00AB5729" w:rsidP="00A63D55">
            <w:pPr>
              <w:pStyle w:val="PLANNING"/>
              <w:rPr>
                <w:rFonts w:asciiTheme="minorHAnsi" w:hAnsiTheme="minorHAnsi" w:cstheme="minorHAnsi"/>
                <w:bCs/>
                <w:szCs w:val="22"/>
              </w:rPr>
            </w:pPr>
            <w:r>
              <w:rPr>
                <w:rFonts w:asciiTheme="minorHAnsi" w:hAnsiTheme="minorHAnsi" w:cstheme="minorHAnsi"/>
                <w:bCs/>
                <w:szCs w:val="22"/>
              </w:rPr>
              <w:t>Key Statement EN3 – Sustainable Development and Climate Change</w:t>
            </w:r>
          </w:p>
          <w:p w14:paraId="3786D5FF" w14:textId="77777777" w:rsidR="004B0D01" w:rsidRPr="00866186" w:rsidRDefault="004B0D01" w:rsidP="00A63D55">
            <w:pPr>
              <w:pStyle w:val="PLANNING"/>
              <w:rPr>
                <w:rFonts w:asciiTheme="minorHAnsi" w:hAnsiTheme="minorHAnsi" w:cstheme="minorHAnsi"/>
                <w:bCs/>
                <w:szCs w:val="22"/>
              </w:rPr>
            </w:pPr>
            <w:r w:rsidRPr="00866186">
              <w:rPr>
                <w:rFonts w:asciiTheme="minorHAnsi" w:hAnsiTheme="minorHAnsi" w:cstheme="minorHAnsi"/>
                <w:bCs/>
                <w:szCs w:val="22"/>
              </w:rPr>
              <w:t>Key Statement EN4 – Biodiversity and Geodiversity</w:t>
            </w:r>
          </w:p>
          <w:p w14:paraId="1F443157" w14:textId="77777777" w:rsidR="00594478" w:rsidRPr="00866186" w:rsidRDefault="004B0D01" w:rsidP="00A63D55">
            <w:pPr>
              <w:pStyle w:val="PLANNING"/>
              <w:rPr>
                <w:rFonts w:asciiTheme="minorHAnsi" w:hAnsiTheme="minorHAnsi" w:cstheme="minorHAnsi"/>
                <w:bCs/>
                <w:szCs w:val="22"/>
              </w:rPr>
            </w:pPr>
            <w:r w:rsidRPr="00866186">
              <w:rPr>
                <w:rFonts w:asciiTheme="minorHAnsi" w:hAnsiTheme="minorHAnsi" w:cstheme="minorHAnsi"/>
                <w:bCs/>
                <w:szCs w:val="22"/>
              </w:rPr>
              <w:t>Key Statement</w:t>
            </w:r>
            <w:r w:rsidR="00594478" w:rsidRPr="00866186">
              <w:rPr>
                <w:rFonts w:asciiTheme="minorHAnsi" w:hAnsiTheme="minorHAnsi" w:cstheme="minorHAnsi"/>
                <w:bCs/>
                <w:szCs w:val="22"/>
              </w:rPr>
              <w:t xml:space="preserve"> H1 – Housing Provision</w:t>
            </w:r>
          </w:p>
          <w:p w14:paraId="1625A06A" w14:textId="77777777" w:rsidR="00F22639" w:rsidRPr="00866186" w:rsidRDefault="00F22639" w:rsidP="00F22639">
            <w:pPr>
              <w:rPr>
                <w:rFonts w:asciiTheme="minorHAnsi" w:hAnsiTheme="minorHAnsi" w:cstheme="minorHAnsi"/>
                <w:szCs w:val="22"/>
              </w:rPr>
            </w:pPr>
            <w:r w:rsidRPr="00866186">
              <w:rPr>
                <w:rFonts w:asciiTheme="minorHAnsi" w:hAnsiTheme="minorHAnsi" w:cstheme="minorHAnsi"/>
                <w:szCs w:val="22"/>
              </w:rPr>
              <w:t>Policy DMG1 – General Considerations</w:t>
            </w:r>
          </w:p>
          <w:p w14:paraId="3C87B2C3" w14:textId="77777777" w:rsidR="00F22639" w:rsidRPr="00866186" w:rsidRDefault="00594478" w:rsidP="00F22639">
            <w:pPr>
              <w:rPr>
                <w:rFonts w:asciiTheme="minorHAnsi" w:hAnsiTheme="minorHAnsi" w:cstheme="minorHAnsi"/>
                <w:szCs w:val="22"/>
              </w:rPr>
            </w:pPr>
            <w:r w:rsidRPr="00866186">
              <w:rPr>
                <w:rFonts w:asciiTheme="minorHAnsi" w:hAnsiTheme="minorHAnsi" w:cstheme="minorHAnsi"/>
                <w:szCs w:val="22"/>
              </w:rPr>
              <w:t>Policy DMG2 – Strategic Considerations</w:t>
            </w:r>
          </w:p>
          <w:p w14:paraId="3CE1BBC8" w14:textId="163454C8" w:rsidR="00594478" w:rsidRDefault="00594478" w:rsidP="00F22639">
            <w:pPr>
              <w:rPr>
                <w:rFonts w:asciiTheme="minorHAnsi" w:hAnsiTheme="minorHAnsi" w:cstheme="minorHAnsi"/>
                <w:szCs w:val="22"/>
              </w:rPr>
            </w:pPr>
            <w:r w:rsidRPr="00866186">
              <w:rPr>
                <w:rFonts w:asciiTheme="minorHAnsi" w:hAnsiTheme="minorHAnsi" w:cstheme="minorHAnsi"/>
                <w:szCs w:val="22"/>
              </w:rPr>
              <w:t>Policy DMG3 – Transport and Mobility</w:t>
            </w:r>
          </w:p>
          <w:p w14:paraId="70A52C02" w14:textId="7D336717" w:rsidR="00AB5729" w:rsidRDefault="00AB5729" w:rsidP="00F22639">
            <w:pPr>
              <w:rPr>
                <w:rFonts w:asciiTheme="minorHAnsi" w:hAnsiTheme="minorHAnsi" w:cstheme="minorHAnsi"/>
                <w:szCs w:val="22"/>
              </w:rPr>
            </w:pPr>
            <w:r>
              <w:rPr>
                <w:rFonts w:asciiTheme="minorHAnsi" w:hAnsiTheme="minorHAnsi" w:cstheme="minorHAnsi"/>
                <w:szCs w:val="22"/>
              </w:rPr>
              <w:t>Policy DME3 – Site and Species Protection and Conservation</w:t>
            </w:r>
          </w:p>
          <w:p w14:paraId="4BE330CD" w14:textId="77777777" w:rsidR="00F22639" w:rsidRPr="00866186" w:rsidRDefault="00F22639" w:rsidP="00F22639">
            <w:pPr>
              <w:rPr>
                <w:rFonts w:asciiTheme="minorHAnsi" w:hAnsiTheme="minorHAnsi" w:cstheme="minorHAnsi"/>
                <w:szCs w:val="22"/>
              </w:rPr>
            </w:pPr>
          </w:p>
          <w:p w14:paraId="14BF4254" w14:textId="67934FDC" w:rsidR="00BA1B82" w:rsidRPr="00866186" w:rsidRDefault="00F22639" w:rsidP="00F22639">
            <w:pPr>
              <w:rPr>
                <w:rFonts w:asciiTheme="minorHAnsi" w:hAnsiTheme="minorHAnsi" w:cstheme="minorHAnsi"/>
                <w:b/>
                <w:szCs w:val="22"/>
              </w:rPr>
            </w:pPr>
            <w:r w:rsidRPr="00866186">
              <w:rPr>
                <w:rFonts w:asciiTheme="minorHAnsi" w:hAnsiTheme="minorHAnsi" w:cstheme="minorHAnsi"/>
                <w:b/>
                <w:szCs w:val="22"/>
              </w:rPr>
              <w:t>National Planning Policy Framework</w:t>
            </w:r>
          </w:p>
        </w:tc>
      </w:tr>
      <w:tr w:rsidR="00EC23C7" w:rsidRPr="00866186" w14:paraId="31F23E9A" w14:textId="77777777" w:rsidTr="00C70DC7">
        <w:trPr>
          <w:jc w:val="center"/>
        </w:trPr>
        <w:tc>
          <w:tcPr>
            <w:tcW w:w="927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98D362" w14:textId="77777777" w:rsidR="00EC23C7" w:rsidRPr="00866186" w:rsidRDefault="006C2BFA" w:rsidP="006C2BFA">
            <w:pPr>
              <w:rPr>
                <w:rFonts w:asciiTheme="minorHAnsi" w:hAnsiTheme="minorHAnsi" w:cstheme="minorHAnsi"/>
                <w:b/>
                <w:szCs w:val="22"/>
              </w:rPr>
            </w:pPr>
            <w:r w:rsidRPr="00866186">
              <w:rPr>
                <w:rFonts w:asciiTheme="minorHAnsi" w:hAnsiTheme="minorHAnsi" w:cstheme="minorHAnsi"/>
                <w:b/>
                <w:bCs/>
                <w:szCs w:val="22"/>
              </w:rPr>
              <w:t>ASSESSMENT OF PROPOSED DEVELOPMENT:</w:t>
            </w:r>
          </w:p>
        </w:tc>
      </w:tr>
      <w:tr w:rsidR="00AB5729" w:rsidRPr="00866186" w14:paraId="53CEF1EA" w14:textId="77777777" w:rsidTr="00C70DC7">
        <w:trPr>
          <w:jc w:val="center"/>
        </w:trPr>
        <w:tc>
          <w:tcPr>
            <w:tcW w:w="927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F7D303C" w14:textId="77777777" w:rsidR="00AB5729" w:rsidRDefault="00AB5729" w:rsidP="00410D27">
            <w:pPr>
              <w:pStyle w:val="Header"/>
              <w:tabs>
                <w:tab w:val="clear" w:pos="4153"/>
                <w:tab w:val="clear" w:pos="8306"/>
              </w:tabs>
              <w:rPr>
                <w:rFonts w:asciiTheme="minorHAnsi" w:hAnsiTheme="minorHAnsi" w:cstheme="minorHAnsi"/>
                <w:b/>
                <w:szCs w:val="22"/>
              </w:rPr>
            </w:pPr>
            <w:r>
              <w:rPr>
                <w:rFonts w:asciiTheme="minorHAnsi" w:hAnsiTheme="minorHAnsi" w:cstheme="minorHAnsi"/>
                <w:b/>
                <w:szCs w:val="22"/>
              </w:rPr>
              <w:t>Site Description and Surrounding Area:</w:t>
            </w:r>
          </w:p>
          <w:p w14:paraId="6B22BDD8" w14:textId="77777777" w:rsidR="00A15BB0" w:rsidRDefault="00AB5729" w:rsidP="00974097">
            <w:pPr>
              <w:pStyle w:val="Header"/>
              <w:tabs>
                <w:tab w:val="clear" w:pos="4153"/>
                <w:tab w:val="clear" w:pos="8306"/>
              </w:tabs>
              <w:rPr>
                <w:rFonts w:asciiTheme="minorHAnsi" w:hAnsiTheme="minorHAnsi" w:cstheme="minorHAnsi"/>
                <w:bCs/>
                <w:szCs w:val="22"/>
              </w:rPr>
            </w:pPr>
            <w:r>
              <w:rPr>
                <w:rFonts w:asciiTheme="minorHAnsi" w:hAnsiTheme="minorHAnsi" w:cstheme="minorHAnsi"/>
                <w:bCs/>
                <w:szCs w:val="22"/>
              </w:rPr>
              <w:t>Th</w:t>
            </w:r>
            <w:r w:rsidR="00974097">
              <w:rPr>
                <w:rFonts w:asciiTheme="minorHAnsi" w:hAnsiTheme="minorHAnsi" w:cstheme="minorHAnsi"/>
                <w:bCs/>
                <w:szCs w:val="22"/>
              </w:rPr>
              <w:t xml:space="preserve">is application relates to a plot of land located beyond the north-western end of Knowsley Road, </w:t>
            </w:r>
            <w:proofErr w:type="spellStart"/>
            <w:r w:rsidR="00974097">
              <w:rPr>
                <w:rFonts w:asciiTheme="minorHAnsi" w:hAnsiTheme="minorHAnsi" w:cstheme="minorHAnsi"/>
                <w:bCs/>
                <w:szCs w:val="22"/>
              </w:rPr>
              <w:t>Wilpshire</w:t>
            </w:r>
            <w:proofErr w:type="spellEnd"/>
            <w:r w:rsidR="00974097">
              <w:rPr>
                <w:rFonts w:asciiTheme="minorHAnsi" w:hAnsiTheme="minorHAnsi" w:cstheme="minorHAnsi"/>
                <w:bCs/>
                <w:szCs w:val="22"/>
              </w:rPr>
              <w:t xml:space="preserve">. The site lies outside the defined settlement area of </w:t>
            </w:r>
            <w:proofErr w:type="spellStart"/>
            <w:r w:rsidR="00974097">
              <w:rPr>
                <w:rFonts w:asciiTheme="minorHAnsi" w:hAnsiTheme="minorHAnsi" w:cstheme="minorHAnsi"/>
                <w:bCs/>
                <w:szCs w:val="22"/>
              </w:rPr>
              <w:t>Wilpshire</w:t>
            </w:r>
            <w:proofErr w:type="spellEnd"/>
            <w:r w:rsidR="00974097">
              <w:rPr>
                <w:rFonts w:asciiTheme="minorHAnsi" w:hAnsiTheme="minorHAnsi" w:cstheme="minorHAnsi"/>
                <w:bCs/>
                <w:szCs w:val="22"/>
              </w:rPr>
              <w:t xml:space="preserve"> and </w:t>
            </w:r>
            <w:proofErr w:type="gramStart"/>
            <w:r w:rsidR="00974097">
              <w:rPr>
                <w:rFonts w:asciiTheme="minorHAnsi" w:hAnsiTheme="minorHAnsi" w:cstheme="minorHAnsi"/>
                <w:bCs/>
                <w:szCs w:val="22"/>
              </w:rPr>
              <w:t>is located in</w:t>
            </w:r>
            <w:proofErr w:type="gramEnd"/>
            <w:r w:rsidR="00974097">
              <w:rPr>
                <w:rFonts w:asciiTheme="minorHAnsi" w:hAnsiTheme="minorHAnsi" w:cstheme="minorHAnsi"/>
                <w:bCs/>
                <w:szCs w:val="22"/>
              </w:rPr>
              <w:t xml:space="preserve"> the Green Belt.</w:t>
            </w:r>
          </w:p>
          <w:p w14:paraId="5948AAD7" w14:textId="501FB2FF" w:rsidR="00974097" w:rsidRPr="00AB5729" w:rsidRDefault="00974097" w:rsidP="00974097">
            <w:pPr>
              <w:pStyle w:val="Header"/>
              <w:tabs>
                <w:tab w:val="clear" w:pos="4153"/>
                <w:tab w:val="clear" w:pos="8306"/>
              </w:tabs>
              <w:rPr>
                <w:rFonts w:asciiTheme="minorHAnsi" w:hAnsiTheme="minorHAnsi" w:cstheme="minorHAnsi"/>
                <w:bCs/>
                <w:szCs w:val="22"/>
              </w:rPr>
            </w:pPr>
          </w:p>
        </w:tc>
      </w:tr>
      <w:tr w:rsidR="006C2BFA" w:rsidRPr="00866186" w14:paraId="62C41820" w14:textId="77777777" w:rsidTr="00C70DC7">
        <w:trPr>
          <w:jc w:val="center"/>
        </w:trPr>
        <w:tc>
          <w:tcPr>
            <w:tcW w:w="927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587848" w14:textId="77777777" w:rsidR="007E0D23" w:rsidRPr="00866186" w:rsidRDefault="0029334A" w:rsidP="00410D27">
            <w:pPr>
              <w:pStyle w:val="Header"/>
              <w:tabs>
                <w:tab w:val="clear" w:pos="4153"/>
                <w:tab w:val="clear" w:pos="8306"/>
              </w:tabs>
              <w:rPr>
                <w:rFonts w:asciiTheme="minorHAnsi" w:hAnsiTheme="minorHAnsi" w:cstheme="minorHAnsi"/>
                <w:b/>
                <w:szCs w:val="22"/>
              </w:rPr>
            </w:pPr>
            <w:r w:rsidRPr="00866186">
              <w:rPr>
                <w:rFonts w:asciiTheme="minorHAnsi" w:hAnsiTheme="minorHAnsi" w:cstheme="minorHAnsi"/>
                <w:b/>
                <w:szCs w:val="22"/>
              </w:rPr>
              <w:lastRenderedPageBreak/>
              <w:t>Proposed Development for which consent is sought:</w:t>
            </w:r>
          </w:p>
          <w:p w14:paraId="074DCEF3" w14:textId="25895F8C" w:rsidR="00974097" w:rsidRPr="000537A7" w:rsidRDefault="00974097" w:rsidP="00974097">
            <w:pPr>
              <w:pStyle w:val="Header"/>
              <w:tabs>
                <w:tab w:val="clear" w:pos="4153"/>
                <w:tab w:val="clear" w:pos="8306"/>
              </w:tabs>
              <w:jc w:val="both"/>
              <w:rPr>
                <w:rFonts w:asciiTheme="minorHAnsi" w:hAnsiTheme="minorHAnsi" w:cstheme="minorHAnsi"/>
                <w:color w:val="000000" w:themeColor="text1"/>
                <w:szCs w:val="22"/>
              </w:rPr>
            </w:pPr>
            <w:r w:rsidRPr="000537A7">
              <w:rPr>
                <w:rFonts w:asciiTheme="minorHAnsi" w:hAnsiTheme="minorHAnsi" w:cstheme="minorHAnsi"/>
                <w:color w:val="000000" w:themeColor="text1"/>
                <w:szCs w:val="22"/>
              </w:rPr>
              <w:t>Permission in Principle is sought for the erection of a new dwelling</w:t>
            </w:r>
            <w:r>
              <w:rPr>
                <w:rFonts w:asciiTheme="minorHAnsi" w:hAnsiTheme="minorHAnsi" w:cstheme="minorHAnsi"/>
                <w:color w:val="000000" w:themeColor="text1"/>
                <w:szCs w:val="22"/>
              </w:rPr>
              <w:t>.</w:t>
            </w:r>
          </w:p>
          <w:p w14:paraId="4F08F660" w14:textId="77777777" w:rsidR="00974097" w:rsidRPr="000537A7" w:rsidRDefault="00974097" w:rsidP="00974097">
            <w:pPr>
              <w:pStyle w:val="Header"/>
              <w:tabs>
                <w:tab w:val="clear" w:pos="4153"/>
                <w:tab w:val="clear" w:pos="8306"/>
              </w:tabs>
              <w:jc w:val="both"/>
              <w:rPr>
                <w:rFonts w:asciiTheme="minorHAnsi" w:hAnsiTheme="minorHAnsi" w:cstheme="minorHAnsi"/>
                <w:color w:val="000000" w:themeColor="text1"/>
                <w:szCs w:val="22"/>
              </w:rPr>
            </w:pPr>
          </w:p>
          <w:p w14:paraId="25E0A043" w14:textId="77777777" w:rsidR="00974097" w:rsidRPr="000537A7" w:rsidRDefault="00974097" w:rsidP="00974097">
            <w:pPr>
              <w:pStyle w:val="Header"/>
              <w:tabs>
                <w:tab w:val="clear" w:pos="4153"/>
                <w:tab w:val="clear" w:pos="8306"/>
              </w:tabs>
              <w:jc w:val="both"/>
              <w:rPr>
                <w:rFonts w:asciiTheme="minorHAnsi" w:hAnsiTheme="minorHAnsi" w:cstheme="minorHAnsi"/>
                <w:color w:val="000000" w:themeColor="text1"/>
                <w:szCs w:val="22"/>
                <w:lang w:val="en"/>
              </w:rPr>
            </w:pPr>
            <w:r w:rsidRPr="000537A7">
              <w:rPr>
                <w:rFonts w:asciiTheme="minorHAnsi" w:hAnsiTheme="minorHAnsi" w:cstheme="minorHAnsi"/>
                <w:color w:val="000000" w:themeColor="text1"/>
                <w:szCs w:val="22"/>
                <w:lang w:val="en"/>
              </w:rPr>
              <w:t>The permission in principle (</w:t>
            </w:r>
            <w:proofErr w:type="spellStart"/>
            <w:r w:rsidRPr="000537A7">
              <w:rPr>
                <w:rFonts w:asciiTheme="minorHAnsi" w:hAnsiTheme="minorHAnsi" w:cstheme="minorHAnsi"/>
                <w:color w:val="000000" w:themeColor="text1"/>
                <w:szCs w:val="22"/>
                <w:lang w:val="en"/>
              </w:rPr>
              <w:t>PiP</w:t>
            </w:r>
            <w:proofErr w:type="spellEnd"/>
            <w:r w:rsidRPr="000537A7">
              <w:rPr>
                <w:rFonts w:asciiTheme="minorHAnsi" w:hAnsiTheme="minorHAnsi" w:cstheme="minorHAnsi"/>
                <w:color w:val="000000" w:themeColor="text1"/>
                <w:szCs w:val="22"/>
                <w:lang w:val="en"/>
              </w:rPr>
              <w:t>) consent route is an alternative way of obtaining planning permission for housing-led development which separates the consideration of matters of principle for proposed development from the technical detail of the development. The permission in principle consent route has 2 stages: the first stage (or permission in principle stage) establishes whether a site is suitable in-principle and the second (‘technical details consent’) stage is when the detailed development proposals are assessed.</w:t>
            </w:r>
          </w:p>
          <w:p w14:paraId="3570E695" w14:textId="77777777" w:rsidR="00974097" w:rsidRPr="000537A7" w:rsidRDefault="00974097" w:rsidP="00974097">
            <w:pPr>
              <w:pStyle w:val="Header"/>
              <w:tabs>
                <w:tab w:val="clear" w:pos="4153"/>
                <w:tab w:val="clear" w:pos="8306"/>
              </w:tabs>
              <w:jc w:val="both"/>
              <w:rPr>
                <w:rFonts w:asciiTheme="minorHAnsi" w:hAnsiTheme="minorHAnsi" w:cstheme="minorHAnsi"/>
                <w:color w:val="000000" w:themeColor="text1"/>
                <w:szCs w:val="22"/>
                <w:lang w:val="en"/>
              </w:rPr>
            </w:pPr>
          </w:p>
          <w:p w14:paraId="474ABD77" w14:textId="77777777" w:rsidR="00974097" w:rsidRPr="000537A7" w:rsidRDefault="00974097" w:rsidP="00974097">
            <w:pPr>
              <w:pStyle w:val="Header"/>
              <w:tabs>
                <w:tab w:val="clear" w:pos="4153"/>
                <w:tab w:val="clear" w:pos="8306"/>
              </w:tabs>
              <w:jc w:val="both"/>
              <w:rPr>
                <w:rFonts w:asciiTheme="minorHAnsi" w:hAnsiTheme="minorHAnsi" w:cstheme="minorHAnsi"/>
                <w:color w:val="000000" w:themeColor="text1"/>
                <w:szCs w:val="22"/>
                <w:lang w:val="en"/>
              </w:rPr>
            </w:pPr>
            <w:r w:rsidRPr="000537A7">
              <w:rPr>
                <w:rFonts w:asciiTheme="minorHAnsi" w:hAnsiTheme="minorHAnsi" w:cstheme="minorHAnsi"/>
                <w:color w:val="000000" w:themeColor="text1"/>
                <w:szCs w:val="22"/>
                <w:lang w:val="en"/>
              </w:rPr>
              <w:t>The scope of permission in principle is limited to location, land use and amount of development. Issues relevant to these ‘in principle’ matters should be considered at the permission in principle stage. Other matters should be considered at the technical details consent stage. In addition, local authorities cannot list the information they require for applications for permission in principle in the same way they can for applications for planning permission. It is not possible for conditions to be attached to a grant of permission in principle nor can planning obligations be secured and its terms may only include the site location, the type of development and amount of development.</w:t>
            </w:r>
          </w:p>
          <w:p w14:paraId="1953682F" w14:textId="77777777" w:rsidR="00974097" w:rsidRPr="000537A7" w:rsidRDefault="00974097" w:rsidP="00974097">
            <w:pPr>
              <w:pStyle w:val="Header"/>
              <w:tabs>
                <w:tab w:val="clear" w:pos="4153"/>
                <w:tab w:val="clear" w:pos="8306"/>
              </w:tabs>
              <w:jc w:val="both"/>
              <w:rPr>
                <w:rFonts w:asciiTheme="minorHAnsi" w:hAnsiTheme="minorHAnsi" w:cstheme="minorHAnsi"/>
                <w:color w:val="000000" w:themeColor="text1"/>
                <w:szCs w:val="22"/>
                <w:lang w:val="en"/>
              </w:rPr>
            </w:pPr>
          </w:p>
          <w:p w14:paraId="2FD08068" w14:textId="77777777" w:rsidR="00974097" w:rsidRDefault="00974097" w:rsidP="00974097">
            <w:pPr>
              <w:overflowPunct/>
              <w:jc w:val="both"/>
              <w:textAlignment w:val="auto"/>
              <w:rPr>
                <w:rFonts w:asciiTheme="minorHAnsi" w:eastAsiaTheme="minorHAnsi" w:hAnsiTheme="minorHAnsi" w:cstheme="minorHAnsi"/>
                <w:color w:val="000000" w:themeColor="text1"/>
                <w:szCs w:val="22"/>
              </w:rPr>
            </w:pPr>
            <w:r w:rsidRPr="000537A7">
              <w:rPr>
                <w:rFonts w:asciiTheme="minorHAnsi" w:eastAsiaTheme="minorHAnsi" w:hAnsiTheme="minorHAnsi" w:cstheme="minorHAnsi"/>
                <w:color w:val="000000" w:themeColor="text1"/>
                <w:szCs w:val="22"/>
              </w:rPr>
              <w:t>The technical detail stage will provide the opportunity to assess the detailed design of the scheme to ensure that any impacts are appropriately mitigated and that the contributions to essential infrastructure, for example, are secured. If the technical details are not acceptable, the local authority can refuse the application.</w:t>
            </w:r>
          </w:p>
          <w:p w14:paraId="1A4EF971" w14:textId="54957CAC" w:rsidR="008E2749" w:rsidRPr="00866186" w:rsidRDefault="008E2749" w:rsidP="00974097">
            <w:pPr>
              <w:pStyle w:val="Header"/>
              <w:tabs>
                <w:tab w:val="clear" w:pos="4153"/>
                <w:tab w:val="clear" w:pos="8306"/>
              </w:tabs>
              <w:jc w:val="both"/>
              <w:rPr>
                <w:rFonts w:asciiTheme="minorHAnsi" w:hAnsiTheme="minorHAnsi" w:cstheme="minorHAnsi"/>
                <w:szCs w:val="22"/>
              </w:rPr>
            </w:pPr>
          </w:p>
        </w:tc>
      </w:tr>
      <w:tr w:rsidR="00EA09F9" w:rsidRPr="00866186" w14:paraId="2917869F" w14:textId="77777777" w:rsidTr="00C70DC7">
        <w:trPr>
          <w:jc w:val="center"/>
        </w:trPr>
        <w:tc>
          <w:tcPr>
            <w:tcW w:w="927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9498FDE" w14:textId="08B64413" w:rsidR="0074247B" w:rsidRDefault="007E620A" w:rsidP="00EB3FEC">
            <w:pPr>
              <w:contextualSpacing/>
              <w:jc w:val="both"/>
              <w:rPr>
                <w:rFonts w:asciiTheme="minorHAnsi" w:hAnsiTheme="minorHAnsi" w:cstheme="minorHAnsi"/>
                <w:b/>
                <w:szCs w:val="22"/>
              </w:rPr>
            </w:pPr>
            <w:r w:rsidRPr="00AF0D4F">
              <w:rPr>
                <w:rFonts w:asciiTheme="minorHAnsi" w:hAnsiTheme="minorHAnsi" w:cstheme="minorHAnsi"/>
                <w:b/>
                <w:szCs w:val="22"/>
              </w:rPr>
              <w:t>Principle of Developmen</w:t>
            </w:r>
            <w:r w:rsidR="00AF0D4F" w:rsidRPr="00AF0D4F">
              <w:rPr>
                <w:rFonts w:asciiTheme="minorHAnsi" w:hAnsiTheme="minorHAnsi" w:cstheme="minorHAnsi"/>
                <w:b/>
                <w:szCs w:val="22"/>
              </w:rPr>
              <w:t>t:</w:t>
            </w:r>
          </w:p>
          <w:p w14:paraId="4389BD75" w14:textId="77777777" w:rsidR="00974097" w:rsidRPr="001D34AF" w:rsidRDefault="00974097" w:rsidP="00974097">
            <w:pPr>
              <w:pStyle w:val="Header"/>
              <w:tabs>
                <w:tab w:val="left" w:pos="720"/>
              </w:tabs>
              <w:jc w:val="both"/>
              <w:rPr>
                <w:rFonts w:asciiTheme="minorHAnsi" w:hAnsiTheme="minorHAnsi" w:cstheme="minorHAnsi"/>
                <w:szCs w:val="22"/>
              </w:rPr>
            </w:pPr>
            <w:r w:rsidRPr="001D34AF">
              <w:rPr>
                <w:rFonts w:asciiTheme="minorHAnsi" w:hAnsiTheme="minorHAnsi" w:cstheme="minorHAnsi"/>
                <w:szCs w:val="22"/>
              </w:rPr>
              <w:t>Having regard firstly to the matters of land use and amount of development, it appears reasonable to suggest that the site could accommodate one dwelling with associated private amenity space and parking.</w:t>
            </w:r>
          </w:p>
          <w:p w14:paraId="163616BC" w14:textId="77777777" w:rsidR="00974097" w:rsidRPr="001D34AF" w:rsidRDefault="00974097" w:rsidP="00974097">
            <w:pPr>
              <w:pStyle w:val="Header"/>
              <w:tabs>
                <w:tab w:val="left" w:pos="720"/>
              </w:tabs>
              <w:jc w:val="both"/>
              <w:rPr>
                <w:rFonts w:asciiTheme="minorHAnsi" w:hAnsiTheme="minorHAnsi" w:cstheme="minorHAnsi"/>
                <w:szCs w:val="22"/>
              </w:rPr>
            </w:pPr>
          </w:p>
          <w:p w14:paraId="3412ECFC" w14:textId="77777777" w:rsidR="00974097" w:rsidRPr="001D34AF" w:rsidRDefault="00974097" w:rsidP="00974097">
            <w:pPr>
              <w:pStyle w:val="Header"/>
              <w:tabs>
                <w:tab w:val="left" w:pos="720"/>
              </w:tabs>
              <w:jc w:val="both"/>
              <w:rPr>
                <w:rFonts w:asciiTheme="minorHAnsi" w:hAnsiTheme="minorHAnsi" w:cstheme="minorHAnsi"/>
                <w:szCs w:val="22"/>
              </w:rPr>
            </w:pPr>
            <w:r w:rsidRPr="001D34AF">
              <w:rPr>
                <w:rFonts w:asciiTheme="minorHAnsi" w:hAnsiTheme="minorHAnsi" w:cstheme="minorHAnsi"/>
                <w:szCs w:val="22"/>
              </w:rPr>
              <w:t xml:space="preserve">Detailed plans of the site layout and house types are not provided at this stage of the </w:t>
            </w:r>
            <w:proofErr w:type="spellStart"/>
            <w:r w:rsidRPr="001D34AF">
              <w:rPr>
                <w:rFonts w:asciiTheme="minorHAnsi" w:hAnsiTheme="minorHAnsi" w:cstheme="minorHAnsi"/>
                <w:szCs w:val="22"/>
              </w:rPr>
              <w:t>PiP</w:t>
            </w:r>
            <w:proofErr w:type="spellEnd"/>
            <w:r w:rsidRPr="001D34AF">
              <w:rPr>
                <w:rFonts w:asciiTheme="minorHAnsi" w:hAnsiTheme="minorHAnsi" w:cstheme="minorHAnsi"/>
                <w:szCs w:val="22"/>
              </w:rPr>
              <w:t xml:space="preserve"> application process and therefore any impact on adjacent land uses cannot be fully considered. However, the site is located next to existing residential development and bounds open agricultural land. There are no obvious concerns at this stage in terms of the compatibility of the proposed use with neighbouring land uses.</w:t>
            </w:r>
          </w:p>
          <w:p w14:paraId="31A5DFDC" w14:textId="77777777" w:rsidR="00974097" w:rsidRDefault="00974097" w:rsidP="00EB3FEC">
            <w:pPr>
              <w:contextualSpacing/>
              <w:jc w:val="both"/>
              <w:rPr>
                <w:rFonts w:asciiTheme="minorHAnsi" w:hAnsiTheme="minorHAnsi" w:cstheme="minorHAnsi"/>
                <w:b/>
                <w:szCs w:val="22"/>
              </w:rPr>
            </w:pPr>
          </w:p>
          <w:p w14:paraId="33033B87" w14:textId="77777777" w:rsidR="00AF0D4F" w:rsidRPr="00AF0D4F" w:rsidRDefault="00AF0D4F" w:rsidP="00AF0D4F">
            <w:pPr>
              <w:contextualSpacing/>
              <w:jc w:val="both"/>
              <w:rPr>
                <w:rFonts w:asciiTheme="minorHAnsi" w:hAnsiTheme="minorHAnsi" w:cstheme="minorHAnsi"/>
                <w:bCs/>
                <w:szCs w:val="22"/>
              </w:rPr>
            </w:pPr>
            <w:r w:rsidRPr="00AF0D4F">
              <w:rPr>
                <w:rFonts w:asciiTheme="minorHAnsi" w:hAnsiTheme="minorHAnsi" w:cstheme="minorHAnsi"/>
                <w:bCs/>
                <w:szCs w:val="22"/>
              </w:rPr>
              <w:t xml:space="preserve">The latest published position in relation to housing land supply is contained in the Council’s Five-Year Supply Statement (Published May 2020) which demonstrates a deliverable 13.9-year housing land supply from the base date of 31st March 2020 against a Local Housing Need Requirement figure of 143 dwellings per year calculated using the ‘Standard Method’ (as per para. 3. of PPG Guidance ‘Housing supply and delivery). Therefore, the Council </w:t>
            </w:r>
            <w:proofErr w:type="gramStart"/>
            <w:r w:rsidRPr="00AF0D4F">
              <w:rPr>
                <w:rFonts w:asciiTheme="minorHAnsi" w:hAnsiTheme="minorHAnsi" w:cstheme="minorHAnsi"/>
                <w:bCs/>
                <w:szCs w:val="22"/>
              </w:rPr>
              <w:t>is able to</w:t>
            </w:r>
            <w:proofErr w:type="gramEnd"/>
            <w:r w:rsidRPr="00AF0D4F">
              <w:rPr>
                <w:rFonts w:asciiTheme="minorHAnsi" w:hAnsiTheme="minorHAnsi" w:cstheme="minorHAnsi"/>
                <w:bCs/>
                <w:szCs w:val="22"/>
              </w:rPr>
              <w:t xml:space="preserve"> comfortably demonstrate a deliverable 5-year supply of housing land. The relevant policies for the supply of housing contained in the adopted Core Strategy can be afforded full weight and the presumption in favour of sustainable development is not engaged.</w:t>
            </w:r>
          </w:p>
          <w:p w14:paraId="1E0F817D" w14:textId="77777777" w:rsidR="00AF0D4F" w:rsidRPr="00AF0D4F" w:rsidRDefault="00AF0D4F" w:rsidP="00AF0D4F">
            <w:pPr>
              <w:contextualSpacing/>
              <w:jc w:val="both"/>
              <w:rPr>
                <w:rFonts w:asciiTheme="minorHAnsi" w:hAnsiTheme="minorHAnsi" w:cstheme="minorHAnsi"/>
                <w:bCs/>
                <w:szCs w:val="22"/>
              </w:rPr>
            </w:pPr>
          </w:p>
          <w:p w14:paraId="3233FC66" w14:textId="381D9673" w:rsidR="00AF0D4F" w:rsidRPr="00AF0D4F" w:rsidRDefault="00AF0D4F" w:rsidP="00AF0D4F">
            <w:pPr>
              <w:contextualSpacing/>
              <w:jc w:val="both"/>
              <w:rPr>
                <w:rFonts w:asciiTheme="minorHAnsi" w:hAnsiTheme="minorHAnsi" w:cstheme="minorHAnsi"/>
                <w:bCs/>
                <w:szCs w:val="22"/>
              </w:rPr>
            </w:pPr>
            <w:r w:rsidRPr="00AF0D4F">
              <w:rPr>
                <w:rFonts w:asciiTheme="minorHAnsi" w:hAnsiTheme="minorHAnsi" w:cstheme="minorHAnsi"/>
                <w:bCs/>
                <w:szCs w:val="22"/>
              </w:rPr>
              <w:t>Taken from the Housing Land Availability Schedule (HLAS) March 2020, housing completion rates in the borough have significantly exceeded the Core Strategy housing requirement figure of 280 dwellings per year since 2014</w:t>
            </w:r>
            <w:r>
              <w:rPr>
                <w:rFonts w:asciiTheme="minorHAnsi" w:hAnsiTheme="minorHAnsi" w:cstheme="minorHAnsi"/>
                <w:bCs/>
                <w:szCs w:val="22"/>
              </w:rPr>
              <w:t xml:space="preserve">. </w:t>
            </w:r>
            <w:r w:rsidRPr="00AF0D4F">
              <w:rPr>
                <w:rFonts w:asciiTheme="minorHAnsi" w:hAnsiTheme="minorHAnsi" w:cstheme="minorHAnsi"/>
                <w:bCs/>
                <w:szCs w:val="22"/>
              </w:rPr>
              <w:t>The Government’s objective to significantly boost the supply of homes is being met in the Ribble Valley.</w:t>
            </w:r>
          </w:p>
          <w:p w14:paraId="0360120F" w14:textId="77777777" w:rsidR="00AF0D4F" w:rsidRPr="00AF0D4F" w:rsidRDefault="00AF0D4F" w:rsidP="00AF0D4F">
            <w:pPr>
              <w:contextualSpacing/>
              <w:jc w:val="both"/>
              <w:rPr>
                <w:rFonts w:asciiTheme="minorHAnsi" w:hAnsiTheme="minorHAnsi" w:cstheme="minorHAnsi"/>
                <w:bCs/>
                <w:szCs w:val="22"/>
              </w:rPr>
            </w:pPr>
          </w:p>
          <w:p w14:paraId="03E7C219" w14:textId="389A9E28" w:rsidR="00313A4F" w:rsidRDefault="00AF0D4F" w:rsidP="00AF0D4F">
            <w:pPr>
              <w:contextualSpacing/>
              <w:jc w:val="both"/>
              <w:rPr>
                <w:rFonts w:asciiTheme="minorHAnsi" w:hAnsiTheme="minorHAnsi" w:cstheme="minorHAnsi"/>
                <w:bCs/>
                <w:szCs w:val="22"/>
              </w:rPr>
            </w:pPr>
            <w:r w:rsidRPr="00AF0D4F">
              <w:rPr>
                <w:rFonts w:asciiTheme="minorHAnsi" w:hAnsiTheme="minorHAnsi" w:cstheme="minorHAnsi"/>
                <w:bCs/>
                <w:szCs w:val="22"/>
              </w:rPr>
              <w:t xml:space="preserve">Key Statement DS1 sets out the Borough’s housing strategy and provides the overarching vision aimed at achieving a sustainable pattern of development. </w:t>
            </w:r>
            <w:proofErr w:type="gramStart"/>
            <w:r w:rsidRPr="00AF0D4F">
              <w:rPr>
                <w:rFonts w:asciiTheme="minorHAnsi" w:hAnsiTheme="minorHAnsi" w:cstheme="minorHAnsi"/>
                <w:bCs/>
                <w:szCs w:val="22"/>
              </w:rPr>
              <w:t>The majority of</w:t>
            </w:r>
            <w:proofErr w:type="gramEnd"/>
            <w:r w:rsidRPr="00AF0D4F">
              <w:rPr>
                <w:rFonts w:asciiTheme="minorHAnsi" w:hAnsiTheme="minorHAnsi" w:cstheme="minorHAnsi"/>
                <w:bCs/>
                <w:szCs w:val="22"/>
              </w:rPr>
              <w:t xml:space="preserve"> new housing development will be concentrated within the strategic site at Standen and the Borough’s principal settlements of Clitheroe, Whalley and Longridge. In addition, development will be focused </w:t>
            </w:r>
            <w:proofErr w:type="gramStart"/>
            <w:r w:rsidRPr="00AF0D4F">
              <w:rPr>
                <w:rFonts w:asciiTheme="minorHAnsi" w:hAnsiTheme="minorHAnsi" w:cstheme="minorHAnsi"/>
                <w:bCs/>
                <w:szCs w:val="22"/>
              </w:rPr>
              <w:t>towards</w:t>
            </w:r>
            <w:proofErr w:type="gramEnd"/>
            <w:r w:rsidRPr="00AF0D4F">
              <w:rPr>
                <w:rFonts w:asciiTheme="minorHAnsi" w:hAnsiTheme="minorHAnsi" w:cstheme="minorHAnsi"/>
                <w:bCs/>
                <w:szCs w:val="22"/>
              </w:rPr>
              <w:t xml:space="preserve"> the Tier 1 Villages, which are the more sustainable of the 32 defined settlements. </w:t>
            </w:r>
            <w:proofErr w:type="spellStart"/>
            <w:r w:rsidR="00974097">
              <w:rPr>
                <w:rFonts w:asciiTheme="minorHAnsi" w:hAnsiTheme="minorHAnsi" w:cstheme="minorHAnsi"/>
                <w:bCs/>
                <w:szCs w:val="22"/>
              </w:rPr>
              <w:t>Wilpshire</w:t>
            </w:r>
            <w:proofErr w:type="spellEnd"/>
            <w:r w:rsidRPr="00AF0D4F">
              <w:rPr>
                <w:rFonts w:asciiTheme="minorHAnsi" w:hAnsiTheme="minorHAnsi" w:cstheme="minorHAnsi"/>
                <w:bCs/>
                <w:szCs w:val="22"/>
              </w:rPr>
              <w:t xml:space="preserve"> is identified as a Tier 1 Village by Key Statement DS1</w:t>
            </w:r>
            <w:r w:rsidR="00313A4F">
              <w:rPr>
                <w:rFonts w:asciiTheme="minorHAnsi" w:hAnsiTheme="minorHAnsi" w:cstheme="minorHAnsi"/>
                <w:bCs/>
                <w:szCs w:val="22"/>
              </w:rPr>
              <w:t xml:space="preserve">. 5.28 hectares of land is allocated for housing development by Policy HAL2 of the </w:t>
            </w:r>
            <w:r w:rsidR="00F43767">
              <w:rPr>
                <w:rFonts w:asciiTheme="minorHAnsi" w:hAnsiTheme="minorHAnsi" w:cstheme="minorHAnsi"/>
                <w:bCs/>
                <w:szCs w:val="22"/>
              </w:rPr>
              <w:lastRenderedPageBreak/>
              <w:t xml:space="preserve">adopted </w:t>
            </w:r>
            <w:r w:rsidR="00313A4F">
              <w:rPr>
                <w:rFonts w:asciiTheme="minorHAnsi" w:hAnsiTheme="minorHAnsi" w:cstheme="minorHAnsi"/>
                <w:bCs/>
                <w:szCs w:val="22"/>
              </w:rPr>
              <w:t>Housing and Economic Development DPD and this is sufficient to meet the housing requirements for the settlement.</w:t>
            </w:r>
          </w:p>
          <w:p w14:paraId="499522FE" w14:textId="77777777" w:rsidR="00313A4F" w:rsidRDefault="00313A4F" w:rsidP="00AF0D4F">
            <w:pPr>
              <w:contextualSpacing/>
              <w:jc w:val="both"/>
              <w:rPr>
                <w:rFonts w:asciiTheme="minorHAnsi" w:hAnsiTheme="minorHAnsi" w:cstheme="minorHAnsi"/>
                <w:bCs/>
                <w:szCs w:val="22"/>
              </w:rPr>
            </w:pPr>
          </w:p>
          <w:p w14:paraId="26129754" w14:textId="70B403A0" w:rsidR="00AF0D4F" w:rsidRPr="00F43767" w:rsidRDefault="00313A4F" w:rsidP="00AF0D4F">
            <w:pPr>
              <w:contextualSpacing/>
              <w:jc w:val="both"/>
              <w:rPr>
                <w:rFonts w:asciiTheme="minorHAnsi" w:hAnsiTheme="minorHAnsi" w:cstheme="minorHAnsi"/>
                <w:bCs/>
                <w:szCs w:val="22"/>
              </w:rPr>
            </w:pPr>
            <w:r w:rsidRPr="00F43767">
              <w:rPr>
                <w:rFonts w:asciiTheme="minorHAnsi" w:hAnsiTheme="minorHAnsi" w:cstheme="minorHAnsi"/>
                <w:bCs/>
                <w:szCs w:val="22"/>
              </w:rPr>
              <w:t>Notwithstanding the above, the</w:t>
            </w:r>
            <w:r w:rsidR="00AF0D4F" w:rsidRPr="00F43767">
              <w:rPr>
                <w:rFonts w:asciiTheme="minorHAnsi" w:hAnsiTheme="minorHAnsi" w:cstheme="minorHAnsi"/>
                <w:bCs/>
                <w:szCs w:val="22"/>
              </w:rPr>
              <w:t xml:space="preserve"> site lies in an area defined as </w:t>
            </w:r>
            <w:r w:rsidRPr="00F43767">
              <w:rPr>
                <w:rFonts w:asciiTheme="minorHAnsi" w:hAnsiTheme="minorHAnsi" w:cstheme="minorHAnsi"/>
                <w:bCs/>
                <w:szCs w:val="22"/>
              </w:rPr>
              <w:t>Green Belt</w:t>
            </w:r>
            <w:r w:rsidR="00AF0D4F" w:rsidRPr="00F43767">
              <w:rPr>
                <w:rFonts w:asciiTheme="minorHAnsi" w:hAnsiTheme="minorHAnsi" w:cstheme="minorHAnsi"/>
                <w:bCs/>
                <w:szCs w:val="22"/>
              </w:rPr>
              <w:t xml:space="preserve">, outside of the </w:t>
            </w:r>
            <w:proofErr w:type="spellStart"/>
            <w:r w:rsidRPr="00F43767">
              <w:rPr>
                <w:rFonts w:asciiTheme="minorHAnsi" w:hAnsiTheme="minorHAnsi" w:cstheme="minorHAnsi"/>
                <w:bCs/>
                <w:szCs w:val="22"/>
              </w:rPr>
              <w:t>Wilpshire</w:t>
            </w:r>
            <w:proofErr w:type="spellEnd"/>
            <w:r w:rsidRPr="00F43767">
              <w:rPr>
                <w:rFonts w:asciiTheme="minorHAnsi" w:hAnsiTheme="minorHAnsi" w:cstheme="minorHAnsi"/>
                <w:bCs/>
                <w:szCs w:val="22"/>
              </w:rPr>
              <w:t xml:space="preserve"> </w:t>
            </w:r>
            <w:r w:rsidR="00AF0D4F" w:rsidRPr="00F43767">
              <w:rPr>
                <w:rFonts w:asciiTheme="minorHAnsi" w:hAnsiTheme="minorHAnsi" w:cstheme="minorHAnsi"/>
                <w:bCs/>
                <w:szCs w:val="22"/>
              </w:rPr>
              <w:t>settlement boundary</w:t>
            </w:r>
            <w:r w:rsidRPr="00F43767">
              <w:rPr>
                <w:rFonts w:asciiTheme="minorHAnsi" w:hAnsiTheme="minorHAnsi" w:cstheme="minorHAnsi"/>
                <w:bCs/>
                <w:szCs w:val="22"/>
              </w:rPr>
              <w:t xml:space="preserve">. Core Strategy </w:t>
            </w:r>
            <w:r w:rsidR="00AF0D4F" w:rsidRPr="00F43767">
              <w:rPr>
                <w:rFonts w:asciiTheme="minorHAnsi" w:hAnsiTheme="minorHAnsi" w:cstheme="minorHAnsi"/>
                <w:bCs/>
                <w:szCs w:val="22"/>
              </w:rPr>
              <w:t xml:space="preserve">Policy DMG2 (1) states ‘development proposals in the principal settlements of Clitheroe, Longridge and Whalley and the Tier 1 Villages should consolidate, expand or round-off development so that it is closely related to the main built-up areas, ensuring this is appropriate to the scale of, and in keeping with, the existing settlement.’ The appeal proposal does not comply with the above part of Policy DMG2 (1) as the appeal site is not located </w:t>
            </w:r>
            <w:r w:rsidR="00AF0D4F" w:rsidRPr="00F43767">
              <w:rPr>
                <w:rFonts w:asciiTheme="minorHAnsi" w:hAnsiTheme="minorHAnsi" w:cstheme="minorHAnsi"/>
                <w:bCs/>
                <w:szCs w:val="22"/>
                <w:u w:val="single"/>
              </w:rPr>
              <w:t>in</w:t>
            </w:r>
            <w:r w:rsidR="00AF0D4F" w:rsidRPr="00F43767">
              <w:rPr>
                <w:rFonts w:asciiTheme="minorHAnsi" w:hAnsiTheme="minorHAnsi" w:cstheme="minorHAnsi"/>
                <w:bCs/>
                <w:szCs w:val="22"/>
              </w:rPr>
              <w:t xml:space="preserve"> the principal settlements of Clitheroe, Longridge and Whalley or a Tier 1 Village.</w:t>
            </w:r>
          </w:p>
          <w:p w14:paraId="32443F24" w14:textId="77777777" w:rsidR="00AF0D4F" w:rsidRPr="00F43767" w:rsidRDefault="00AF0D4F" w:rsidP="00AF0D4F">
            <w:pPr>
              <w:contextualSpacing/>
              <w:jc w:val="both"/>
              <w:rPr>
                <w:rFonts w:asciiTheme="minorHAnsi" w:hAnsiTheme="minorHAnsi" w:cstheme="minorHAnsi"/>
                <w:bCs/>
                <w:szCs w:val="22"/>
              </w:rPr>
            </w:pPr>
          </w:p>
          <w:p w14:paraId="7F3728CF" w14:textId="0724EA97" w:rsidR="00AF0D4F" w:rsidRPr="00F43767" w:rsidRDefault="00AF0D4F" w:rsidP="00AF0D4F">
            <w:pPr>
              <w:contextualSpacing/>
              <w:jc w:val="both"/>
              <w:rPr>
                <w:rFonts w:asciiTheme="minorHAnsi" w:hAnsiTheme="minorHAnsi" w:cstheme="minorHAnsi"/>
                <w:bCs/>
                <w:szCs w:val="22"/>
              </w:rPr>
            </w:pPr>
            <w:r w:rsidRPr="00F43767">
              <w:rPr>
                <w:rFonts w:asciiTheme="minorHAnsi" w:hAnsiTheme="minorHAnsi" w:cstheme="minorHAnsi"/>
                <w:bCs/>
                <w:szCs w:val="22"/>
              </w:rPr>
              <w:t xml:space="preserve">The second part of Policy DMG2 therefore applies to the appeal site given its location in the </w:t>
            </w:r>
            <w:r w:rsidR="00F43767" w:rsidRPr="00F43767">
              <w:rPr>
                <w:rFonts w:asciiTheme="minorHAnsi" w:hAnsiTheme="minorHAnsi" w:cstheme="minorHAnsi"/>
                <w:bCs/>
                <w:szCs w:val="22"/>
              </w:rPr>
              <w:t xml:space="preserve">Green Belt </w:t>
            </w:r>
            <w:r w:rsidRPr="00F43767">
              <w:rPr>
                <w:rFonts w:asciiTheme="minorHAnsi" w:hAnsiTheme="minorHAnsi" w:cstheme="minorHAnsi"/>
                <w:bCs/>
                <w:szCs w:val="22"/>
              </w:rPr>
              <w:t xml:space="preserve">and outside of defined settlements areas. The provision of </w:t>
            </w:r>
            <w:r w:rsidR="00F43767" w:rsidRPr="00F43767">
              <w:rPr>
                <w:rFonts w:asciiTheme="minorHAnsi" w:hAnsiTheme="minorHAnsi" w:cstheme="minorHAnsi"/>
                <w:bCs/>
                <w:szCs w:val="22"/>
              </w:rPr>
              <w:t>one</w:t>
            </w:r>
            <w:r w:rsidRPr="00F43767">
              <w:rPr>
                <w:rFonts w:asciiTheme="minorHAnsi" w:hAnsiTheme="minorHAnsi" w:cstheme="minorHAnsi"/>
                <w:bCs/>
                <w:szCs w:val="22"/>
              </w:rPr>
              <w:t xml:space="preserve"> new open market residential dwelling in this location fails to meet any of the considerations listed in Policy DMG2 (2). </w:t>
            </w:r>
          </w:p>
          <w:p w14:paraId="2919218F" w14:textId="77777777" w:rsidR="00341766" w:rsidRDefault="00341766" w:rsidP="00F43767">
            <w:pPr>
              <w:contextualSpacing/>
              <w:jc w:val="both"/>
              <w:rPr>
                <w:rFonts w:asciiTheme="minorHAnsi" w:hAnsiTheme="minorHAnsi" w:cstheme="minorHAnsi"/>
                <w:bCs/>
                <w:color w:val="FF0000"/>
                <w:szCs w:val="22"/>
              </w:rPr>
            </w:pPr>
          </w:p>
          <w:p w14:paraId="08C2EE74" w14:textId="77777777" w:rsidR="00F43767" w:rsidRDefault="00005B99" w:rsidP="00F43767">
            <w:pPr>
              <w:contextualSpacing/>
              <w:jc w:val="both"/>
              <w:rPr>
                <w:rFonts w:ascii="Calibri" w:hAnsi="Calibri" w:cs="Calibri"/>
                <w:szCs w:val="22"/>
              </w:rPr>
            </w:pPr>
            <w:r>
              <w:rPr>
                <w:rFonts w:ascii="Calibri" w:hAnsi="Calibri" w:cs="Calibri"/>
                <w:szCs w:val="22"/>
              </w:rPr>
              <w:t xml:space="preserve">The application sites </w:t>
            </w:r>
            <w:proofErr w:type="gramStart"/>
            <w:r>
              <w:rPr>
                <w:rFonts w:ascii="Calibri" w:hAnsi="Calibri" w:cs="Calibri"/>
                <w:szCs w:val="22"/>
              </w:rPr>
              <w:t>lies</w:t>
            </w:r>
            <w:proofErr w:type="gramEnd"/>
            <w:r>
              <w:rPr>
                <w:rFonts w:ascii="Calibri" w:hAnsi="Calibri" w:cs="Calibri"/>
                <w:szCs w:val="22"/>
              </w:rPr>
              <w:t xml:space="preserve"> within Green Belt and therefore Key Statement EN1 is engaged. </w:t>
            </w:r>
            <w:r w:rsidRPr="00C93F74">
              <w:rPr>
                <w:rFonts w:ascii="Calibri" w:hAnsi="Calibri" w:cs="Calibri"/>
                <w:szCs w:val="22"/>
              </w:rPr>
              <w:t xml:space="preserve">Key Statement </w:t>
            </w:r>
            <w:r>
              <w:rPr>
                <w:rFonts w:ascii="Calibri" w:hAnsi="Calibri" w:cs="Calibri"/>
                <w:szCs w:val="22"/>
              </w:rPr>
              <w:t xml:space="preserve">EN1 is in line with national policy providing the local interpretation of these national policies. Key Statement EN1 states that the overall extent of the green belt will be maintained to safeguard the surrounding countryside from inappropriate encroachment. </w:t>
            </w:r>
            <w:r w:rsidRPr="00ED2EDA">
              <w:rPr>
                <w:rFonts w:ascii="Calibri" w:hAnsi="Calibri" w:cs="Calibri"/>
                <w:szCs w:val="22"/>
              </w:rPr>
              <w:t>The development</w:t>
            </w:r>
            <w:r>
              <w:rPr>
                <w:rFonts w:ascii="Calibri" w:hAnsi="Calibri" w:cs="Calibri"/>
                <w:szCs w:val="22"/>
              </w:rPr>
              <w:t xml:space="preserve"> </w:t>
            </w:r>
            <w:r w:rsidRPr="00ED2EDA">
              <w:rPr>
                <w:rFonts w:ascii="Calibri" w:hAnsi="Calibri" w:cs="Calibri"/>
                <w:szCs w:val="22"/>
              </w:rPr>
              <w:t>of new buildings will be limited to the purposes of agriculture, forestry,</w:t>
            </w:r>
            <w:r>
              <w:rPr>
                <w:rFonts w:ascii="Calibri" w:hAnsi="Calibri" w:cs="Calibri"/>
                <w:szCs w:val="22"/>
              </w:rPr>
              <w:t xml:space="preserve"> </w:t>
            </w:r>
            <w:r w:rsidRPr="00ED2EDA">
              <w:rPr>
                <w:rFonts w:ascii="Calibri" w:hAnsi="Calibri" w:cs="Calibri"/>
                <w:szCs w:val="22"/>
              </w:rPr>
              <w:t>essential outdoor sport and recreation, cemeteries and for other uses of land</w:t>
            </w:r>
            <w:r>
              <w:rPr>
                <w:rFonts w:ascii="Calibri" w:hAnsi="Calibri" w:cs="Calibri"/>
                <w:szCs w:val="22"/>
              </w:rPr>
              <w:t xml:space="preserve"> </w:t>
            </w:r>
            <w:r w:rsidRPr="00ED2EDA">
              <w:rPr>
                <w:rFonts w:ascii="Calibri" w:hAnsi="Calibri" w:cs="Calibri"/>
                <w:szCs w:val="22"/>
              </w:rPr>
              <w:t>which preserve the openness of the green belt and which do not conflict with</w:t>
            </w:r>
            <w:r>
              <w:rPr>
                <w:rFonts w:ascii="Calibri" w:hAnsi="Calibri" w:cs="Calibri"/>
                <w:szCs w:val="22"/>
              </w:rPr>
              <w:t xml:space="preserve"> </w:t>
            </w:r>
            <w:r w:rsidRPr="00ED2EDA">
              <w:rPr>
                <w:rFonts w:ascii="Calibri" w:hAnsi="Calibri" w:cs="Calibri"/>
                <w:szCs w:val="22"/>
              </w:rPr>
              <w:t>the purposes of the designation.</w:t>
            </w:r>
          </w:p>
          <w:p w14:paraId="49353217" w14:textId="11F1E2AC" w:rsidR="00005B99" w:rsidRDefault="00005B99" w:rsidP="00005B99">
            <w:pPr>
              <w:contextualSpacing/>
              <w:jc w:val="both"/>
              <w:rPr>
                <w:rFonts w:asciiTheme="minorHAnsi" w:hAnsiTheme="minorHAnsi" w:cstheme="minorHAnsi"/>
                <w:bCs/>
                <w:szCs w:val="22"/>
              </w:rPr>
            </w:pPr>
          </w:p>
          <w:p w14:paraId="78E2DF25" w14:textId="77777777" w:rsidR="008A5522" w:rsidRPr="00D97BB9" w:rsidRDefault="008A5522" w:rsidP="008A5522">
            <w:pPr>
              <w:jc w:val="both"/>
              <w:rPr>
                <w:rFonts w:asciiTheme="minorHAnsi" w:hAnsiTheme="minorHAnsi" w:cstheme="minorHAnsi"/>
                <w:szCs w:val="22"/>
              </w:rPr>
            </w:pPr>
            <w:r w:rsidRPr="00D97BB9">
              <w:rPr>
                <w:rFonts w:asciiTheme="minorHAnsi" w:hAnsiTheme="minorHAnsi" w:cstheme="minorHAnsi"/>
                <w:szCs w:val="22"/>
              </w:rPr>
              <w:t>Chapter 13 of the NPPF refers to development proposals within the Green Belt and under paragraph 134, the five purposes of the Green Belt are outlined as:</w:t>
            </w:r>
          </w:p>
          <w:p w14:paraId="32978DAC" w14:textId="77777777" w:rsidR="008A5522" w:rsidRPr="00D97BB9" w:rsidRDefault="008A5522" w:rsidP="008A5522">
            <w:pPr>
              <w:jc w:val="both"/>
              <w:rPr>
                <w:rFonts w:asciiTheme="minorHAnsi" w:hAnsiTheme="minorHAnsi" w:cstheme="minorHAnsi"/>
                <w:szCs w:val="22"/>
              </w:rPr>
            </w:pPr>
          </w:p>
          <w:p w14:paraId="7B22C371" w14:textId="77777777" w:rsidR="008A5522" w:rsidRPr="00D97BB9" w:rsidRDefault="008A5522" w:rsidP="008A5522">
            <w:pPr>
              <w:numPr>
                <w:ilvl w:val="0"/>
                <w:numId w:val="17"/>
              </w:numPr>
              <w:overflowPunct/>
              <w:autoSpaceDE/>
              <w:autoSpaceDN/>
              <w:adjustRightInd/>
              <w:jc w:val="both"/>
              <w:textAlignment w:val="auto"/>
              <w:rPr>
                <w:rFonts w:asciiTheme="minorHAnsi" w:hAnsiTheme="minorHAnsi" w:cstheme="minorHAnsi"/>
                <w:i/>
                <w:szCs w:val="22"/>
              </w:rPr>
            </w:pPr>
            <w:r w:rsidRPr="00D97BB9">
              <w:rPr>
                <w:rFonts w:asciiTheme="minorHAnsi" w:hAnsiTheme="minorHAnsi" w:cstheme="minorHAnsi"/>
                <w:i/>
                <w:szCs w:val="22"/>
              </w:rPr>
              <w:t xml:space="preserve">To check the unrestricted sprawl of large </w:t>
            </w:r>
            <w:proofErr w:type="gramStart"/>
            <w:r w:rsidRPr="00D97BB9">
              <w:rPr>
                <w:rFonts w:asciiTheme="minorHAnsi" w:hAnsiTheme="minorHAnsi" w:cstheme="minorHAnsi"/>
                <w:i/>
                <w:szCs w:val="22"/>
              </w:rPr>
              <w:t>built up</w:t>
            </w:r>
            <w:proofErr w:type="gramEnd"/>
            <w:r w:rsidRPr="00D97BB9">
              <w:rPr>
                <w:rFonts w:asciiTheme="minorHAnsi" w:hAnsiTheme="minorHAnsi" w:cstheme="minorHAnsi"/>
                <w:i/>
                <w:szCs w:val="22"/>
              </w:rPr>
              <w:t xml:space="preserve"> areas, </w:t>
            </w:r>
          </w:p>
          <w:p w14:paraId="7FB0BC95" w14:textId="77777777" w:rsidR="008A5522" w:rsidRPr="00D97BB9" w:rsidRDefault="008A5522" w:rsidP="008A5522">
            <w:pPr>
              <w:numPr>
                <w:ilvl w:val="0"/>
                <w:numId w:val="17"/>
              </w:numPr>
              <w:overflowPunct/>
              <w:autoSpaceDE/>
              <w:autoSpaceDN/>
              <w:adjustRightInd/>
              <w:jc w:val="both"/>
              <w:textAlignment w:val="auto"/>
              <w:rPr>
                <w:rFonts w:asciiTheme="minorHAnsi" w:hAnsiTheme="minorHAnsi" w:cstheme="minorHAnsi"/>
                <w:i/>
                <w:szCs w:val="22"/>
              </w:rPr>
            </w:pPr>
            <w:r w:rsidRPr="00D97BB9">
              <w:rPr>
                <w:rFonts w:asciiTheme="minorHAnsi" w:hAnsiTheme="minorHAnsi" w:cstheme="minorHAnsi"/>
                <w:i/>
                <w:szCs w:val="22"/>
              </w:rPr>
              <w:t>To prevent neighbouring town merging into one another,</w:t>
            </w:r>
          </w:p>
          <w:p w14:paraId="3A3FAE1E" w14:textId="77777777" w:rsidR="008A5522" w:rsidRPr="00D97BB9" w:rsidRDefault="008A5522" w:rsidP="008A5522">
            <w:pPr>
              <w:numPr>
                <w:ilvl w:val="0"/>
                <w:numId w:val="17"/>
              </w:numPr>
              <w:overflowPunct/>
              <w:autoSpaceDE/>
              <w:autoSpaceDN/>
              <w:adjustRightInd/>
              <w:jc w:val="both"/>
              <w:textAlignment w:val="auto"/>
              <w:rPr>
                <w:rFonts w:asciiTheme="minorHAnsi" w:hAnsiTheme="minorHAnsi" w:cstheme="minorHAnsi"/>
                <w:i/>
                <w:szCs w:val="22"/>
              </w:rPr>
            </w:pPr>
            <w:r w:rsidRPr="00D97BB9">
              <w:rPr>
                <w:rFonts w:asciiTheme="minorHAnsi" w:hAnsiTheme="minorHAnsi" w:cstheme="minorHAnsi"/>
                <w:i/>
                <w:szCs w:val="22"/>
              </w:rPr>
              <w:t>To assist in safeguarding the countryside from encroachment,</w:t>
            </w:r>
          </w:p>
          <w:p w14:paraId="380796D5" w14:textId="77777777" w:rsidR="008A5522" w:rsidRPr="00D97BB9" w:rsidRDefault="008A5522" w:rsidP="008A5522">
            <w:pPr>
              <w:numPr>
                <w:ilvl w:val="0"/>
                <w:numId w:val="17"/>
              </w:numPr>
              <w:overflowPunct/>
              <w:autoSpaceDE/>
              <w:autoSpaceDN/>
              <w:adjustRightInd/>
              <w:jc w:val="both"/>
              <w:textAlignment w:val="auto"/>
              <w:rPr>
                <w:rFonts w:asciiTheme="minorHAnsi" w:hAnsiTheme="minorHAnsi" w:cstheme="minorHAnsi"/>
                <w:i/>
                <w:szCs w:val="22"/>
              </w:rPr>
            </w:pPr>
            <w:r w:rsidRPr="00D97BB9">
              <w:rPr>
                <w:rFonts w:asciiTheme="minorHAnsi" w:hAnsiTheme="minorHAnsi" w:cstheme="minorHAnsi"/>
                <w:i/>
                <w:szCs w:val="22"/>
              </w:rPr>
              <w:t xml:space="preserve">To preserve the setting and special character of historic towns, and </w:t>
            </w:r>
          </w:p>
          <w:p w14:paraId="16322C5E" w14:textId="77777777" w:rsidR="008A5522" w:rsidRPr="00D97BB9" w:rsidRDefault="008A5522" w:rsidP="008A5522">
            <w:pPr>
              <w:numPr>
                <w:ilvl w:val="0"/>
                <w:numId w:val="17"/>
              </w:numPr>
              <w:overflowPunct/>
              <w:autoSpaceDE/>
              <w:autoSpaceDN/>
              <w:adjustRightInd/>
              <w:jc w:val="both"/>
              <w:textAlignment w:val="auto"/>
              <w:rPr>
                <w:rFonts w:asciiTheme="minorHAnsi" w:hAnsiTheme="minorHAnsi" w:cstheme="minorHAnsi"/>
                <w:i/>
                <w:szCs w:val="22"/>
              </w:rPr>
            </w:pPr>
            <w:r w:rsidRPr="00D97BB9">
              <w:rPr>
                <w:rFonts w:asciiTheme="minorHAnsi" w:hAnsiTheme="minorHAnsi" w:cstheme="minorHAnsi"/>
                <w:i/>
                <w:szCs w:val="22"/>
              </w:rPr>
              <w:t>To assist in urban regeneration, by encouraging the recycling of derelict and other urban land.</w:t>
            </w:r>
          </w:p>
          <w:p w14:paraId="1DDCD476" w14:textId="77777777" w:rsidR="008A5522" w:rsidRPr="00D97BB9" w:rsidRDefault="008A5522" w:rsidP="008A5522">
            <w:pPr>
              <w:jc w:val="both"/>
              <w:rPr>
                <w:rFonts w:asciiTheme="minorHAnsi" w:hAnsiTheme="minorHAnsi" w:cstheme="minorHAnsi"/>
                <w:szCs w:val="22"/>
              </w:rPr>
            </w:pPr>
          </w:p>
          <w:p w14:paraId="3BCF8331" w14:textId="77777777" w:rsidR="008A5522" w:rsidRPr="00D97BB9" w:rsidRDefault="008A5522" w:rsidP="008A5522">
            <w:pPr>
              <w:jc w:val="both"/>
              <w:rPr>
                <w:rFonts w:asciiTheme="minorHAnsi" w:hAnsiTheme="minorHAnsi" w:cstheme="minorHAnsi"/>
                <w:szCs w:val="22"/>
              </w:rPr>
            </w:pPr>
            <w:r w:rsidRPr="00D97BB9">
              <w:rPr>
                <w:rFonts w:asciiTheme="minorHAnsi" w:hAnsiTheme="minorHAnsi" w:cstheme="minorHAnsi"/>
                <w:szCs w:val="22"/>
              </w:rPr>
              <w:t xml:space="preserve">Paragraph 143 of the Framework then goes on to say that inappropriate development is, by definition, harmful to the Green Belt and should not be approved except in very special circumstances (VSCs). Furthermore, under paragraph 144 it is established that substantial weight should be given to any harm to the Green Belt and ‘very special </w:t>
            </w:r>
            <w:proofErr w:type="gramStart"/>
            <w:r w:rsidRPr="00D97BB9">
              <w:rPr>
                <w:rFonts w:asciiTheme="minorHAnsi" w:hAnsiTheme="minorHAnsi" w:cstheme="minorHAnsi"/>
                <w:szCs w:val="22"/>
              </w:rPr>
              <w:t>circumstances’</w:t>
            </w:r>
            <w:proofErr w:type="gramEnd"/>
            <w:r w:rsidRPr="00D97BB9">
              <w:rPr>
                <w:rFonts w:asciiTheme="minorHAnsi" w:hAnsiTheme="minorHAnsi" w:cstheme="minorHAnsi"/>
                <w:szCs w:val="22"/>
              </w:rPr>
              <w:t xml:space="preserve"> will not exist unless the potential harm to the Green Belt by reason of inappropriateness, and any other harm, is clearly outweighed by other considerations.</w:t>
            </w:r>
          </w:p>
          <w:p w14:paraId="22E8BDDA" w14:textId="77777777" w:rsidR="008A5522" w:rsidRPr="00D97BB9" w:rsidRDefault="008A5522" w:rsidP="008A5522">
            <w:pPr>
              <w:jc w:val="both"/>
              <w:rPr>
                <w:rFonts w:asciiTheme="minorHAnsi" w:hAnsiTheme="minorHAnsi" w:cstheme="minorHAnsi"/>
                <w:szCs w:val="22"/>
              </w:rPr>
            </w:pPr>
          </w:p>
          <w:p w14:paraId="55C81FDF" w14:textId="77777777" w:rsidR="008A5522" w:rsidRPr="00D97BB9" w:rsidRDefault="008A5522" w:rsidP="008A5522">
            <w:pPr>
              <w:jc w:val="both"/>
              <w:rPr>
                <w:rFonts w:asciiTheme="minorHAnsi" w:hAnsiTheme="minorHAnsi" w:cstheme="minorHAnsi"/>
                <w:szCs w:val="22"/>
              </w:rPr>
            </w:pPr>
            <w:r w:rsidRPr="00D97BB9">
              <w:rPr>
                <w:rFonts w:asciiTheme="minorHAnsi" w:hAnsiTheme="minorHAnsi" w:cstheme="minorHAnsi"/>
                <w:szCs w:val="22"/>
              </w:rPr>
              <w:t>It must be recognised that not all development in the Green Belt is inappropriate, and these exceptions are established in paragraph 145 of the NPPF as:</w:t>
            </w:r>
          </w:p>
          <w:p w14:paraId="797B9961" w14:textId="77777777" w:rsidR="008A5522" w:rsidRPr="00D97BB9" w:rsidRDefault="008A5522" w:rsidP="008A5522">
            <w:pPr>
              <w:pStyle w:val="Default"/>
              <w:jc w:val="both"/>
              <w:rPr>
                <w:rFonts w:asciiTheme="minorHAnsi" w:hAnsiTheme="minorHAnsi" w:cstheme="minorHAnsi"/>
                <w:sz w:val="22"/>
                <w:szCs w:val="22"/>
              </w:rPr>
            </w:pPr>
          </w:p>
          <w:p w14:paraId="15B8299C" w14:textId="77777777" w:rsidR="008A5522" w:rsidRPr="00D97BB9" w:rsidRDefault="008A5522" w:rsidP="008A5522">
            <w:pPr>
              <w:pStyle w:val="Default"/>
              <w:spacing w:after="156"/>
              <w:jc w:val="both"/>
              <w:rPr>
                <w:rFonts w:asciiTheme="minorHAnsi" w:hAnsiTheme="minorHAnsi" w:cstheme="minorHAnsi"/>
                <w:i/>
                <w:sz w:val="22"/>
                <w:szCs w:val="22"/>
              </w:rPr>
            </w:pPr>
            <w:r w:rsidRPr="00D97BB9">
              <w:rPr>
                <w:rFonts w:asciiTheme="minorHAnsi" w:hAnsiTheme="minorHAnsi" w:cstheme="minorHAnsi"/>
                <w:i/>
                <w:sz w:val="22"/>
                <w:szCs w:val="22"/>
              </w:rPr>
              <w:t xml:space="preserve">a) buildings for agriculture and </w:t>
            </w:r>
            <w:proofErr w:type="gramStart"/>
            <w:r w:rsidRPr="00D97BB9">
              <w:rPr>
                <w:rFonts w:asciiTheme="minorHAnsi" w:hAnsiTheme="minorHAnsi" w:cstheme="minorHAnsi"/>
                <w:i/>
                <w:sz w:val="22"/>
                <w:szCs w:val="22"/>
              </w:rPr>
              <w:t>forestry;</w:t>
            </w:r>
            <w:proofErr w:type="gramEnd"/>
            <w:r w:rsidRPr="00D97BB9">
              <w:rPr>
                <w:rFonts w:asciiTheme="minorHAnsi" w:hAnsiTheme="minorHAnsi" w:cstheme="minorHAnsi"/>
                <w:i/>
                <w:sz w:val="22"/>
                <w:szCs w:val="22"/>
              </w:rPr>
              <w:t xml:space="preserve"> </w:t>
            </w:r>
          </w:p>
          <w:p w14:paraId="5520F374" w14:textId="77777777" w:rsidR="008A5522" w:rsidRPr="00D97BB9" w:rsidRDefault="008A5522" w:rsidP="008A5522">
            <w:pPr>
              <w:pStyle w:val="Default"/>
              <w:spacing w:after="156"/>
              <w:jc w:val="both"/>
              <w:rPr>
                <w:rFonts w:asciiTheme="minorHAnsi" w:hAnsiTheme="minorHAnsi" w:cstheme="minorHAnsi"/>
                <w:i/>
                <w:sz w:val="22"/>
                <w:szCs w:val="22"/>
              </w:rPr>
            </w:pPr>
            <w:r w:rsidRPr="00D97BB9">
              <w:rPr>
                <w:rFonts w:asciiTheme="minorHAnsi" w:hAnsiTheme="minorHAnsi" w:cstheme="minorHAnsi"/>
                <w:i/>
                <w:sz w:val="22"/>
                <w:szCs w:val="22"/>
              </w:rPr>
              <w:t xml:space="preserve">b) the provision of appropriate facilities (in connection with the existing use of land or a change of use) for outdoor sport, outdoor recreation, cemeteries and burial grounds and </w:t>
            </w:r>
            <w:proofErr w:type="gramStart"/>
            <w:r w:rsidRPr="00D97BB9">
              <w:rPr>
                <w:rFonts w:asciiTheme="minorHAnsi" w:hAnsiTheme="minorHAnsi" w:cstheme="minorHAnsi"/>
                <w:i/>
                <w:sz w:val="22"/>
                <w:szCs w:val="22"/>
              </w:rPr>
              <w:t>allotments;</w:t>
            </w:r>
            <w:proofErr w:type="gramEnd"/>
            <w:r w:rsidRPr="00D97BB9">
              <w:rPr>
                <w:rFonts w:asciiTheme="minorHAnsi" w:hAnsiTheme="minorHAnsi" w:cstheme="minorHAnsi"/>
                <w:i/>
                <w:sz w:val="22"/>
                <w:szCs w:val="22"/>
              </w:rPr>
              <w:t xml:space="preserve"> as long as the facilities preserve the openness of the Green Belt and do not conflict with the purposes of including land within it; </w:t>
            </w:r>
          </w:p>
          <w:p w14:paraId="6C28824E" w14:textId="77777777" w:rsidR="008A5522" w:rsidRPr="00D97BB9" w:rsidRDefault="008A5522" w:rsidP="008A5522">
            <w:pPr>
              <w:pStyle w:val="Default"/>
              <w:spacing w:after="156"/>
              <w:jc w:val="both"/>
              <w:rPr>
                <w:rFonts w:asciiTheme="minorHAnsi" w:hAnsiTheme="minorHAnsi" w:cstheme="minorHAnsi"/>
                <w:i/>
                <w:sz w:val="22"/>
                <w:szCs w:val="22"/>
              </w:rPr>
            </w:pPr>
            <w:r w:rsidRPr="00D97BB9">
              <w:rPr>
                <w:rFonts w:asciiTheme="minorHAnsi" w:hAnsiTheme="minorHAnsi" w:cstheme="minorHAnsi"/>
                <w:i/>
                <w:sz w:val="22"/>
                <w:szCs w:val="22"/>
              </w:rPr>
              <w:t xml:space="preserve">c) the extension or alteration of a building provided that it does not result in disproportionate additions over and above the size of the original </w:t>
            </w:r>
            <w:proofErr w:type="gramStart"/>
            <w:r w:rsidRPr="00D97BB9">
              <w:rPr>
                <w:rFonts w:asciiTheme="minorHAnsi" w:hAnsiTheme="minorHAnsi" w:cstheme="minorHAnsi"/>
                <w:i/>
                <w:sz w:val="22"/>
                <w:szCs w:val="22"/>
              </w:rPr>
              <w:t>building;</w:t>
            </w:r>
            <w:proofErr w:type="gramEnd"/>
            <w:r w:rsidRPr="00D97BB9">
              <w:rPr>
                <w:rFonts w:asciiTheme="minorHAnsi" w:hAnsiTheme="minorHAnsi" w:cstheme="minorHAnsi"/>
                <w:i/>
                <w:sz w:val="22"/>
                <w:szCs w:val="22"/>
              </w:rPr>
              <w:t xml:space="preserve"> </w:t>
            </w:r>
          </w:p>
          <w:p w14:paraId="691BCA04" w14:textId="77777777" w:rsidR="008A5522" w:rsidRPr="00D97BB9" w:rsidRDefault="008A5522" w:rsidP="008A5522">
            <w:pPr>
              <w:pStyle w:val="Default"/>
              <w:spacing w:after="156"/>
              <w:jc w:val="both"/>
              <w:rPr>
                <w:rFonts w:asciiTheme="minorHAnsi" w:hAnsiTheme="minorHAnsi" w:cstheme="minorHAnsi"/>
                <w:i/>
                <w:sz w:val="22"/>
                <w:szCs w:val="22"/>
              </w:rPr>
            </w:pPr>
            <w:r w:rsidRPr="00D97BB9">
              <w:rPr>
                <w:rFonts w:asciiTheme="minorHAnsi" w:hAnsiTheme="minorHAnsi" w:cstheme="minorHAnsi"/>
                <w:i/>
                <w:sz w:val="22"/>
                <w:szCs w:val="22"/>
              </w:rPr>
              <w:t xml:space="preserve">d) the replacement of a building, provided the new building is in the same use and not materially larger than the one it </w:t>
            </w:r>
            <w:proofErr w:type="gramStart"/>
            <w:r w:rsidRPr="00D97BB9">
              <w:rPr>
                <w:rFonts w:asciiTheme="minorHAnsi" w:hAnsiTheme="minorHAnsi" w:cstheme="minorHAnsi"/>
                <w:i/>
                <w:sz w:val="22"/>
                <w:szCs w:val="22"/>
              </w:rPr>
              <w:t>replaces;</w:t>
            </w:r>
            <w:proofErr w:type="gramEnd"/>
            <w:r w:rsidRPr="00D97BB9">
              <w:rPr>
                <w:rFonts w:asciiTheme="minorHAnsi" w:hAnsiTheme="minorHAnsi" w:cstheme="minorHAnsi"/>
                <w:i/>
                <w:sz w:val="22"/>
                <w:szCs w:val="22"/>
              </w:rPr>
              <w:t xml:space="preserve"> </w:t>
            </w:r>
          </w:p>
          <w:p w14:paraId="6A21FA01" w14:textId="77777777" w:rsidR="008A5522" w:rsidRPr="00D97BB9" w:rsidRDefault="008A5522" w:rsidP="008A5522">
            <w:pPr>
              <w:pStyle w:val="Default"/>
              <w:spacing w:after="156"/>
              <w:jc w:val="both"/>
              <w:rPr>
                <w:rFonts w:asciiTheme="minorHAnsi" w:hAnsiTheme="minorHAnsi" w:cstheme="minorHAnsi"/>
                <w:i/>
                <w:sz w:val="22"/>
                <w:szCs w:val="22"/>
              </w:rPr>
            </w:pPr>
            <w:r w:rsidRPr="00D97BB9">
              <w:rPr>
                <w:rFonts w:asciiTheme="minorHAnsi" w:hAnsiTheme="minorHAnsi" w:cstheme="minorHAnsi"/>
                <w:i/>
                <w:sz w:val="22"/>
                <w:szCs w:val="22"/>
              </w:rPr>
              <w:t xml:space="preserve">e) limited infilling in </w:t>
            </w:r>
            <w:proofErr w:type="gramStart"/>
            <w:r w:rsidRPr="00D97BB9">
              <w:rPr>
                <w:rFonts w:asciiTheme="minorHAnsi" w:hAnsiTheme="minorHAnsi" w:cstheme="minorHAnsi"/>
                <w:i/>
                <w:sz w:val="22"/>
                <w:szCs w:val="22"/>
              </w:rPr>
              <w:t>villages;</w:t>
            </w:r>
            <w:proofErr w:type="gramEnd"/>
            <w:r w:rsidRPr="00D97BB9">
              <w:rPr>
                <w:rFonts w:asciiTheme="minorHAnsi" w:hAnsiTheme="minorHAnsi" w:cstheme="minorHAnsi"/>
                <w:i/>
                <w:sz w:val="22"/>
                <w:szCs w:val="22"/>
              </w:rPr>
              <w:t xml:space="preserve"> </w:t>
            </w:r>
          </w:p>
          <w:p w14:paraId="3480F08D" w14:textId="77777777" w:rsidR="008A5522" w:rsidRPr="00D97BB9" w:rsidRDefault="008A5522" w:rsidP="008A5522">
            <w:pPr>
              <w:pStyle w:val="Default"/>
              <w:jc w:val="both"/>
              <w:rPr>
                <w:rFonts w:asciiTheme="minorHAnsi" w:hAnsiTheme="minorHAnsi" w:cstheme="minorHAnsi"/>
                <w:i/>
                <w:sz w:val="22"/>
                <w:szCs w:val="22"/>
              </w:rPr>
            </w:pPr>
            <w:r w:rsidRPr="00D97BB9">
              <w:rPr>
                <w:rFonts w:asciiTheme="minorHAnsi" w:hAnsiTheme="minorHAnsi" w:cstheme="minorHAnsi"/>
                <w:i/>
                <w:sz w:val="22"/>
                <w:szCs w:val="22"/>
              </w:rPr>
              <w:lastRenderedPageBreak/>
              <w:t xml:space="preserve">f) limited affordable housing for local community needs under policies set out in the development plan (including policies for rural exception sites); and </w:t>
            </w:r>
          </w:p>
          <w:p w14:paraId="5199122F" w14:textId="77777777" w:rsidR="008A5522" w:rsidRPr="00D97BB9" w:rsidRDefault="008A5522" w:rsidP="008A5522">
            <w:pPr>
              <w:pStyle w:val="Default"/>
              <w:jc w:val="both"/>
              <w:rPr>
                <w:rFonts w:asciiTheme="minorHAnsi" w:hAnsiTheme="minorHAnsi" w:cstheme="minorHAnsi"/>
                <w:i/>
                <w:sz w:val="22"/>
                <w:szCs w:val="22"/>
              </w:rPr>
            </w:pPr>
          </w:p>
          <w:p w14:paraId="785B816B" w14:textId="77777777" w:rsidR="008A5522" w:rsidRPr="00D97BB9" w:rsidRDefault="008A5522" w:rsidP="008A5522">
            <w:pPr>
              <w:pStyle w:val="Default"/>
              <w:spacing w:after="36"/>
              <w:jc w:val="both"/>
              <w:rPr>
                <w:rFonts w:asciiTheme="minorHAnsi" w:hAnsiTheme="minorHAnsi" w:cstheme="minorHAnsi"/>
                <w:i/>
                <w:sz w:val="22"/>
                <w:szCs w:val="22"/>
              </w:rPr>
            </w:pPr>
            <w:r w:rsidRPr="00D97BB9">
              <w:rPr>
                <w:rFonts w:asciiTheme="minorHAnsi" w:hAnsiTheme="minorHAnsi" w:cstheme="minorHAnsi"/>
                <w:i/>
                <w:sz w:val="22"/>
                <w:szCs w:val="22"/>
              </w:rPr>
              <w:t xml:space="preserve">g) limited infilling or the partial or complete redevelopment of previously developed land, whether redundant or in continuing use (excluding temporary buildings), which would: </w:t>
            </w:r>
          </w:p>
          <w:p w14:paraId="6980D8BC" w14:textId="77777777" w:rsidR="008A5522" w:rsidRPr="00D97BB9" w:rsidRDefault="008A5522" w:rsidP="008A5522">
            <w:pPr>
              <w:pStyle w:val="Default"/>
              <w:spacing w:after="36"/>
              <w:jc w:val="both"/>
              <w:rPr>
                <w:rFonts w:asciiTheme="minorHAnsi" w:hAnsiTheme="minorHAnsi" w:cstheme="minorHAnsi"/>
                <w:i/>
                <w:sz w:val="22"/>
                <w:szCs w:val="22"/>
              </w:rPr>
            </w:pPr>
            <w:r w:rsidRPr="00D97BB9">
              <w:rPr>
                <w:rFonts w:asciiTheme="minorHAnsi" w:hAnsiTheme="minorHAnsi" w:cstheme="minorHAnsi"/>
                <w:i/>
                <w:sz w:val="22"/>
                <w:szCs w:val="22"/>
              </w:rPr>
              <w:t xml:space="preserve">‒ not have a greater impact on the openness of the Green Belt than the existing development; or </w:t>
            </w:r>
          </w:p>
          <w:p w14:paraId="0F078FAC" w14:textId="77777777" w:rsidR="008A5522" w:rsidRPr="00D97BB9" w:rsidRDefault="008A5522" w:rsidP="008A5522">
            <w:pPr>
              <w:pStyle w:val="Default"/>
              <w:jc w:val="both"/>
              <w:rPr>
                <w:rFonts w:asciiTheme="minorHAnsi" w:hAnsiTheme="minorHAnsi" w:cstheme="minorHAnsi"/>
                <w:i/>
                <w:sz w:val="22"/>
                <w:szCs w:val="22"/>
              </w:rPr>
            </w:pPr>
            <w:r w:rsidRPr="00D97BB9">
              <w:rPr>
                <w:rFonts w:asciiTheme="minorHAnsi" w:hAnsiTheme="minorHAnsi" w:cstheme="minorHAnsi"/>
                <w:i/>
                <w:sz w:val="22"/>
                <w:szCs w:val="22"/>
              </w:rPr>
              <w:t xml:space="preserve">‒ not cause substantial harm to the openness of the Green Belt, where the development would re-use previously developed land and contribute to meeting an identified affordable housing need within the area of the local planning authority. </w:t>
            </w:r>
          </w:p>
          <w:p w14:paraId="301F7820" w14:textId="77777777" w:rsidR="008A5522" w:rsidRPr="00D97BB9" w:rsidRDefault="008A5522" w:rsidP="008A5522">
            <w:pPr>
              <w:pStyle w:val="Default"/>
              <w:jc w:val="both"/>
              <w:rPr>
                <w:rFonts w:asciiTheme="minorHAnsi" w:hAnsiTheme="minorHAnsi" w:cstheme="minorHAnsi"/>
                <w:sz w:val="22"/>
                <w:szCs w:val="22"/>
              </w:rPr>
            </w:pPr>
          </w:p>
          <w:p w14:paraId="0F3B29DD" w14:textId="0F559B04" w:rsidR="00005B99" w:rsidRDefault="008A5522" w:rsidP="008A5522">
            <w:pPr>
              <w:contextualSpacing/>
              <w:jc w:val="both"/>
              <w:rPr>
                <w:rFonts w:ascii="Calibri" w:hAnsi="Calibri" w:cs="Calibri"/>
                <w:szCs w:val="22"/>
              </w:rPr>
            </w:pPr>
            <w:r w:rsidRPr="00D97BB9">
              <w:rPr>
                <w:rFonts w:asciiTheme="minorHAnsi" w:hAnsiTheme="minorHAnsi" w:cstheme="minorHAnsi"/>
                <w:szCs w:val="22"/>
              </w:rPr>
              <w:t>Certain other forms of development are also not inappropriate in the Green Belt provided they preserve its openness and do not conflict with the purposes of including land within it.</w:t>
            </w:r>
          </w:p>
          <w:p w14:paraId="3A080592" w14:textId="60CA965E" w:rsidR="00005B99" w:rsidRDefault="00005B99" w:rsidP="00005B99">
            <w:pPr>
              <w:overflowPunct/>
              <w:jc w:val="both"/>
              <w:textAlignment w:val="auto"/>
              <w:rPr>
                <w:rFonts w:ascii="Calibri" w:hAnsi="Calibri" w:cs="Calibri"/>
                <w:szCs w:val="22"/>
              </w:rPr>
            </w:pPr>
          </w:p>
          <w:p w14:paraId="4AE74BA6" w14:textId="77777777" w:rsidR="00005B99" w:rsidRDefault="00005B99" w:rsidP="00FA1145">
            <w:pPr>
              <w:overflowPunct/>
              <w:jc w:val="both"/>
              <w:textAlignment w:val="auto"/>
              <w:rPr>
                <w:rFonts w:ascii="Calibri" w:hAnsi="Calibri" w:cs="Calibri"/>
                <w:szCs w:val="22"/>
              </w:rPr>
            </w:pPr>
            <w:r>
              <w:rPr>
                <w:rFonts w:ascii="Calibri" w:hAnsi="Calibri" w:cs="Calibri"/>
                <w:szCs w:val="22"/>
              </w:rPr>
              <w:t xml:space="preserve">The provision of a new </w:t>
            </w:r>
            <w:proofErr w:type="spellStart"/>
            <w:r>
              <w:rPr>
                <w:rFonts w:ascii="Calibri" w:hAnsi="Calibri" w:cs="Calibri"/>
                <w:szCs w:val="22"/>
              </w:rPr>
              <w:t>dwellinghouse</w:t>
            </w:r>
            <w:proofErr w:type="spellEnd"/>
            <w:r>
              <w:rPr>
                <w:rFonts w:ascii="Calibri" w:hAnsi="Calibri" w:cs="Calibri"/>
                <w:szCs w:val="22"/>
              </w:rPr>
              <w:t xml:space="preserve"> does not meet any of the exceptions and would therefore constitute inappropriate development in the Green Belt.</w:t>
            </w:r>
            <w:r w:rsidR="00083436">
              <w:rPr>
                <w:rFonts w:ascii="Calibri" w:hAnsi="Calibri" w:cs="Calibri"/>
                <w:szCs w:val="22"/>
              </w:rPr>
              <w:t xml:space="preserve"> </w:t>
            </w:r>
          </w:p>
          <w:p w14:paraId="7D3D05E1" w14:textId="62289BA1" w:rsidR="008A5522" w:rsidRPr="00866186" w:rsidRDefault="008A5522" w:rsidP="00FA1145">
            <w:pPr>
              <w:overflowPunct/>
              <w:jc w:val="both"/>
              <w:textAlignment w:val="auto"/>
              <w:rPr>
                <w:rFonts w:asciiTheme="minorHAnsi" w:hAnsiTheme="minorHAnsi" w:cstheme="minorHAnsi"/>
                <w:bCs/>
                <w:szCs w:val="22"/>
              </w:rPr>
            </w:pPr>
          </w:p>
        </w:tc>
      </w:tr>
      <w:tr w:rsidR="005D1788" w:rsidRPr="00866186" w14:paraId="5146E9F3" w14:textId="77777777" w:rsidTr="00C70DC7">
        <w:trPr>
          <w:jc w:val="center"/>
        </w:trPr>
        <w:tc>
          <w:tcPr>
            <w:tcW w:w="927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89EA2B" w14:textId="7A281C69" w:rsidR="005D1788" w:rsidRPr="005A776B" w:rsidRDefault="005D1788" w:rsidP="00AA0B96">
            <w:pPr>
              <w:contextualSpacing/>
              <w:jc w:val="both"/>
              <w:rPr>
                <w:rFonts w:asciiTheme="minorHAnsi" w:hAnsiTheme="minorHAnsi" w:cstheme="minorHAnsi"/>
                <w:b/>
                <w:bCs/>
                <w:szCs w:val="22"/>
              </w:rPr>
            </w:pPr>
            <w:r w:rsidRPr="005A776B">
              <w:rPr>
                <w:rFonts w:asciiTheme="minorHAnsi" w:hAnsiTheme="minorHAnsi" w:cstheme="minorHAnsi"/>
                <w:b/>
                <w:bCs/>
                <w:szCs w:val="22"/>
              </w:rPr>
              <w:lastRenderedPageBreak/>
              <w:t>Conclusion</w:t>
            </w:r>
            <w:r w:rsidR="005A776B">
              <w:rPr>
                <w:rFonts w:asciiTheme="minorHAnsi" w:hAnsiTheme="minorHAnsi" w:cstheme="minorHAnsi"/>
                <w:b/>
                <w:bCs/>
                <w:szCs w:val="22"/>
              </w:rPr>
              <w:t>:</w:t>
            </w:r>
          </w:p>
          <w:p w14:paraId="24E8DF34" w14:textId="77777777" w:rsidR="00FA1145" w:rsidRPr="00083436" w:rsidRDefault="00FA1145" w:rsidP="00FA1145">
            <w:pPr>
              <w:overflowPunct/>
              <w:jc w:val="both"/>
              <w:textAlignment w:val="auto"/>
              <w:rPr>
                <w:rFonts w:ascii="Calibri" w:hAnsi="Calibri" w:cs="Calibri"/>
                <w:szCs w:val="22"/>
              </w:rPr>
            </w:pPr>
            <w:r>
              <w:rPr>
                <w:rFonts w:asciiTheme="minorHAnsi" w:eastAsiaTheme="minorHAnsi" w:hAnsiTheme="minorHAnsi" w:cstheme="minorHAnsi"/>
                <w:szCs w:val="22"/>
              </w:rPr>
              <w:t xml:space="preserve">Taking the above into account, the proposals are </w:t>
            </w:r>
            <w:r w:rsidRPr="00300236">
              <w:rPr>
                <w:rFonts w:asciiTheme="minorHAnsi" w:eastAsiaTheme="minorHAnsi" w:hAnsiTheme="minorHAnsi" w:cstheme="minorHAnsi"/>
                <w:szCs w:val="22"/>
              </w:rPr>
              <w:t>contrary to Key Stateme</w:t>
            </w:r>
            <w:r>
              <w:rPr>
                <w:rFonts w:asciiTheme="minorHAnsi" w:eastAsiaTheme="minorHAnsi" w:hAnsiTheme="minorHAnsi" w:cstheme="minorHAnsi"/>
                <w:szCs w:val="22"/>
              </w:rPr>
              <w:t>nt EN1 and</w:t>
            </w:r>
            <w:r w:rsidRPr="00300236">
              <w:rPr>
                <w:rFonts w:asciiTheme="minorHAnsi" w:eastAsiaTheme="minorHAnsi" w:hAnsiTheme="minorHAnsi" w:cstheme="minorHAnsi"/>
                <w:szCs w:val="22"/>
              </w:rPr>
              <w:t xml:space="preserve"> </w:t>
            </w:r>
            <w:r>
              <w:rPr>
                <w:rFonts w:asciiTheme="minorHAnsi" w:eastAsiaTheme="minorHAnsi" w:hAnsiTheme="minorHAnsi" w:cstheme="minorHAnsi"/>
                <w:szCs w:val="22"/>
              </w:rPr>
              <w:t>P</w:t>
            </w:r>
            <w:r w:rsidRPr="00300236">
              <w:rPr>
                <w:rFonts w:asciiTheme="minorHAnsi" w:eastAsiaTheme="minorHAnsi" w:hAnsiTheme="minorHAnsi" w:cstheme="minorHAnsi"/>
                <w:szCs w:val="22"/>
              </w:rPr>
              <w:t>olic</w:t>
            </w:r>
            <w:r>
              <w:rPr>
                <w:rFonts w:asciiTheme="minorHAnsi" w:eastAsiaTheme="minorHAnsi" w:hAnsiTheme="minorHAnsi" w:cstheme="minorHAnsi"/>
                <w:szCs w:val="22"/>
              </w:rPr>
              <w:t>y</w:t>
            </w:r>
            <w:r w:rsidRPr="00300236">
              <w:rPr>
                <w:rFonts w:asciiTheme="minorHAnsi" w:eastAsiaTheme="minorHAnsi" w:hAnsiTheme="minorHAnsi" w:cstheme="minorHAnsi"/>
                <w:szCs w:val="22"/>
              </w:rPr>
              <w:t xml:space="preserve"> DMG2</w:t>
            </w:r>
            <w:r>
              <w:rPr>
                <w:rFonts w:asciiTheme="minorHAnsi" w:eastAsiaTheme="minorHAnsi" w:hAnsiTheme="minorHAnsi" w:cstheme="minorHAnsi"/>
                <w:szCs w:val="22"/>
              </w:rPr>
              <w:t xml:space="preserve"> of the Core Strategy and Section 13 ‘Protecting Green Belt Land’ of the NPPF.</w:t>
            </w:r>
          </w:p>
          <w:p w14:paraId="067385E7" w14:textId="77777777" w:rsidR="005D1788" w:rsidRPr="00AA0B96" w:rsidRDefault="005D1788" w:rsidP="00AA0B96">
            <w:pPr>
              <w:contextualSpacing/>
              <w:jc w:val="both"/>
              <w:rPr>
                <w:rFonts w:asciiTheme="minorHAnsi" w:hAnsiTheme="minorHAnsi" w:cstheme="minorHAnsi"/>
                <w:bCs/>
                <w:szCs w:val="22"/>
              </w:rPr>
            </w:pPr>
          </w:p>
          <w:p w14:paraId="0A0108BE" w14:textId="77777777" w:rsidR="005D1788" w:rsidRPr="00AA0B96" w:rsidRDefault="005D1788" w:rsidP="00AA0B96">
            <w:pPr>
              <w:contextualSpacing/>
              <w:jc w:val="both"/>
              <w:rPr>
                <w:rFonts w:asciiTheme="minorHAnsi" w:hAnsiTheme="minorHAnsi" w:cstheme="minorHAnsi"/>
                <w:bCs/>
                <w:szCs w:val="22"/>
              </w:rPr>
            </w:pPr>
            <w:r w:rsidRPr="00AA0B96">
              <w:rPr>
                <w:rFonts w:asciiTheme="minorHAnsi" w:hAnsiTheme="minorHAnsi" w:cstheme="minorHAnsi"/>
                <w:bCs/>
                <w:szCs w:val="22"/>
              </w:rPr>
              <w:t>As such, it is recommended that the application be refused.</w:t>
            </w:r>
          </w:p>
          <w:p w14:paraId="273C599F" w14:textId="080A30DB" w:rsidR="00AA0B96" w:rsidRPr="004A75AF" w:rsidRDefault="00AA0B96" w:rsidP="005D1788">
            <w:pPr>
              <w:contextualSpacing/>
              <w:jc w:val="both"/>
              <w:rPr>
                <w:rFonts w:asciiTheme="minorHAnsi" w:hAnsiTheme="minorHAnsi" w:cstheme="minorHAnsi"/>
                <w:bCs/>
                <w:color w:val="FF0000"/>
                <w:szCs w:val="22"/>
                <w:u w:val="single"/>
              </w:rPr>
            </w:pPr>
          </w:p>
        </w:tc>
      </w:tr>
      <w:tr w:rsidR="00C70DC7" w:rsidRPr="00866186" w14:paraId="4B047A05" w14:textId="77777777" w:rsidTr="00C70DC7">
        <w:trPr>
          <w:jc w:val="center"/>
        </w:trPr>
        <w:tc>
          <w:tcPr>
            <w:tcW w:w="24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943B3C" w14:textId="77777777" w:rsidR="00C70DC7" w:rsidRPr="00866186" w:rsidRDefault="00C70DC7" w:rsidP="00EB3FEC">
            <w:pPr>
              <w:jc w:val="both"/>
              <w:rPr>
                <w:rFonts w:asciiTheme="minorHAnsi" w:hAnsiTheme="minorHAnsi" w:cstheme="minorHAnsi"/>
                <w:b/>
                <w:bCs/>
                <w:szCs w:val="22"/>
              </w:rPr>
            </w:pPr>
            <w:r w:rsidRPr="00866186">
              <w:rPr>
                <w:rFonts w:asciiTheme="minorHAnsi" w:hAnsiTheme="minorHAnsi" w:cstheme="minorHAnsi"/>
                <w:b/>
                <w:szCs w:val="22"/>
              </w:rPr>
              <w:t>RECOMMENDATION</w:t>
            </w:r>
            <w:r w:rsidRPr="00866186">
              <w:rPr>
                <w:rFonts w:asciiTheme="minorHAnsi" w:hAnsiTheme="minorHAnsi" w:cstheme="minorHAnsi"/>
                <w:szCs w:val="22"/>
              </w:rPr>
              <w:t>:</w:t>
            </w:r>
          </w:p>
        </w:tc>
        <w:tc>
          <w:tcPr>
            <w:tcW w:w="684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B12C7B" w14:textId="77777777" w:rsidR="00C70DC7" w:rsidRPr="00866186" w:rsidRDefault="00C70DC7" w:rsidP="00EB3FEC">
            <w:pPr>
              <w:jc w:val="both"/>
              <w:rPr>
                <w:rFonts w:asciiTheme="minorHAnsi" w:hAnsiTheme="minorHAnsi" w:cstheme="minorHAnsi"/>
                <w:bCs/>
                <w:szCs w:val="22"/>
              </w:rPr>
            </w:pPr>
            <w:r w:rsidRPr="00866186">
              <w:rPr>
                <w:rFonts w:asciiTheme="minorHAnsi" w:hAnsiTheme="minorHAnsi" w:cstheme="minorHAnsi"/>
                <w:bCs/>
                <w:szCs w:val="22"/>
              </w:rPr>
              <w:t>That planning permission be refused for the following reason(s):</w:t>
            </w:r>
          </w:p>
        </w:tc>
      </w:tr>
      <w:tr w:rsidR="00C70DC7" w:rsidRPr="00866186" w14:paraId="065B5CE3" w14:textId="77777777" w:rsidTr="00C70DC7">
        <w:trPr>
          <w:jc w:val="center"/>
        </w:trPr>
        <w:tc>
          <w:tcPr>
            <w:tcW w:w="6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5C9FE17" w14:textId="77777777" w:rsidR="00C70DC7" w:rsidRPr="00866186" w:rsidRDefault="00C70DC7" w:rsidP="00313A4F">
            <w:pPr>
              <w:jc w:val="center"/>
              <w:rPr>
                <w:rFonts w:asciiTheme="minorHAnsi" w:hAnsiTheme="minorHAnsi" w:cstheme="minorHAnsi"/>
                <w:b/>
                <w:szCs w:val="22"/>
              </w:rPr>
            </w:pPr>
            <w:r w:rsidRPr="00866186">
              <w:rPr>
                <w:rFonts w:asciiTheme="minorHAnsi" w:hAnsiTheme="minorHAnsi" w:cstheme="minorHAnsi"/>
                <w:b/>
                <w:szCs w:val="22"/>
              </w:rPr>
              <w:t>01</w:t>
            </w:r>
          </w:p>
        </w:tc>
        <w:tc>
          <w:tcPr>
            <w:tcW w:w="863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89E064" w14:textId="5989E5C0" w:rsidR="00FA1145" w:rsidRDefault="007A086B" w:rsidP="00F24E15">
            <w:pPr>
              <w:jc w:val="both"/>
              <w:rPr>
                <w:rFonts w:asciiTheme="minorHAnsi" w:hAnsiTheme="minorHAnsi" w:cstheme="minorHAnsi"/>
                <w:szCs w:val="22"/>
              </w:rPr>
            </w:pPr>
            <w:r w:rsidRPr="00866186">
              <w:rPr>
                <w:rFonts w:asciiTheme="minorHAnsi" w:hAnsiTheme="minorHAnsi" w:cstheme="minorHAnsi"/>
                <w:szCs w:val="22"/>
              </w:rPr>
              <w:t>The proposal is considered contrary to Poli</w:t>
            </w:r>
            <w:r w:rsidR="00FA1145">
              <w:rPr>
                <w:rFonts w:asciiTheme="minorHAnsi" w:hAnsiTheme="minorHAnsi" w:cstheme="minorHAnsi"/>
                <w:szCs w:val="22"/>
              </w:rPr>
              <w:t>cy</w:t>
            </w:r>
            <w:r w:rsidRPr="00866186">
              <w:rPr>
                <w:rFonts w:asciiTheme="minorHAnsi" w:hAnsiTheme="minorHAnsi" w:cstheme="minorHAnsi"/>
                <w:szCs w:val="22"/>
              </w:rPr>
              <w:t xml:space="preserve"> DMG2 of the Ribble Valley Core Strategy in that approval would lead to the creation </w:t>
            </w:r>
            <w:r w:rsidR="008A5522">
              <w:rPr>
                <w:rFonts w:asciiTheme="minorHAnsi" w:hAnsiTheme="minorHAnsi" w:cstheme="minorHAnsi"/>
                <w:szCs w:val="22"/>
              </w:rPr>
              <w:t xml:space="preserve">of a </w:t>
            </w:r>
            <w:r w:rsidRPr="00866186">
              <w:rPr>
                <w:rFonts w:asciiTheme="minorHAnsi" w:hAnsiTheme="minorHAnsi" w:cstheme="minorHAnsi"/>
                <w:szCs w:val="22"/>
              </w:rPr>
              <w:t xml:space="preserve">new residential dwelling in the defined </w:t>
            </w:r>
            <w:r w:rsidR="00FA1145">
              <w:rPr>
                <w:rFonts w:asciiTheme="minorHAnsi" w:hAnsiTheme="minorHAnsi" w:cstheme="minorHAnsi"/>
                <w:szCs w:val="22"/>
              </w:rPr>
              <w:t>Green Belt</w:t>
            </w:r>
            <w:r w:rsidRPr="00866186">
              <w:rPr>
                <w:rFonts w:asciiTheme="minorHAnsi" w:hAnsiTheme="minorHAnsi" w:cstheme="minorHAnsi"/>
                <w:szCs w:val="22"/>
              </w:rPr>
              <w:t>, located outside of a defined settlement boundary, without sufficient justification</w:t>
            </w:r>
            <w:r w:rsidR="00FA1145">
              <w:rPr>
                <w:rFonts w:asciiTheme="minorHAnsi" w:hAnsiTheme="minorHAnsi" w:cstheme="minorHAnsi"/>
                <w:szCs w:val="22"/>
              </w:rPr>
              <w:t xml:space="preserve"> and </w:t>
            </w:r>
            <w:r w:rsidR="00FA1145" w:rsidRPr="008E0C85">
              <w:rPr>
                <w:rFonts w:asciiTheme="minorHAnsi" w:hAnsiTheme="minorHAnsi" w:cstheme="minorHAnsi"/>
                <w:color w:val="000000" w:themeColor="text1"/>
              </w:rPr>
              <w:t>would create a harmful precedent for the acceptance of other similar unjustified proposals which would have an adverse impact on the implementation of the planning policies of the Council contrary to the interests of the proper planning of the area in accordance with core principles and policies of the NPPF.</w:t>
            </w:r>
          </w:p>
          <w:p w14:paraId="31257DE4" w14:textId="534DD139" w:rsidR="0057696A" w:rsidRPr="00866186" w:rsidRDefault="0057696A" w:rsidP="00F24E15">
            <w:pPr>
              <w:jc w:val="both"/>
              <w:rPr>
                <w:rFonts w:asciiTheme="minorHAnsi" w:hAnsiTheme="minorHAnsi" w:cstheme="minorHAnsi"/>
                <w:szCs w:val="22"/>
              </w:rPr>
            </w:pPr>
          </w:p>
        </w:tc>
      </w:tr>
      <w:tr w:rsidR="00C70DC7" w:rsidRPr="00866186" w14:paraId="68CECA98" w14:textId="77777777" w:rsidTr="00C70DC7">
        <w:trPr>
          <w:jc w:val="center"/>
        </w:trPr>
        <w:tc>
          <w:tcPr>
            <w:tcW w:w="6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A0727C2" w14:textId="77777777" w:rsidR="00C70DC7" w:rsidRPr="00866186" w:rsidRDefault="00C70DC7" w:rsidP="00313A4F">
            <w:pPr>
              <w:jc w:val="center"/>
              <w:rPr>
                <w:rFonts w:asciiTheme="minorHAnsi" w:hAnsiTheme="minorHAnsi" w:cstheme="minorHAnsi"/>
                <w:b/>
                <w:szCs w:val="22"/>
              </w:rPr>
            </w:pPr>
            <w:r w:rsidRPr="00866186">
              <w:rPr>
                <w:rFonts w:asciiTheme="minorHAnsi" w:hAnsiTheme="minorHAnsi" w:cstheme="minorHAnsi"/>
                <w:b/>
                <w:szCs w:val="22"/>
              </w:rPr>
              <w:t>02</w:t>
            </w:r>
          </w:p>
        </w:tc>
        <w:tc>
          <w:tcPr>
            <w:tcW w:w="863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D295FC" w14:textId="5EE3AC96" w:rsidR="00C70DC7" w:rsidRDefault="008A5522" w:rsidP="00F24E15">
            <w:pPr>
              <w:overflowPunct/>
              <w:jc w:val="both"/>
              <w:textAlignment w:val="auto"/>
              <w:rPr>
                <w:rFonts w:asciiTheme="minorHAnsi" w:hAnsiTheme="minorHAnsi" w:cstheme="minorHAnsi"/>
                <w:szCs w:val="22"/>
              </w:rPr>
            </w:pPr>
            <w:r w:rsidRPr="0010121A">
              <w:rPr>
                <w:rFonts w:asciiTheme="minorHAnsi" w:hAnsiTheme="minorHAnsi" w:cstheme="minorHAnsi"/>
                <w:szCs w:val="22"/>
              </w:rPr>
              <w:t xml:space="preserve">The </w:t>
            </w:r>
            <w:r>
              <w:rPr>
                <w:rFonts w:asciiTheme="minorHAnsi" w:hAnsiTheme="minorHAnsi" w:cstheme="minorHAnsi"/>
                <w:szCs w:val="22"/>
              </w:rPr>
              <w:t xml:space="preserve">proposed development </w:t>
            </w:r>
            <w:r w:rsidRPr="0010121A">
              <w:rPr>
                <w:rFonts w:asciiTheme="minorHAnsi" w:hAnsiTheme="minorHAnsi" w:cstheme="minorHAnsi"/>
                <w:szCs w:val="22"/>
              </w:rPr>
              <w:t xml:space="preserve">is contrary to the provisions of Key Statement EN1 of the Ribble Valley Core Strategy and Section </w:t>
            </w:r>
            <w:r>
              <w:rPr>
                <w:rFonts w:asciiTheme="minorHAnsi" w:hAnsiTheme="minorHAnsi" w:cstheme="minorHAnsi"/>
                <w:szCs w:val="22"/>
              </w:rPr>
              <w:t>13</w:t>
            </w:r>
            <w:r w:rsidRPr="0010121A">
              <w:rPr>
                <w:rFonts w:asciiTheme="minorHAnsi" w:hAnsiTheme="minorHAnsi" w:cstheme="minorHAnsi"/>
                <w:szCs w:val="22"/>
              </w:rPr>
              <w:t xml:space="preserve"> of the National Planning Policy Framework in that the proposal does not fit within one of the exception categories for development</w:t>
            </w:r>
            <w:r>
              <w:rPr>
                <w:rFonts w:asciiTheme="minorHAnsi" w:hAnsiTheme="minorHAnsi" w:cstheme="minorHAnsi"/>
                <w:szCs w:val="22"/>
              </w:rPr>
              <w:t xml:space="preserve"> in the Green Belt</w:t>
            </w:r>
            <w:r w:rsidRPr="0010121A">
              <w:rPr>
                <w:rFonts w:asciiTheme="minorHAnsi" w:hAnsiTheme="minorHAnsi" w:cstheme="minorHAnsi"/>
                <w:szCs w:val="22"/>
              </w:rPr>
              <w:t xml:space="preserve"> and thus the proposal is considered to represent inappropriate development with</w:t>
            </w:r>
            <w:r>
              <w:rPr>
                <w:rFonts w:asciiTheme="minorHAnsi" w:hAnsiTheme="minorHAnsi" w:cstheme="minorHAnsi"/>
                <w:szCs w:val="22"/>
              </w:rPr>
              <w:t>in</w:t>
            </w:r>
            <w:r w:rsidRPr="0010121A">
              <w:rPr>
                <w:rFonts w:asciiTheme="minorHAnsi" w:hAnsiTheme="minorHAnsi" w:cstheme="minorHAnsi"/>
                <w:szCs w:val="22"/>
              </w:rPr>
              <w:t xml:space="preserve"> the Green Belt. No Very Special circumstances have been put forward which would outweigh the harm by reason of </w:t>
            </w:r>
            <w:proofErr w:type="gramStart"/>
            <w:r w:rsidRPr="0010121A">
              <w:rPr>
                <w:rFonts w:asciiTheme="minorHAnsi" w:hAnsiTheme="minorHAnsi" w:cstheme="minorHAnsi"/>
                <w:szCs w:val="22"/>
              </w:rPr>
              <w:t>inappropriateness</w:t>
            </w:r>
            <w:proofErr w:type="gramEnd"/>
            <w:r w:rsidRPr="0010121A">
              <w:rPr>
                <w:rFonts w:asciiTheme="minorHAnsi" w:hAnsiTheme="minorHAnsi" w:cstheme="minorHAnsi"/>
                <w:szCs w:val="22"/>
              </w:rPr>
              <w:t xml:space="preserve"> or any other harm caused to the openness of the Green Belt.</w:t>
            </w:r>
          </w:p>
          <w:p w14:paraId="7F8D3FA0" w14:textId="13700DEA" w:rsidR="008A5522" w:rsidRPr="00866186" w:rsidRDefault="008A5522" w:rsidP="00F24E15">
            <w:pPr>
              <w:overflowPunct/>
              <w:jc w:val="both"/>
              <w:textAlignment w:val="auto"/>
              <w:rPr>
                <w:rFonts w:asciiTheme="minorHAnsi" w:eastAsiaTheme="minorHAnsi" w:hAnsiTheme="minorHAnsi" w:cstheme="minorHAnsi"/>
                <w:szCs w:val="22"/>
              </w:rPr>
            </w:pPr>
          </w:p>
        </w:tc>
      </w:tr>
    </w:tbl>
    <w:p w14:paraId="603F1198" w14:textId="77777777" w:rsidR="00313A4F" w:rsidRPr="00D2449B" w:rsidRDefault="00313A4F">
      <w:pPr>
        <w:rPr>
          <w:rFonts w:ascii="Calibri" w:hAnsi="Calibri"/>
          <w:szCs w:val="22"/>
        </w:rPr>
      </w:pPr>
    </w:p>
    <w:sectPr w:rsidR="00313A4F" w:rsidRPr="00D2449B" w:rsidSect="00D2449B">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F117" w14:textId="77777777" w:rsidR="00313A4F" w:rsidRDefault="00313A4F" w:rsidP="00187AE1">
      <w:r>
        <w:separator/>
      </w:r>
    </w:p>
  </w:endnote>
  <w:endnote w:type="continuationSeparator" w:id="0">
    <w:p w14:paraId="023E6F63" w14:textId="77777777" w:rsidR="00313A4F" w:rsidRDefault="00313A4F" w:rsidP="0018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DCA4E" w14:textId="77777777" w:rsidR="00313A4F" w:rsidRDefault="00313A4F" w:rsidP="00187AE1">
      <w:r>
        <w:separator/>
      </w:r>
    </w:p>
  </w:footnote>
  <w:footnote w:type="continuationSeparator" w:id="0">
    <w:p w14:paraId="6CE7EBA1" w14:textId="77777777" w:rsidR="00313A4F" w:rsidRDefault="00313A4F" w:rsidP="00187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D30"/>
    <w:multiLevelType w:val="hybridMultilevel"/>
    <w:tmpl w:val="777E85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03D96"/>
    <w:multiLevelType w:val="multilevel"/>
    <w:tmpl w:val="C3A4E0E0"/>
    <w:lvl w:ilvl="0">
      <w:start w:val="1"/>
      <w:numFmt w:val="decimal"/>
      <w:lvlText w:val="%1."/>
      <w:lvlJc w:val="left"/>
      <w:pPr>
        <w:ind w:left="357" w:hanging="357"/>
      </w:pPr>
      <w:rPr>
        <w:rFonts w:ascii="Calibri" w:hAnsi="Calibri" w:hint="default"/>
        <w:b/>
      </w:rPr>
    </w:lvl>
    <w:lvl w:ilvl="1">
      <w:start w:val="1"/>
      <w:numFmt w:val="decimal"/>
      <w:isLgl/>
      <w:lvlText w:val="%1.%2"/>
      <w:lvlJc w:val="left"/>
      <w:pPr>
        <w:ind w:left="737" w:hanging="377"/>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08D08FA"/>
    <w:multiLevelType w:val="hybridMultilevel"/>
    <w:tmpl w:val="C764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97B9C"/>
    <w:multiLevelType w:val="hybridMultilevel"/>
    <w:tmpl w:val="A76C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935DF"/>
    <w:multiLevelType w:val="hybridMultilevel"/>
    <w:tmpl w:val="D8CE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4402DF"/>
    <w:multiLevelType w:val="hybridMultilevel"/>
    <w:tmpl w:val="BCB64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D26FE"/>
    <w:multiLevelType w:val="hybridMultilevel"/>
    <w:tmpl w:val="1776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8D33AC"/>
    <w:multiLevelType w:val="hybridMultilevel"/>
    <w:tmpl w:val="3A94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24BE4"/>
    <w:multiLevelType w:val="hybridMultilevel"/>
    <w:tmpl w:val="6108F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F5065C"/>
    <w:multiLevelType w:val="hybridMultilevel"/>
    <w:tmpl w:val="BCB4C870"/>
    <w:lvl w:ilvl="0" w:tplc="AE14B344">
      <w:start w:val="1"/>
      <w:numFmt w:val="decimal"/>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10" w15:restartNumberingAfterBreak="0">
    <w:nsid w:val="47DC7F01"/>
    <w:multiLevelType w:val="multilevel"/>
    <w:tmpl w:val="B97C683C"/>
    <w:lvl w:ilvl="0">
      <w:start w:val="1"/>
      <w:numFmt w:val="decimal"/>
      <w:lvlText w:val="%1."/>
      <w:lvlJc w:val="left"/>
      <w:pPr>
        <w:tabs>
          <w:tab w:val="num" w:pos="1134"/>
        </w:tabs>
        <w:ind w:left="1134" w:hanging="567"/>
      </w:pPr>
      <w:rPr>
        <w:rFonts w:hint="default"/>
      </w:rPr>
    </w:lvl>
    <w:lvl w:ilvl="1">
      <w:start w:val="1"/>
      <w:numFmt w:val="decimal"/>
      <w:lvlText w:val="%1.%2."/>
      <w:lvlJc w:val="left"/>
      <w:pPr>
        <w:tabs>
          <w:tab w:val="num" w:pos="681"/>
        </w:tabs>
        <w:ind w:left="964" w:hanging="170"/>
      </w:pPr>
      <w:rPr>
        <w:rFonts w:hint="default"/>
      </w:rPr>
    </w:lvl>
    <w:lvl w:ilvl="2">
      <w:start w:val="1"/>
      <w:numFmt w:val="decimal"/>
      <w:lvlText w:val="%1.%2.%3."/>
      <w:lvlJc w:val="left"/>
      <w:pPr>
        <w:tabs>
          <w:tab w:val="num" w:pos="1078"/>
        </w:tabs>
        <w:ind w:left="1361" w:hanging="170"/>
      </w:pPr>
      <w:rPr>
        <w:rFonts w:hint="default"/>
      </w:rPr>
    </w:lvl>
    <w:lvl w:ilvl="3">
      <w:start w:val="1"/>
      <w:numFmt w:val="decimal"/>
      <w:lvlText w:val="%1.%2.%3.%4."/>
      <w:lvlJc w:val="left"/>
      <w:pPr>
        <w:tabs>
          <w:tab w:val="num" w:pos="1475"/>
        </w:tabs>
        <w:ind w:left="1758" w:hanging="170"/>
      </w:pPr>
      <w:rPr>
        <w:rFonts w:hint="default"/>
      </w:rPr>
    </w:lvl>
    <w:lvl w:ilvl="4">
      <w:start w:val="1"/>
      <w:numFmt w:val="decimal"/>
      <w:lvlText w:val="%1.%2.%3.%4.%5."/>
      <w:lvlJc w:val="left"/>
      <w:pPr>
        <w:tabs>
          <w:tab w:val="num" w:pos="1872"/>
        </w:tabs>
        <w:ind w:left="2155" w:hanging="170"/>
      </w:pPr>
      <w:rPr>
        <w:rFonts w:hint="default"/>
      </w:rPr>
    </w:lvl>
    <w:lvl w:ilvl="5">
      <w:start w:val="1"/>
      <w:numFmt w:val="decimal"/>
      <w:lvlText w:val="%1.%2.%3.%4.%5.%6."/>
      <w:lvlJc w:val="left"/>
      <w:pPr>
        <w:tabs>
          <w:tab w:val="num" w:pos="2269"/>
        </w:tabs>
        <w:ind w:left="2552" w:hanging="170"/>
      </w:pPr>
      <w:rPr>
        <w:rFonts w:hint="default"/>
      </w:rPr>
    </w:lvl>
    <w:lvl w:ilvl="6">
      <w:start w:val="1"/>
      <w:numFmt w:val="decimal"/>
      <w:lvlText w:val="%1.%2.%3.%4.%5.%6.%7."/>
      <w:lvlJc w:val="left"/>
      <w:pPr>
        <w:tabs>
          <w:tab w:val="num" w:pos="2666"/>
        </w:tabs>
        <w:ind w:left="2949" w:hanging="170"/>
      </w:pPr>
      <w:rPr>
        <w:rFonts w:hint="default"/>
      </w:rPr>
    </w:lvl>
    <w:lvl w:ilvl="7">
      <w:start w:val="1"/>
      <w:numFmt w:val="decimal"/>
      <w:lvlText w:val="%1.%2.%3.%4.%5.%6.%7.%8."/>
      <w:lvlJc w:val="left"/>
      <w:pPr>
        <w:tabs>
          <w:tab w:val="num" w:pos="3063"/>
        </w:tabs>
        <w:ind w:left="3346" w:hanging="170"/>
      </w:pPr>
      <w:rPr>
        <w:rFonts w:hint="default"/>
      </w:rPr>
    </w:lvl>
    <w:lvl w:ilvl="8">
      <w:start w:val="1"/>
      <w:numFmt w:val="decimal"/>
      <w:lvlText w:val="%1.%2.%3.%4.%5.%6.%7.%8.%9."/>
      <w:lvlJc w:val="left"/>
      <w:pPr>
        <w:tabs>
          <w:tab w:val="num" w:pos="3460"/>
        </w:tabs>
        <w:ind w:left="3743" w:hanging="170"/>
      </w:pPr>
      <w:rPr>
        <w:rFonts w:hint="default"/>
      </w:rPr>
    </w:lvl>
  </w:abstractNum>
  <w:abstractNum w:abstractNumId="11" w15:restartNumberingAfterBreak="0">
    <w:nsid w:val="4D4A4335"/>
    <w:multiLevelType w:val="hybridMultilevel"/>
    <w:tmpl w:val="87FEC0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3191A73"/>
    <w:multiLevelType w:val="hybridMultilevel"/>
    <w:tmpl w:val="B764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F70076"/>
    <w:multiLevelType w:val="hybridMultilevel"/>
    <w:tmpl w:val="D7A20B30"/>
    <w:lvl w:ilvl="0" w:tplc="A47E10E0">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C0F0D"/>
    <w:multiLevelType w:val="hybridMultilevel"/>
    <w:tmpl w:val="1934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FE689D"/>
    <w:multiLevelType w:val="hybridMultilevel"/>
    <w:tmpl w:val="5DBA11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6"/>
  </w:num>
  <w:num w:numId="4">
    <w:abstractNumId w:val="5"/>
  </w:num>
  <w:num w:numId="5">
    <w:abstractNumId w:val="4"/>
  </w:num>
  <w:num w:numId="6">
    <w:abstractNumId w:val="1"/>
  </w:num>
  <w:num w:numId="7">
    <w:abstractNumId w:val="9"/>
  </w:num>
  <w:num w:numId="8">
    <w:abstractNumId w:val="16"/>
  </w:num>
  <w:num w:numId="9">
    <w:abstractNumId w:val="2"/>
  </w:num>
  <w:num w:numId="10">
    <w:abstractNumId w:val="3"/>
  </w:num>
  <w:num w:numId="11">
    <w:abstractNumId w:val="12"/>
  </w:num>
  <w:num w:numId="12">
    <w:abstractNumId w:val="11"/>
  </w:num>
  <w:num w:numId="13">
    <w:abstractNumId w:val="14"/>
  </w:num>
  <w:num w:numId="14">
    <w:abstractNumId w:val="0"/>
  </w:num>
  <w:num w:numId="15">
    <w:abstractNumId w:val="1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5B99"/>
    <w:rsid w:val="0000792B"/>
    <w:rsid w:val="000150DB"/>
    <w:rsid w:val="00034292"/>
    <w:rsid w:val="000422DD"/>
    <w:rsid w:val="00046091"/>
    <w:rsid w:val="000528D9"/>
    <w:rsid w:val="0006273B"/>
    <w:rsid w:val="00062C93"/>
    <w:rsid w:val="00063B3D"/>
    <w:rsid w:val="00074FA5"/>
    <w:rsid w:val="00083436"/>
    <w:rsid w:val="00090B2F"/>
    <w:rsid w:val="000A1BF2"/>
    <w:rsid w:val="000A2A82"/>
    <w:rsid w:val="000B53F8"/>
    <w:rsid w:val="000B6E9B"/>
    <w:rsid w:val="000C2CF0"/>
    <w:rsid w:val="000D128C"/>
    <w:rsid w:val="000E53BA"/>
    <w:rsid w:val="000F4EA8"/>
    <w:rsid w:val="00103012"/>
    <w:rsid w:val="00104428"/>
    <w:rsid w:val="00106581"/>
    <w:rsid w:val="00107606"/>
    <w:rsid w:val="00113FA7"/>
    <w:rsid w:val="001258C5"/>
    <w:rsid w:val="0013131F"/>
    <w:rsid w:val="00135D53"/>
    <w:rsid w:val="00142702"/>
    <w:rsid w:val="00167B63"/>
    <w:rsid w:val="00187AE1"/>
    <w:rsid w:val="00191BA8"/>
    <w:rsid w:val="001966C4"/>
    <w:rsid w:val="001A4E02"/>
    <w:rsid w:val="001B3BDE"/>
    <w:rsid w:val="001C0315"/>
    <w:rsid w:val="001C5BA8"/>
    <w:rsid w:val="001D4F7A"/>
    <w:rsid w:val="001E390F"/>
    <w:rsid w:val="001E733E"/>
    <w:rsid w:val="00201DEE"/>
    <w:rsid w:val="002028AF"/>
    <w:rsid w:val="002054BE"/>
    <w:rsid w:val="00212077"/>
    <w:rsid w:val="00215A7E"/>
    <w:rsid w:val="00216ED4"/>
    <w:rsid w:val="00222915"/>
    <w:rsid w:val="002369B7"/>
    <w:rsid w:val="00250879"/>
    <w:rsid w:val="002546A1"/>
    <w:rsid w:val="00254ED1"/>
    <w:rsid w:val="00257EF2"/>
    <w:rsid w:val="00260168"/>
    <w:rsid w:val="00261582"/>
    <w:rsid w:val="002722A8"/>
    <w:rsid w:val="00287537"/>
    <w:rsid w:val="0029334A"/>
    <w:rsid w:val="002A01CF"/>
    <w:rsid w:val="002B6267"/>
    <w:rsid w:val="002C0855"/>
    <w:rsid w:val="002C194B"/>
    <w:rsid w:val="002C657D"/>
    <w:rsid w:val="002E145A"/>
    <w:rsid w:val="002E6D68"/>
    <w:rsid w:val="00313A4F"/>
    <w:rsid w:val="003142DC"/>
    <w:rsid w:val="00333DF2"/>
    <w:rsid w:val="003361E8"/>
    <w:rsid w:val="00341766"/>
    <w:rsid w:val="00350158"/>
    <w:rsid w:val="00360A23"/>
    <w:rsid w:val="003614D5"/>
    <w:rsid w:val="003617BA"/>
    <w:rsid w:val="00366992"/>
    <w:rsid w:val="00373FEF"/>
    <w:rsid w:val="00374D3A"/>
    <w:rsid w:val="003866E4"/>
    <w:rsid w:val="00386FA1"/>
    <w:rsid w:val="003945D0"/>
    <w:rsid w:val="003A04C3"/>
    <w:rsid w:val="003A678E"/>
    <w:rsid w:val="003B084B"/>
    <w:rsid w:val="003B7144"/>
    <w:rsid w:val="003C181D"/>
    <w:rsid w:val="003C5FDB"/>
    <w:rsid w:val="003C647A"/>
    <w:rsid w:val="003C69FF"/>
    <w:rsid w:val="003E2B1F"/>
    <w:rsid w:val="003F0C1C"/>
    <w:rsid w:val="003F4883"/>
    <w:rsid w:val="003F60FA"/>
    <w:rsid w:val="003F7B07"/>
    <w:rsid w:val="00410D27"/>
    <w:rsid w:val="00412EF5"/>
    <w:rsid w:val="00416658"/>
    <w:rsid w:val="00427FD9"/>
    <w:rsid w:val="004319EE"/>
    <w:rsid w:val="004412A4"/>
    <w:rsid w:val="00443CE7"/>
    <w:rsid w:val="0045013F"/>
    <w:rsid w:val="00465FDB"/>
    <w:rsid w:val="004707B8"/>
    <w:rsid w:val="00471A14"/>
    <w:rsid w:val="00477DEA"/>
    <w:rsid w:val="00492ACC"/>
    <w:rsid w:val="00495C1F"/>
    <w:rsid w:val="004A5EA9"/>
    <w:rsid w:val="004A75AF"/>
    <w:rsid w:val="004A7A29"/>
    <w:rsid w:val="004A7CE5"/>
    <w:rsid w:val="004B0AE1"/>
    <w:rsid w:val="004B0D01"/>
    <w:rsid w:val="004B3427"/>
    <w:rsid w:val="004B35C7"/>
    <w:rsid w:val="004B68C6"/>
    <w:rsid w:val="004C2434"/>
    <w:rsid w:val="004C2CC7"/>
    <w:rsid w:val="004D1691"/>
    <w:rsid w:val="004D260E"/>
    <w:rsid w:val="004D5E3C"/>
    <w:rsid w:val="004E5A2E"/>
    <w:rsid w:val="004F0649"/>
    <w:rsid w:val="004F3DA0"/>
    <w:rsid w:val="004F690F"/>
    <w:rsid w:val="004F739A"/>
    <w:rsid w:val="005023B2"/>
    <w:rsid w:val="0050244E"/>
    <w:rsid w:val="0050762E"/>
    <w:rsid w:val="00510BA5"/>
    <w:rsid w:val="00512871"/>
    <w:rsid w:val="00512D69"/>
    <w:rsid w:val="0053012E"/>
    <w:rsid w:val="00534B7C"/>
    <w:rsid w:val="0053656A"/>
    <w:rsid w:val="00544226"/>
    <w:rsid w:val="0054728A"/>
    <w:rsid w:val="00552A8C"/>
    <w:rsid w:val="00557CFF"/>
    <w:rsid w:val="005658EB"/>
    <w:rsid w:val="00573864"/>
    <w:rsid w:val="0057696A"/>
    <w:rsid w:val="00594478"/>
    <w:rsid w:val="00595E61"/>
    <w:rsid w:val="005A2B94"/>
    <w:rsid w:val="005A55BA"/>
    <w:rsid w:val="005A776B"/>
    <w:rsid w:val="005D1788"/>
    <w:rsid w:val="005D2846"/>
    <w:rsid w:val="005D7447"/>
    <w:rsid w:val="005D7D50"/>
    <w:rsid w:val="005E5723"/>
    <w:rsid w:val="005E65DF"/>
    <w:rsid w:val="005F52A9"/>
    <w:rsid w:val="00613702"/>
    <w:rsid w:val="00617A5D"/>
    <w:rsid w:val="006217BC"/>
    <w:rsid w:val="00625CA8"/>
    <w:rsid w:val="00625DBF"/>
    <w:rsid w:val="00633F7A"/>
    <w:rsid w:val="00647CCC"/>
    <w:rsid w:val="006601A7"/>
    <w:rsid w:val="00667229"/>
    <w:rsid w:val="0067622D"/>
    <w:rsid w:val="00676A5C"/>
    <w:rsid w:val="00681961"/>
    <w:rsid w:val="00692B60"/>
    <w:rsid w:val="00693092"/>
    <w:rsid w:val="00693787"/>
    <w:rsid w:val="006A74FE"/>
    <w:rsid w:val="006B013E"/>
    <w:rsid w:val="006B1CE6"/>
    <w:rsid w:val="006B78B8"/>
    <w:rsid w:val="006C2BFA"/>
    <w:rsid w:val="006D14EA"/>
    <w:rsid w:val="006E1E39"/>
    <w:rsid w:val="006E35C8"/>
    <w:rsid w:val="006F1224"/>
    <w:rsid w:val="006F1396"/>
    <w:rsid w:val="006F4F42"/>
    <w:rsid w:val="006F64A0"/>
    <w:rsid w:val="0070054B"/>
    <w:rsid w:val="00710C74"/>
    <w:rsid w:val="00710E68"/>
    <w:rsid w:val="00711FCE"/>
    <w:rsid w:val="007152A2"/>
    <w:rsid w:val="0073498B"/>
    <w:rsid w:val="0074247B"/>
    <w:rsid w:val="007453E1"/>
    <w:rsid w:val="00750C94"/>
    <w:rsid w:val="00761A75"/>
    <w:rsid w:val="00762D4F"/>
    <w:rsid w:val="00776AE2"/>
    <w:rsid w:val="007A086B"/>
    <w:rsid w:val="007C4EAC"/>
    <w:rsid w:val="007D43ED"/>
    <w:rsid w:val="007D7DF4"/>
    <w:rsid w:val="007E0D23"/>
    <w:rsid w:val="007E3039"/>
    <w:rsid w:val="007E620A"/>
    <w:rsid w:val="007F0339"/>
    <w:rsid w:val="007F0DCF"/>
    <w:rsid w:val="007F4AA7"/>
    <w:rsid w:val="007F74F1"/>
    <w:rsid w:val="00802D80"/>
    <w:rsid w:val="0081262B"/>
    <w:rsid w:val="0081617C"/>
    <w:rsid w:val="00825593"/>
    <w:rsid w:val="00832119"/>
    <w:rsid w:val="00835270"/>
    <w:rsid w:val="008500EA"/>
    <w:rsid w:val="0085024A"/>
    <w:rsid w:val="008650B8"/>
    <w:rsid w:val="00866186"/>
    <w:rsid w:val="008773A8"/>
    <w:rsid w:val="008849D4"/>
    <w:rsid w:val="00886285"/>
    <w:rsid w:val="008929AD"/>
    <w:rsid w:val="008A28C8"/>
    <w:rsid w:val="008A5522"/>
    <w:rsid w:val="008A57EC"/>
    <w:rsid w:val="008B73E2"/>
    <w:rsid w:val="008C59EE"/>
    <w:rsid w:val="008C6088"/>
    <w:rsid w:val="008E1825"/>
    <w:rsid w:val="008E2749"/>
    <w:rsid w:val="008F659C"/>
    <w:rsid w:val="00906610"/>
    <w:rsid w:val="00922051"/>
    <w:rsid w:val="00927EC7"/>
    <w:rsid w:val="00953CD5"/>
    <w:rsid w:val="009551DC"/>
    <w:rsid w:val="009612CC"/>
    <w:rsid w:val="00971CD5"/>
    <w:rsid w:val="00972FC8"/>
    <w:rsid w:val="00974097"/>
    <w:rsid w:val="00980097"/>
    <w:rsid w:val="00981BF4"/>
    <w:rsid w:val="00985577"/>
    <w:rsid w:val="00991008"/>
    <w:rsid w:val="009A1080"/>
    <w:rsid w:val="009C194C"/>
    <w:rsid w:val="009D1DC8"/>
    <w:rsid w:val="00A0728B"/>
    <w:rsid w:val="00A077B8"/>
    <w:rsid w:val="00A1162A"/>
    <w:rsid w:val="00A142D4"/>
    <w:rsid w:val="00A15BB0"/>
    <w:rsid w:val="00A250AA"/>
    <w:rsid w:val="00A25CE1"/>
    <w:rsid w:val="00A410F1"/>
    <w:rsid w:val="00A51454"/>
    <w:rsid w:val="00A5168F"/>
    <w:rsid w:val="00A51B70"/>
    <w:rsid w:val="00A579BB"/>
    <w:rsid w:val="00A63D55"/>
    <w:rsid w:val="00A80D8A"/>
    <w:rsid w:val="00A92B6A"/>
    <w:rsid w:val="00A95D89"/>
    <w:rsid w:val="00AA03AF"/>
    <w:rsid w:val="00AA0B96"/>
    <w:rsid w:val="00AB2B5A"/>
    <w:rsid w:val="00AB5729"/>
    <w:rsid w:val="00AB5A42"/>
    <w:rsid w:val="00AB6F91"/>
    <w:rsid w:val="00AC0BAB"/>
    <w:rsid w:val="00AC1360"/>
    <w:rsid w:val="00AD53DA"/>
    <w:rsid w:val="00AD72CB"/>
    <w:rsid w:val="00AE24C4"/>
    <w:rsid w:val="00AE735A"/>
    <w:rsid w:val="00AE7AA5"/>
    <w:rsid w:val="00AF0D4F"/>
    <w:rsid w:val="00B04421"/>
    <w:rsid w:val="00B0607D"/>
    <w:rsid w:val="00B07EA0"/>
    <w:rsid w:val="00B15193"/>
    <w:rsid w:val="00B17C19"/>
    <w:rsid w:val="00B3007C"/>
    <w:rsid w:val="00B474AE"/>
    <w:rsid w:val="00B51BD9"/>
    <w:rsid w:val="00B53253"/>
    <w:rsid w:val="00B623DB"/>
    <w:rsid w:val="00B7476B"/>
    <w:rsid w:val="00B900C0"/>
    <w:rsid w:val="00B95532"/>
    <w:rsid w:val="00BA0137"/>
    <w:rsid w:val="00BA0FEF"/>
    <w:rsid w:val="00BA1B82"/>
    <w:rsid w:val="00BA568A"/>
    <w:rsid w:val="00BA7ECE"/>
    <w:rsid w:val="00BC47C4"/>
    <w:rsid w:val="00BC7EC0"/>
    <w:rsid w:val="00BD3F03"/>
    <w:rsid w:val="00BF06AA"/>
    <w:rsid w:val="00C10466"/>
    <w:rsid w:val="00C243FE"/>
    <w:rsid w:val="00C330C9"/>
    <w:rsid w:val="00C41217"/>
    <w:rsid w:val="00C47D02"/>
    <w:rsid w:val="00C53087"/>
    <w:rsid w:val="00C55E69"/>
    <w:rsid w:val="00C618DB"/>
    <w:rsid w:val="00C64367"/>
    <w:rsid w:val="00C70DC7"/>
    <w:rsid w:val="00C7166A"/>
    <w:rsid w:val="00C729D7"/>
    <w:rsid w:val="00C80AB7"/>
    <w:rsid w:val="00C84C51"/>
    <w:rsid w:val="00C85D22"/>
    <w:rsid w:val="00C85FE1"/>
    <w:rsid w:val="00C974F0"/>
    <w:rsid w:val="00CA4E83"/>
    <w:rsid w:val="00CA6219"/>
    <w:rsid w:val="00CC2F00"/>
    <w:rsid w:val="00CC49F7"/>
    <w:rsid w:val="00CD1376"/>
    <w:rsid w:val="00CE2EA7"/>
    <w:rsid w:val="00CF6EBD"/>
    <w:rsid w:val="00CF7A36"/>
    <w:rsid w:val="00D04A40"/>
    <w:rsid w:val="00D11007"/>
    <w:rsid w:val="00D176EA"/>
    <w:rsid w:val="00D2449B"/>
    <w:rsid w:val="00D33078"/>
    <w:rsid w:val="00D36B4B"/>
    <w:rsid w:val="00D662EB"/>
    <w:rsid w:val="00D76A9E"/>
    <w:rsid w:val="00D83541"/>
    <w:rsid w:val="00D9492C"/>
    <w:rsid w:val="00D95214"/>
    <w:rsid w:val="00DA1A1B"/>
    <w:rsid w:val="00DA21C0"/>
    <w:rsid w:val="00DB0CC2"/>
    <w:rsid w:val="00DB572A"/>
    <w:rsid w:val="00DC1569"/>
    <w:rsid w:val="00DD62F6"/>
    <w:rsid w:val="00DE0862"/>
    <w:rsid w:val="00DF2F39"/>
    <w:rsid w:val="00E04447"/>
    <w:rsid w:val="00E14023"/>
    <w:rsid w:val="00E16EA2"/>
    <w:rsid w:val="00E241B0"/>
    <w:rsid w:val="00E253F1"/>
    <w:rsid w:val="00E327CB"/>
    <w:rsid w:val="00E440FD"/>
    <w:rsid w:val="00E476C4"/>
    <w:rsid w:val="00E52DF6"/>
    <w:rsid w:val="00E542DD"/>
    <w:rsid w:val="00E61D1A"/>
    <w:rsid w:val="00E66534"/>
    <w:rsid w:val="00E86218"/>
    <w:rsid w:val="00EA09F9"/>
    <w:rsid w:val="00EA3D4F"/>
    <w:rsid w:val="00EA76B2"/>
    <w:rsid w:val="00EB3FEC"/>
    <w:rsid w:val="00EB4D2A"/>
    <w:rsid w:val="00EC23C7"/>
    <w:rsid w:val="00EE00A3"/>
    <w:rsid w:val="00EE035A"/>
    <w:rsid w:val="00EF1747"/>
    <w:rsid w:val="00EF23E4"/>
    <w:rsid w:val="00EF2B6E"/>
    <w:rsid w:val="00F20450"/>
    <w:rsid w:val="00F22639"/>
    <w:rsid w:val="00F24E15"/>
    <w:rsid w:val="00F43767"/>
    <w:rsid w:val="00F52C46"/>
    <w:rsid w:val="00F55665"/>
    <w:rsid w:val="00F566DB"/>
    <w:rsid w:val="00F705E8"/>
    <w:rsid w:val="00F758F3"/>
    <w:rsid w:val="00F81D00"/>
    <w:rsid w:val="00FA1145"/>
    <w:rsid w:val="00FA1678"/>
    <w:rsid w:val="00FA420B"/>
    <w:rsid w:val="00FB1D9F"/>
    <w:rsid w:val="00FB3734"/>
    <w:rsid w:val="00FB491A"/>
    <w:rsid w:val="00FB65A6"/>
    <w:rsid w:val="00FE1888"/>
    <w:rsid w:val="00FE1EE4"/>
    <w:rsid w:val="00FE682A"/>
    <w:rsid w:val="00FF1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11D034"/>
  <w15:docId w15:val="{FC4A968C-8BF5-452D-9B25-D7A50904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customStyle="1" w:styleId="Default">
    <w:name w:val="Default"/>
    <w:rsid w:val="00F22639"/>
    <w:pPr>
      <w:autoSpaceDE w:val="0"/>
      <w:autoSpaceDN w:val="0"/>
      <w:adjustRightInd w:val="0"/>
      <w:spacing w:after="0" w:line="240" w:lineRule="auto"/>
    </w:pPr>
    <w:rPr>
      <w:rFonts w:ascii="Arial" w:hAnsi="Arial" w:cs="Arial"/>
      <w:color w:val="000000"/>
      <w:sz w:val="24"/>
      <w:szCs w:val="24"/>
    </w:rPr>
  </w:style>
  <w:style w:type="character" w:styleId="Strong">
    <w:name w:val="Strong"/>
    <w:uiPriority w:val="22"/>
    <w:qFormat/>
    <w:rsid w:val="00C85D22"/>
    <w:rPr>
      <w:b/>
      <w:bCs/>
    </w:rPr>
  </w:style>
  <w:style w:type="character" w:styleId="Emphasis">
    <w:name w:val="Emphasis"/>
    <w:basedOn w:val="DefaultParagraphFont"/>
    <w:uiPriority w:val="20"/>
    <w:qFormat/>
    <w:rsid w:val="00201DEE"/>
    <w:rPr>
      <w:b/>
      <w:bCs/>
      <w:i w:val="0"/>
      <w:iCs w:val="0"/>
    </w:rPr>
  </w:style>
  <w:style w:type="character" w:customStyle="1" w:styleId="st1">
    <w:name w:val="st1"/>
    <w:basedOn w:val="DefaultParagraphFont"/>
    <w:rsid w:val="00201DEE"/>
  </w:style>
  <w:style w:type="paragraph" w:styleId="Footer">
    <w:name w:val="footer"/>
    <w:basedOn w:val="Normal"/>
    <w:link w:val="FooterChar"/>
    <w:uiPriority w:val="99"/>
    <w:unhideWhenUsed/>
    <w:rsid w:val="00187AE1"/>
    <w:pPr>
      <w:tabs>
        <w:tab w:val="center" w:pos="4513"/>
        <w:tab w:val="right" w:pos="9026"/>
      </w:tabs>
    </w:pPr>
  </w:style>
  <w:style w:type="character" w:customStyle="1" w:styleId="FooterChar">
    <w:name w:val="Footer Char"/>
    <w:basedOn w:val="DefaultParagraphFont"/>
    <w:link w:val="Footer"/>
    <w:uiPriority w:val="99"/>
    <w:rsid w:val="00187AE1"/>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1700">
      <w:bodyDiv w:val="1"/>
      <w:marLeft w:val="0"/>
      <w:marRight w:val="0"/>
      <w:marTop w:val="0"/>
      <w:marBottom w:val="0"/>
      <w:divBdr>
        <w:top w:val="none" w:sz="0" w:space="0" w:color="auto"/>
        <w:left w:val="none" w:sz="0" w:space="0" w:color="auto"/>
        <w:bottom w:val="none" w:sz="0" w:space="0" w:color="auto"/>
        <w:right w:val="none" w:sz="0" w:space="0" w:color="auto"/>
      </w:divBdr>
    </w:div>
    <w:div w:id="77215860">
      <w:bodyDiv w:val="1"/>
      <w:marLeft w:val="0"/>
      <w:marRight w:val="0"/>
      <w:marTop w:val="0"/>
      <w:marBottom w:val="0"/>
      <w:divBdr>
        <w:top w:val="none" w:sz="0" w:space="0" w:color="auto"/>
        <w:left w:val="none" w:sz="0" w:space="0" w:color="auto"/>
        <w:bottom w:val="none" w:sz="0" w:space="0" w:color="auto"/>
        <w:right w:val="none" w:sz="0" w:space="0" w:color="auto"/>
      </w:divBdr>
    </w:div>
    <w:div w:id="162205193">
      <w:bodyDiv w:val="1"/>
      <w:marLeft w:val="0"/>
      <w:marRight w:val="0"/>
      <w:marTop w:val="0"/>
      <w:marBottom w:val="0"/>
      <w:divBdr>
        <w:top w:val="none" w:sz="0" w:space="0" w:color="auto"/>
        <w:left w:val="none" w:sz="0" w:space="0" w:color="auto"/>
        <w:bottom w:val="none" w:sz="0" w:space="0" w:color="auto"/>
        <w:right w:val="none" w:sz="0" w:space="0" w:color="auto"/>
      </w:divBdr>
    </w:div>
    <w:div w:id="193736191">
      <w:bodyDiv w:val="1"/>
      <w:marLeft w:val="0"/>
      <w:marRight w:val="0"/>
      <w:marTop w:val="0"/>
      <w:marBottom w:val="0"/>
      <w:divBdr>
        <w:top w:val="none" w:sz="0" w:space="0" w:color="auto"/>
        <w:left w:val="none" w:sz="0" w:space="0" w:color="auto"/>
        <w:bottom w:val="none" w:sz="0" w:space="0" w:color="auto"/>
        <w:right w:val="none" w:sz="0" w:space="0" w:color="auto"/>
      </w:divBdr>
    </w:div>
    <w:div w:id="462619941">
      <w:bodyDiv w:val="1"/>
      <w:marLeft w:val="0"/>
      <w:marRight w:val="0"/>
      <w:marTop w:val="0"/>
      <w:marBottom w:val="0"/>
      <w:divBdr>
        <w:top w:val="none" w:sz="0" w:space="0" w:color="auto"/>
        <w:left w:val="none" w:sz="0" w:space="0" w:color="auto"/>
        <w:bottom w:val="none" w:sz="0" w:space="0" w:color="auto"/>
        <w:right w:val="none" w:sz="0" w:space="0" w:color="auto"/>
      </w:divBdr>
    </w:div>
    <w:div w:id="551886631">
      <w:bodyDiv w:val="1"/>
      <w:marLeft w:val="0"/>
      <w:marRight w:val="0"/>
      <w:marTop w:val="0"/>
      <w:marBottom w:val="0"/>
      <w:divBdr>
        <w:top w:val="none" w:sz="0" w:space="0" w:color="auto"/>
        <w:left w:val="none" w:sz="0" w:space="0" w:color="auto"/>
        <w:bottom w:val="none" w:sz="0" w:space="0" w:color="auto"/>
        <w:right w:val="none" w:sz="0" w:space="0" w:color="auto"/>
      </w:divBdr>
    </w:div>
    <w:div w:id="1694107758">
      <w:bodyDiv w:val="1"/>
      <w:marLeft w:val="0"/>
      <w:marRight w:val="0"/>
      <w:marTop w:val="0"/>
      <w:marBottom w:val="0"/>
      <w:divBdr>
        <w:top w:val="none" w:sz="0" w:space="0" w:color="auto"/>
        <w:left w:val="none" w:sz="0" w:space="0" w:color="auto"/>
        <w:bottom w:val="none" w:sz="0" w:space="0" w:color="auto"/>
        <w:right w:val="none" w:sz="0" w:space="0" w:color="auto"/>
      </w:divBdr>
    </w:div>
    <w:div w:id="213667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72C8A-199E-4777-BA0D-39E1A732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Kilmartin</dc:creator>
  <cp:lastModifiedBy>Tara Thompson</cp:lastModifiedBy>
  <cp:revision>2</cp:revision>
  <cp:lastPrinted>2020-01-09T12:06:00Z</cp:lastPrinted>
  <dcterms:created xsi:type="dcterms:W3CDTF">2021-05-21T16:04:00Z</dcterms:created>
  <dcterms:modified xsi:type="dcterms:W3CDTF">2021-05-21T16:04:00Z</dcterms:modified>
</cp:coreProperties>
</file>