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
        <w:gridCol w:w="2208"/>
        <w:gridCol w:w="425"/>
        <w:gridCol w:w="233"/>
        <w:gridCol w:w="2744"/>
        <w:gridCol w:w="3605"/>
        <w:gridCol w:w="27"/>
      </w:tblGrid>
      <w:tr w:rsidR="004A5EA9" w:rsidRPr="00D97BB9" w14:paraId="3D341485"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623FBC" w14:textId="77777777" w:rsidR="004A5EA9" w:rsidRPr="00D97BB9" w:rsidRDefault="00D2449B" w:rsidP="00D2449B">
            <w:pPr>
              <w:jc w:val="center"/>
              <w:rPr>
                <w:rFonts w:asciiTheme="minorHAnsi" w:hAnsiTheme="minorHAnsi" w:cstheme="minorHAnsi"/>
                <w:b/>
                <w:szCs w:val="22"/>
              </w:rPr>
            </w:pPr>
            <w:r w:rsidRPr="00D97BB9">
              <w:rPr>
                <w:rFonts w:asciiTheme="minorHAnsi" w:hAnsiTheme="minorHAnsi" w:cstheme="minorHAnsi"/>
                <w:b/>
                <w:szCs w:val="22"/>
              </w:rPr>
              <w:t>R</w:t>
            </w:r>
            <w:r w:rsidR="004A5EA9" w:rsidRPr="00D97BB9">
              <w:rPr>
                <w:rFonts w:asciiTheme="minorHAnsi" w:hAnsiTheme="minorHAnsi" w:cstheme="minorHAnsi"/>
                <w:b/>
                <w:szCs w:val="22"/>
              </w:rPr>
              <w:t>eport to be read in conjunction with the Decision Notice.</w:t>
            </w:r>
          </w:p>
        </w:tc>
      </w:tr>
      <w:tr w:rsidR="004A5EA9" w:rsidRPr="00D97BB9" w14:paraId="4019AECA" w14:textId="77777777" w:rsidTr="001D4F7A">
        <w:trPr>
          <w:gridAfter w:val="1"/>
          <w:wAfter w:w="27" w:type="dxa"/>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2040AA9" w14:textId="77777777" w:rsidR="004A5EA9" w:rsidRPr="00D97BB9" w:rsidRDefault="004A5EA9" w:rsidP="004A5EA9">
            <w:pPr>
              <w:jc w:val="center"/>
              <w:rPr>
                <w:rFonts w:asciiTheme="minorHAnsi" w:hAnsiTheme="minorHAnsi" w:cstheme="minorHAnsi"/>
                <w:b/>
                <w:szCs w:val="22"/>
              </w:rPr>
            </w:pPr>
          </w:p>
        </w:tc>
      </w:tr>
      <w:tr w:rsidR="004A5EA9" w:rsidRPr="00D97BB9" w14:paraId="473B5BFB" w14:textId="77777777" w:rsidTr="001D4F7A">
        <w:trPr>
          <w:gridAfter w:val="1"/>
          <w:wAfter w:w="27"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535A78" w14:textId="77777777" w:rsidR="004A5EA9" w:rsidRPr="00D97BB9" w:rsidRDefault="004A5EA9">
            <w:pPr>
              <w:rPr>
                <w:rFonts w:asciiTheme="minorHAnsi" w:hAnsiTheme="minorHAnsi" w:cstheme="minorHAnsi"/>
                <w:b/>
                <w:szCs w:val="22"/>
              </w:rPr>
            </w:pPr>
            <w:r w:rsidRPr="00D97BB9">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27453" w14:textId="78C19059" w:rsidR="004A5EA9" w:rsidRPr="00D97BB9" w:rsidRDefault="004A5EA9" w:rsidP="00250879">
            <w:pPr>
              <w:rPr>
                <w:rFonts w:asciiTheme="minorHAnsi" w:hAnsiTheme="minorHAnsi" w:cstheme="minorHAnsi"/>
                <w:szCs w:val="22"/>
              </w:rPr>
            </w:pPr>
            <w:r w:rsidRPr="00D97BB9">
              <w:rPr>
                <w:rFonts w:asciiTheme="minorHAnsi" w:hAnsiTheme="minorHAnsi" w:cstheme="minorHAnsi"/>
                <w:szCs w:val="22"/>
              </w:rPr>
              <w:t>3/</w:t>
            </w:r>
            <w:r w:rsidR="003D590B" w:rsidRPr="00D97BB9">
              <w:rPr>
                <w:rFonts w:asciiTheme="minorHAnsi" w:hAnsiTheme="minorHAnsi" w:cstheme="minorHAnsi"/>
                <w:szCs w:val="22"/>
              </w:rPr>
              <w:t>202</w:t>
            </w:r>
            <w:r w:rsidR="00C73C63">
              <w:rPr>
                <w:rFonts w:asciiTheme="minorHAnsi" w:hAnsiTheme="minorHAnsi" w:cstheme="minorHAnsi"/>
                <w:szCs w:val="22"/>
              </w:rPr>
              <w:t>1/0378</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F57FF9" w14:textId="77777777" w:rsidR="004A5EA9" w:rsidRPr="00D97BB9" w:rsidRDefault="004A5EA9">
            <w:pPr>
              <w:rPr>
                <w:rFonts w:asciiTheme="minorHAnsi" w:hAnsiTheme="minorHAnsi" w:cstheme="minorHAnsi"/>
                <w:szCs w:val="22"/>
              </w:rPr>
            </w:pPr>
            <w:r w:rsidRPr="00D97BB9">
              <w:rPr>
                <w:rFonts w:asciiTheme="minorHAnsi" w:hAnsiTheme="minorHAnsi" w:cstheme="minorHAnsi"/>
                <w:noProof/>
                <w:szCs w:val="22"/>
                <w:lang w:eastAsia="en-GB"/>
              </w:rPr>
              <w:drawing>
                <wp:anchor distT="0" distB="0" distL="114300" distR="114300" simplePos="0" relativeHeight="251658240" behindDoc="0" locked="0" layoutInCell="1" allowOverlap="1" wp14:anchorId="1AAF79E9" wp14:editId="58E4AC7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97BB9" w14:paraId="267CE212" w14:textId="77777777" w:rsidTr="001D4F7A">
        <w:trPr>
          <w:gridAfter w:val="1"/>
          <w:wAfter w:w="27"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4494EF" w14:textId="77777777" w:rsidR="004A5EA9" w:rsidRPr="00D97BB9" w:rsidRDefault="004A5EA9">
            <w:pPr>
              <w:rPr>
                <w:rFonts w:asciiTheme="minorHAnsi" w:hAnsiTheme="minorHAnsi" w:cstheme="minorHAnsi"/>
                <w:b/>
                <w:szCs w:val="22"/>
              </w:rPr>
            </w:pPr>
            <w:r w:rsidRPr="00D97BB9">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26C1E" w14:textId="178E19B4" w:rsidR="004A5EA9" w:rsidRPr="00D97BB9" w:rsidRDefault="00C73C63" w:rsidP="00222179">
            <w:pPr>
              <w:rPr>
                <w:rFonts w:asciiTheme="minorHAnsi" w:hAnsiTheme="minorHAnsi" w:cstheme="minorHAnsi"/>
                <w:szCs w:val="22"/>
              </w:rPr>
            </w:pPr>
            <w:r>
              <w:rPr>
                <w:rFonts w:asciiTheme="minorHAnsi" w:hAnsiTheme="minorHAnsi" w:cstheme="minorHAnsi"/>
                <w:szCs w:val="22"/>
              </w:rPr>
              <w:t>12/05/2021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CA85D3" w14:textId="77777777" w:rsidR="004A5EA9" w:rsidRPr="00D97BB9" w:rsidRDefault="004A5EA9">
            <w:pPr>
              <w:rPr>
                <w:rFonts w:asciiTheme="minorHAnsi" w:hAnsiTheme="minorHAnsi" w:cstheme="minorHAnsi"/>
                <w:szCs w:val="22"/>
              </w:rPr>
            </w:pPr>
          </w:p>
        </w:tc>
      </w:tr>
      <w:tr w:rsidR="004A5EA9" w:rsidRPr="00D97BB9" w14:paraId="7E1A7198" w14:textId="77777777" w:rsidTr="001D4F7A">
        <w:trPr>
          <w:gridAfter w:val="1"/>
          <w:wAfter w:w="27" w:type="dxa"/>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98E07" w14:textId="77777777" w:rsidR="004A5EA9" w:rsidRPr="00D97BB9" w:rsidRDefault="00D2449B">
            <w:pPr>
              <w:rPr>
                <w:rFonts w:asciiTheme="minorHAnsi" w:hAnsiTheme="minorHAnsi" w:cstheme="minorHAnsi"/>
                <w:b/>
                <w:szCs w:val="22"/>
              </w:rPr>
            </w:pPr>
            <w:r w:rsidRPr="00D97BB9">
              <w:rPr>
                <w:rFonts w:asciiTheme="minorHAnsi" w:hAnsiTheme="minorHAnsi" w:cstheme="minorHAnsi"/>
                <w:b/>
                <w:szCs w:val="22"/>
              </w:rPr>
              <w:t>Officer</w:t>
            </w:r>
            <w:r w:rsidR="004A5EA9" w:rsidRPr="00D97BB9">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CA72F1" w14:textId="77777777" w:rsidR="004A5EA9" w:rsidRPr="00D97BB9" w:rsidRDefault="005F2AAA">
            <w:pPr>
              <w:rPr>
                <w:rFonts w:asciiTheme="minorHAnsi" w:hAnsiTheme="minorHAnsi" w:cstheme="minorHAnsi"/>
                <w:szCs w:val="22"/>
              </w:rPr>
            </w:pPr>
            <w:r w:rsidRPr="00D97BB9">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A85D91" w14:textId="77777777" w:rsidR="004A5EA9" w:rsidRPr="00D97BB9" w:rsidRDefault="004A5EA9">
            <w:pPr>
              <w:rPr>
                <w:rFonts w:asciiTheme="minorHAnsi" w:hAnsiTheme="minorHAnsi" w:cstheme="minorHAnsi"/>
                <w:szCs w:val="22"/>
              </w:rPr>
            </w:pPr>
          </w:p>
        </w:tc>
      </w:tr>
      <w:tr w:rsidR="004A5EA9" w:rsidRPr="00D97BB9" w14:paraId="1D75E543" w14:textId="77777777" w:rsidTr="001D4F7A">
        <w:trPr>
          <w:gridAfter w:val="1"/>
          <w:wAfter w:w="27" w:type="dxa"/>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84BFF7" w14:textId="77777777" w:rsidR="004A5EA9" w:rsidRPr="00D97BB9" w:rsidRDefault="004A5EA9" w:rsidP="004A5EA9">
            <w:pPr>
              <w:rPr>
                <w:rFonts w:asciiTheme="minorHAnsi" w:hAnsiTheme="minorHAnsi" w:cstheme="minorHAnsi"/>
                <w:b/>
                <w:szCs w:val="22"/>
              </w:rPr>
            </w:pPr>
            <w:r w:rsidRPr="00D97BB9">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C5485D" w14:textId="091FC4A5" w:rsidR="004A5EA9" w:rsidRPr="00D97BB9" w:rsidRDefault="000636DD"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D97BB9" w14:paraId="5DD0238A" w14:textId="77777777" w:rsidTr="001D4F7A">
        <w:trPr>
          <w:gridAfter w:val="1"/>
          <w:wAfter w:w="27"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E90E23" w14:textId="77777777" w:rsidR="004A5EA9" w:rsidRPr="00D97BB9" w:rsidRDefault="007E0D23" w:rsidP="007E0D23">
            <w:pPr>
              <w:tabs>
                <w:tab w:val="left" w:pos="4007"/>
              </w:tabs>
              <w:rPr>
                <w:rFonts w:asciiTheme="minorHAnsi" w:hAnsiTheme="minorHAnsi" w:cstheme="minorHAnsi"/>
                <w:b/>
                <w:szCs w:val="22"/>
              </w:rPr>
            </w:pPr>
            <w:r w:rsidRPr="00D97BB9">
              <w:rPr>
                <w:rFonts w:asciiTheme="minorHAnsi" w:hAnsiTheme="minorHAnsi" w:cstheme="minorHAnsi"/>
                <w:b/>
                <w:szCs w:val="22"/>
              </w:rPr>
              <w:tab/>
            </w:r>
          </w:p>
        </w:tc>
      </w:tr>
      <w:tr w:rsidR="004A5EA9" w:rsidRPr="00D97BB9" w14:paraId="71D50690" w14:textId="77777777" w:rsidTr="001D4F7A">
        <w:trPr>
          <w:gridAfter w:val="1"/>
          <w:wAfter w:w="27" w:type="dxa"/>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F04246" w14:textId="77777777" w:rsidR="004A5EA9" w:rsidRPr="00D97BB9" w:rsidRDefault="00011FB3" w:rsidP="00A95D89">
            <w:pPr>
              <w:rPr>
                <w:rFonts w:asciiTheme="minorHAnsi" w:hAnsiTheme="minorHAnsi" w:cstheme="minorHAnsi"/>
                <w:b/>
                <w:szCs w:val="22"/>
              </w:rPr>
            </w:pPr>
            <w:r w:rsidRPr="00D97BB9">
              <w:rPr>
                <w:rFonts w:asciiTheme="minorHAnsi" w:hAnsiTheme="minorHAnsi" w:cstheme="minorHAnsi"/>
                <w:b/>
                <w:szCs w:val="22"/>
              </w:rPr>
              <w:t>Development</w:t>
            </w:r>
            <w:r w:rsidR="004A5EA9" w:rsidRPr="00D97BB9">
              <w:rPr>
                <w:rFonts w:asciiTheme="minorHAnsi" w:hAnsiTheme="minorHAnsi" w:cstheme="minorHAnsi"/>
                <w:b/>
                <w:szCs w:val="22"/>
              </w:rPr>
              <w:t xml:space="preserve"> </w:t>
            </w:r>
            <w:r w:rsidR="00A95D89" w:rsidRPr="00D97BB9">
              <w:rPr>
                <w:rFonts w:asciiTheme="minorHAnsi" w:hAnsiTheme="minorHAnsi" w:cstheme="minorHAnsi"/>
                <w:b/>
                <w:szCs w:val="22"/>
              </w:rPr>
              <w:t>Description</w:t>
            </w:r>
            <w:r w:rsidR="004A5EA9" w:rsidRPr="00D97BB9">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2B2270" w14:textId="0D208F02" w:rsidR="004A5EA9" w:rsidRPr="00D97BB9" w:rsidRDefault="00C73C63">
            <w:pPr>
              <w:rPr>
                <w:rFonts w:asciiTheme="minorHAnsi" w:hAnsiTheme="minorHAnsi" w:cstheme="minorHAnsi"/>
                <w:b/>
                <w:szCs w:val="22"/>
              </w:rPr>
            </w:pPr>
            <w:r w:rsidRPr="00C73C63">
              <w:rPr>
                <w:rFonts w:asciiTheme="minorHAnsi" w:hAnsiTheme="minorHAnsi" w:cstheme="minorHAnsi"/>
                <w:b/>
                <w:szCs w:val="22"/>
              </w:rPr>
              <w:t>Demolition of the existing stable structure and erection of a detached holiday cottage.</w:t>
            </w:r>
          </w:p>
        </w:tc>
      </w:tr>
      <w:tr w:rsidR="002A01CF" w:rsidRPr="00D97BB9" w14:paraId="25D69D69" w14:textId="77777777" w:rsidTr="001D4F7A">
        <w:trPr>
          <w:gridAfter w:val="1"/>
          <w:wAfter w:w="27" w:type="dxa"/>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9C763" w14:textId="77777777" w:rsidR="002A01CF" w:rsidRPr="00D97BB9" w:rsidRDefault="002A01CF">
            <w:pPr>
              <w:rPr>
                <w:rFonts w:asciiTheme="minorHAnsi" w:hAnsiTheme="minorHAnsi" w:cstheme="minorHAnsi"/>
                <w:b/>
                <w:szCs w:val="22"/>
              </w:rPr>
            </w:pPr>
            <w:r w:rsidRPr="00D97BB9">
              <w:rPr>
                <w:rFonts w:asciiTheme="minorHAnsi" w:hAnsiTheme="minorHAnsi" w:cstheme="minorHAnsi"/>
                <w:b/>
                <w:szCs w:val="22"/>
              </w:rPr>
              <w:t>Site Address</w:t>
            </w:r>
            <w:r w:rsidR="00A95D89" w:rsidRPr="00D97BB9">
              <w:rPr>
                <w:rFonts w:asciiTheme="minorHAnsi" w:hAnsiTheme="minorHAnsi" w:cstheme="minorHAnsi"/>
                <w:b/>
                <w:szCs w:val="22"/>
              </w:rPr>
              <w:t>/Location</w:t>
            </w:r>
            <w:r w:rsidRPr="00D97BB9">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12EB38" w14:textId="1676FDE2" w:rsidR="002A01CF" w:rsidRPr="00D97BB9" w:rsidRDefault="00C73C63">
            <w:pPr>
              <w:rPr>
                <w:rFonts w:asciiTheme="minorHAnsi" w:hAnsiTheme="minorHAnsi" w:cstheme="minorHAnsi"/>
                <w:b/>
                <w:szCs w:val="22"/>
              </w:rPr>
            </w:pPr>
            <w:r w:rsidRPr="00C73C63">
              <w:rPr>
                <w:rFonts w:asciiTheme="minorHAnsi" w:hAnsiTheme="minorHAnsi" w:cstheme="minorHAnsi"/>
                <w:b/>
                <w:szCs w:val="22"/>
              </w:rPr>
              <w:t>Jersey Farm Knowsley Road Wilpshire Lancashire BB1 9PX</w:t>
            </w:r>
          </w:p>
        </w:tc>
      </w:tr>
      <w:tr w:rsidR="00A95D89" w:rsidRPr="00D97BB9" w14:paraId="7945E772" w14:textId="77777777" w:rsidTr="001D4F7A">
        <w:trPr>
          <w:gridAfter w:val="1"/>
          <w:wAfter w:w="27"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561855C" w14:textId="77777777" w:rsidR="00A95D89" w:rsidRPr="00D97BB9" w:rsidRDefault="007E0D23" w:rsidP="007E0D23">
            <w:pPr>
              <w:tabs>
                <w:tab w:val="left" w:pos="2667"/>
              </w:tabs>
              <w:rPr>
                <w:rFonts w:asciiTheme="minorHAnsi" w:hAnsiTheme="minorHAnsi" w:cstheme="minorHAnsi"/>
                <w:b/>
                <w:szCs w:val="22"/>
              </w:rPr>
            </w:pPr>
            <w:r w:rsidRPr="00D97BB9">
              <w:rPr>
                <w:rFonts w:asciiTheme="minorHAnsi" w:hAnsiTheme="minorHAnsi" w:cstheme="minorHAnsi"/>
                <w:b/>
                <w:szCs w:val="22"/>
              </w:rPr>
              <w:tab/>
            </w:r>
          </w:p>
        </w:tc>
      </w:tr>
      <w:tr w:rsidR="00C618DB" w:rsidRPr="00D97BB9" w14:paraId="1EA1A61C" w14:textId="77777777" w:rsidTr="001D4F7A">
        <w:trPr>
          <w:gridAfter w:val="1"/>
          <w:wAfter w:w="27" w:type="dxa"/>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CCF621" w14:textId="77777777" w:rsidR="00C618DB" w:rsidRPr="00D97BB9" w:rsidRDefault="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B1141" w14:textId="77777777" w:rsidR="00C618DB" w:rsidRPr="00D97BB9" w:rsidRDefault="00C618DB">
            <w:pPr>
              <w:rPr>
                <w:rFonts w:asciiTheme="minorHAnsi" w:hAnsiTheme="minorHAnsi" w:cstheme="minorHAnsi"/>
                <w:b/>
                <w:szCs w:val="22"/>
              </w:rPr>
            </w:pPr>
            <w:r w:rsidRPr="00D97BB9">
              <w:rPr>
                <w:rFonts w:asciiTheme="minorHAnsi" w:hAnsiTheme="minorHAnsi" w:cstheme="minorHAnsi"/>
                <w:b/>
                <w:szCs w:val="22"/>
              </w:rPr>
              <w:t>Parish/Town Council</w:t>
            </w:r>
          </w:p>
        </w:tc>
      </w:tr>
      <w:tr w:rsidR="002A01CF" w:rsidRPr="00D97BB9" w14:paraId="3207EA3C"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EA60CA" w14:textId="346BAF67" w:rsidR="008F259A" w:rsidRDefault="00C73C63" w:rsidP="00C73C63">
            <w:pPr>
              <w:jc w:val="both"/>
              <w:rPr>
                <w:rFonts w:asciiTheme="minorHAnsi" w:hAnsiTheme="minorHAnsi"/>
                <w:color w:val="000000"/>
                <w:szCs w:val="22"/>
              </w:rPr>
            </w:pPr>
            <w:r>
              <w:rPr>
                <w:rFonts w:asciiTheme="minorHAnsi" w:hAnsiTheme="minorHAnsi"/>
                <w:color w:val="000000"/>
                <w:szCs w:val="22"/>
              </w:rPr>
              <w:t>Wilpshire Parish Council comments that the</w:t>
            </w:r>
            <w:r w:rsidRPr="00C73C63">
              <w:rPr>
                <w:rFonts w:asciiTheme="minorHAnsi" w:hAnsiTheme="minorHAnsi"/>
                <w:color w:val="000000"/>
                <w:szCs w:val="22"/>
              </w:rPr>
              <w:t xml:space="preserve"> development is in a prominent position and should permission be granted the Parish Council would ask the officer to secure a landscaping plan.  The Parish Council would also ask that a condition is added in regard to a guest register being kept and also the length of stay allowed at the holiday cottage.</w:t>
            </w:r>
          </w:p>
          <w:p w14:paraId="7E8B0B2F" w14:textId="77777777" w:rsidR="00C73C63" w:rsidRDefault="00C73C63" w:rsidP="00C73C63">
            <w:pPr>
              <w:jc w:val="both"/>
              <w:rPr>
                <w:rFonts w:asciiTheme="minorHAnsi" w:hAnsiTheme="minorHAnsi" w:cstheme="minorHAnsi"/>
                <w:szCs w:val="22"/>
              </w:rPr>
            </w:pPr>
          </w:p>
          <w:p w14:paraId="41AAC077" w14:textId="5F92F325" w:rsidR="00C73C63" w:rsidRDefault="00C73C63" w:rsidP="00C73C63">
            <w:pPr>
              <w:jc w:val="both"/>
              <w:rPr>
                <w:rFonts w:asciiTheme="minorHAnsi" w:hAnsiTheme="minorHAnsi" w:cstheme="minorHAnsi"/>
                <w:szCs w:val="22"/>
              </w:rPr>
            </w:pPr>
            <w:r w:rsidRPr="00C73C63">
              <w:rPr>
                <w:rFonts w:asciiTheme="minorHAnsi" w:hAnsiTheme="minorHAnsi" w:cstheme="minorHAnsi"/>
                <w:szCs w:val="22"/>
              </w:rPr>
              <w:t>Clayton le Dale Parish Council objects to th</w:t>
            </w:r>
            <w:r w:rsidR="00532DE3">
              <w:rPr>
                <w:rFonts w:asciiTheme="minorHAnsi" w:hAnsiTheme="minorHAnsi" w:cstheme="minorHAnsi"/>
                <w:szCs w:val="22"/>
              </w:rPr>
              <w:t>e</w:t>
            </w:r>
            <w:r w:rsidRPr="00C73C63">
              <w:rPr>
                <w:rFonts w:asciiTheme="minorHAnsi" w:hAnsiTheme="minorHAnsi" w:cstheme="minorHAnsi"/>
                <w:szCs w:val="22"/>
              </w:rPr>
              <w:t xml:space="preserve"> application on the basis that the application is incorrectly stated as being in Wilpshire when it is in Clayton le Dale</w:t>
            </w:r>
            <w:r w:rsidR="00532DE3">
              <w:rPr>
                <w:rFonts w:asciiTheme="minorHAnsi" w:hAnsiTheme="minorHAnsi" w:cstheme="minorHAnsi"/>
                <w:szCs w:val="22"/>
              </w:rPr>
              <w:t>,</w:t>
            </w:r>
            <w:r w:rsidRPr="00C73C63">
              <w:rPr>
                <w:rFonts w:asciiTheme="minorHAnsi" w:hAnsiTheme="minorHAnsi" w:cstheme="minorHAnsi"/>
                <w:szCs w:val="22"/>
              </w:rPr>
              <w:t xml:space="preserve"> in addition to which it is inaccurately described as greenfield agricultural land when it is clearly green</w:t>
            </w:r>
            <w:r w:rsidR="00532DE3">
              <w:rPr>
                <w:rFonts w:asciiTheme="minorHAnsi" w:hAnsiTheme="minorHAnsi" w:cstheme="minorHAnsi"/>
                <w:szCs w:val="22"/>
              </w:rPr>
              <w:t xml:space="preserve"> </w:t>
            </w:r>
            <w:r w:rsidRPr="00C73C63">
              <w:rPr>
                <w:rFonts w:asciiTheme="minorHAnsi" w:hAnsiTheme="minorHAnsi" w:cstheme="minorHAnsi"/>
                <w:szCs w:val="22"/>
              </w:rPr>
              <w:t>belt. There are concerns that if this application is granted further development of this greenbelt site may follow.</w:t>
            </w:r>
          </w:p>
          <w:p w14:paraId="3A6E3C31" w14:textId="254E233E" w:rsidR="00532DE3" w:rsidRPr="00C73C63" w:rsidRDefault="00532DE3" w:rsidP="00C73C63">
            <w:pPr>
              <w:jc w:val="both"/>
              <w:rPr>
                <w:rFonts w:asciiTheme="minorHAnsi" w:hAnsiTheme="minorHAnsi" w:cstheme="minorHAnsi"/>
                <w:szCs w:val="22"/>
              </w:rPr>
            </w:pPr>
          </w:p>
        </w:tc>
      </w:tr>
      <w:tr w:rsidR="00C618DB" w:rsidRPr="00D97BB9" w14:paraId="647BA4F5" w14:textId="77777777" w:rsidTr="001D4F7A">
        <w:trPr>
          <w:gridAfter w:val="1"/>
          <w:wAfter w:w="27"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B1CFBE" w14:textId="77777777" w:rsidR="00C618DB" w:rsidRPr="00D97BB9" w:rsidRDefault="00C618DB">
            <w:pPr>
              <w:rPr>
                <w:rFonts w:asciiTheme="minorHAnsi" w:hAnsiTheme="minorHAnsi" w:cstheme="minorHAnsi"/>
                <w:bCs/>
                <w:szCs w:val="22"/>
              </w:rPr>
            </w:pPr>
          </w:p>
        </w:tc>
      </w:tr>
      <w:tr w:rsidR="00C618DB" w:rsidRPr="00D97BB9" w14:paraId="339558FF" w14:textId="77777777" w:rsidTr="001D4F7A">
        <w:trPr>
          <w:gridAfter w:val="1"/>
          <w:wAfter w:w="27" w:type="dxa"/>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742B6F"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B338C2"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Highways/Water Authority/Other Bodies</w:t>
            </w:r>
          </w:p>
        </w:tc>
      </w:tr>
      <w:tr w:rsidR="002A01CF" w:rsidRPr="00D97BB9" w14:paraId="1E805126" w14:textId="77777777" w:rsidTr="001D4F7A">
        <w:trPr>
          <w:gridAfter w:val="1"/>
          <w:wAfter w:w="27" w:type="dxa"/>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840568" w14:textId="77777777" w:rsidR="002A01CF" w:rsidRPr="00D97BB9" w:rsidRDefault="002A01CF">
            <w:pPr>
              <w:rPr>
                <w:rFonts w:asciiTheme="minorHAnsi" w:hAnsiTheme="minorHAnsi" w:cstheme="minorHAnsi"/>
                <w:b/>
                <w:szCs w:val="22"/>
              </w:rPr>
            </w:pPr>
            <w:r w:rsidRPr="00D97BB9">
              <w:rPr>
                <w:rFonts w:asciiTheme="minorHAnsi" w:hAnsiTheme="minorHAnsi" w:cstheme="minorHAnsi"/>
                <w:b/>
                <w:szCs w:val="22"/>
              </w:rPr>
              <w:t>LCC Highways: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D0274B" w14:textId="77777777" w:rsidR="002A01CF" w:rsidRPr="00D97BB9" w:rsidRDefault="002A01CF">
            <w:pPr>
              <w:rPr>
                <w:rFonts w:asciiTheme="minorHAnsi" w:hAnsiTheme="minorHAnsi" w:cstheme="minorHAnsi"/>
                <w:b/>
                <w:szCs w:val="22"/>
              </w:rPr>
            </w:pPr>
          </w:p>
        </w:tc>
      </w:tr>
      <w:tr w:rsidR="001076FF" w:rsidRPr="00D97BB9" w14:paraId="4B05D22C" w14:textId="77777777" w:rsidTr="00C451B5">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B5DDAC" w14:textId="77777777" w:rsidR="000B518C" w:rsidRPr="00D97BB9" w:rsidRDefault="005A7A56" w:rsidP="005A7A56">
            <w:pPr>
              <w:pStyle w:val="Default"/>
              <w:jc w:val="both"/>
              <w:rPr>
                <w:rFonts w:asciiTheme="minorHAnsi" w:hAnsiTheme="minorHAnsi" w:cstheme="minorHAnsi"/>
                <w:b/>
                <w:szCs w:val="22"/>
              </w:rPr>
            </w:pPr>
            <w:r w:rsidRPr="00D97BB9">
              <w:rPr>
                <w:rFonts w:asciiTheme="minorHAnsi" w:hAnsiTheme="minorHAnsi" w:cstheme="minorHAnsi"/>
                <w:sz w:val="22"/>
                <w:szCs w:val="22"/>
              </w:rPr>
              <w:t>No objection.</w:t>
            </w:r>
          </w:p>
        </w:tc>
      </w:tr>
      <w:tr w:rsidR="00C618DB" w:rsidRPr="00D97BB9" w14:paraId="23DFD392" w14:textId="77777777" w:rsidTr="001D4F7A">
        <w:trPr>
          <w:gridAfter w:val="1"/>
          <w:wAfter w:w="27" w:type="dxa"/>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5CAEC9"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A35D4"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Additional Representations.</w:t>
            </w:r>
          </w:p>
        </w:tc>
      </w:tr>
      <w:tr w:rsidR="00EC23C7" w:rsidRPr="00D97BB9" w14:paraId="681432FA"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34586" w14:textId="39A5E73C" w:rsidR="001F375B" w:rsidRDefault="005D54B2" w:rsidP="00C73C63">
            <w:pPr>
              <w:rPr>
                <w:rFonts w:asciiTheme="minorHAnsi" w:hAnsiTheme="minorHAnsi" w:cstheme="minorHAnsi"/>
                <w:szCs w:val="22"/>
              </w:rPr>
            </w:pPr>
            <w:r>
              <w:rPr>
                <w:rFonts w:asciiTheme="minorHAnsi" w:hAnsiTheme="minorHAnsi" w:cstheme="minorHAnsi"/>
                <w:szCs w:val="22"/>
              </w:rPr>
              <w:t>One</w:t>
            </w:r>
            <w:r w:rsidR="00C73C63">
              <w:rPr>
                <w:rFonts w:asciiTheme="minorHAnsi" w:hAnsiTheme="minorHAnsi" w:cstheme="minorHAnsi"/>
                <w:szCs w:val="22"/>
              </w:rPr>
              <w:t xml:space="preserve"> letter of objection ha</w:t>
            </w:r>
            <w:r w:rsidR="001F5E74">
              <w:rPr>
                <w:rFonts w:asciiTheme="minorHAnsi" w:hAnsiTheme="minorHAnsi" w:cstheme="minorHAnsi"/>
                <w:szCs w:val="22"/>
              </w:rPr>
              <w:t>s</w:t>
            </w:r>
            <w:r w:rsidR="00C73C63">
              <w:rPr>
                <w:rFonts w:asciiTheme="minorHAnsi" w:hAnsiTheme="minorHAnsi" w:cstheme="minorHAnsi"/>
                <w:szCs w:val="22"/>
              </w:rPr>
              <w:t xml:space="preserve"> been received and raise</w:t>
            </w:r>
            <w:r w:rsidR="009847AF">
              <w:rPr>
                <w:rFonts w:asciiTheme="minorHAnsi" w:hAnsiTheme="minorHAnsi" w:cstheme="minorHAnsi"/>
                <w:szCs w:val="22"/>
              </w:rPr>
              <w:t>s</w:t>
            </w:r>
            <w:r w:rsidR="00C73C63">
              <w:rPr>
                <w:rFonts w:asciiTheme="minorHAnsi" w:hAnsiTheme="minorHAnsi" w:cstheme="minorHAnsi"/>
                <w:szCs w:val="22"/>
              </w:rPr>
              <w:t xml:space="preserve"> the following concerns:</w:t>
            </w:r>
          </w:p>
          <w:p w14:paraId="48FE3663" w14:textId="77777777" w:rsidR="00C73C63" w:rsidRDefault="00C73C63" w:rsidP="00C73C63">
            <w:pPr>
              <w:rPr>
                <w:rFonts w:asciiTheme="minorHAnsi" w:hAnsiTheme="minorHAnsi" w:cstheme="minorHAnsi"/>
                <w:szCs w:val="22"/>
              </w:rPr>
            </w:pPr>
          </w:p>
          <w:p w14:paraId="4D1CB54F" w14:textId="77777777" w:rsidR="00C73C63" w:rsidRPr="00532DE3" w:rsidRDefault="00C73C63" w:rsidP="00532DE3">
            <w:pPr>
              <w:pStyle w:val="ListParagraph"/>
              <w:numPr>
                <w:ilvl w:val="0"/>
                <w:numId w:val="10"/>
              </w:numPr>
              <w:rPr>
                <w:rFonts w:asciiTheme="minorHAnsi" w:hAnsiTheme="minorHAnsi" w:cstheme="minorHAnsi"/>
                <w:szCs w:val="22"/>
              </w:rPr>
            </w:pPr>
            <w:r w:rsidRPr="00532DE3">
              <w:rPr>
                <w:rFonts w:asciiTheme="minorHAnsi" w:hAnsiTheme="minorHAnsi" w:cstheme="minorHAnsi"/>
                <w:szCs w:val="22"/>
              </w:rPr>
              <w:t>Land ownership details incorrect;</w:t>
            </w:r>
          </w:p>
          <w:p w14:paraId="0AE7B48B" w14:textId="25D2FE2D" w:rsidR="00C73C63" w:rsidRPr="00532DE3" w:rsidRDefault="00C73C63" w:rsidP="00532DE3">
            <w:pPr>
              <w:pStyle w:val="ListParagraph"/>
              <w:numPr>
                <w:ilvl w:val="0"/>
                <w:numId w:val="10"/>
              </w:numPr>
              <w:rPr>
                <w:rFonts w:asciiTheme="minorHAnsi" w:hAnsiTheme="minorHAnsi" w:cstheme="minorHAnsi"/>
                <w:szCs w:val="22"/>
              </w:rPr>
            </w:pPr>
            <w:r w:rsidRPr="00532DE3">
              <w:rPr>
                <w:rFonts w:asciiTheme="minorHAnsi" w:hAnsiTheme="minorHAnsi" w:cstheme="minorHAnsi"/>
                <w:szCs w:val="22"/>
              </w:rPr>
              <w:t>There has never been a track in location shown;</w:t>
            </w:r>
          </w:p>
          <w:p w14:paraId="0AE54BCF" w14:textId="77777777" w:rsidR="00C73C63" w:rsidRPr="00532DE3" w:rsidRDefault="00C73C63" w:rsidP="00532DE3">
            <w:pPr>
              <w:pStyle w:val="ListParagraph"/>
              <w:numPr>
                <w:ilvl w:val="0"/>
                <w:numId w:val="10"/>
              </w:numPr>
              <w:rPr>
                <w:rFonts w:asciiTheme="minorHAnsi" w:hAnsiTheme="minorHAnsi" w:cstheme="minorHAnsi"/>
                <w:szCs w:val="22"/>
              </w:rPr>
            </w:pPr>
            <w:r w:rsidRPr="00532DE3">
              <w:rPr>
                <w:rFonts w:asciiTheme="minorHAnsi" w:hAnsiTheme="minorHAnsi" w:cstheme="minorHAnsi"/>
                <w:szCs w:val="22"/>
              </w:rPr>
              <w:t>Raising the roof height is not appropriate so close to a public footpath;</w:t>
            </w:r>
          </w:p>
          <w:p w14:paraId="208B70A8" w14:textId="77777777" w:rsidR="00C73C63" w:rsidRDefault="00C73C63" w:rsidP="00532DE3">
            <w:pPr>
              <w:pStyle w:val="ListParagraph"/>
              <w:numPr>
                <w:ilvl w:val="0"/>
                <w:numId w:val="10"/>
              </w:numPr>
              <w:rPr>
                <w:rFonts w:asciiTheme="minorHAnsi" w:hAnsiTheme="minorHAnsi" w:cstheme="minorHAnsi"/>
                <w:szCs w:val="22"/>
              </w:rPr>
            </w:pPr>
            <w:r w:rsidRPr="00532DE3">
              <w:rPr>
                <w:rFonts w:asciiTheme="minorHAnsi" w:hAnsiTheme="minorHAnsi" w:cstheme="minorHAnsi"/>
                <w:szCs w:val="22"/>
              </w:rPr>
              <w:t>The loss of privacy to Jersey Farm and Jersey House should be considered particularly as the new holiday home would overlook the two homes at bedroom height.</w:t>
            </w:r>
          </w:p>
          <w:p w14:paraId="5177480E" w14:textId="7A0B5A12" w:rsidR="00532DE3" w:rsidRPr="00532DE3" w:rsidRDefault="00532DE3" w:rsidP="00532DE3">
            <w:pPr>
              <w:pStyle w:val="ListParagraph"/>
              <w:rPr>
                <w:rFonts w:asciiTheme="minorHAnsi" w:hAnsiTheme="minorHAnsi" w:cstheme="minorHAnsi"/>
                <w:szCs w:val="22"/>
              </w:rPr>
            </w:pPr>
          </w:p>
        </w:tc>
      </w:tr>
      <w:tr w:rsidR="00532DE3" w:rsidRPr="00D97BB9" w14:paraId="0684BB16" w14:textId="77777777" w:rsidTr="001D4F7A">
        <w:trPr>
          <w:gridAfter w:val="1"/>
          <w:wAfter w:w="27"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69CA5A" w14:textId="77777777" w:rsidR="00532DE3" w:rsidRPr="00D97BB9" w:rsidRDefault="00532DE3">
            <w:pPr>
              <w:rPr>
                <w:rFonts w:asciiTheme="minorHAnsi" w:hAnsiTheme="minorHAnsi" w:cstheme="minorHAnsi"/>
                <w:color w:val="FF0000"/>
                <w:szCs w:val="22"/>
              </w:rPr>
            </w:pPr>
          </w:p>
        </w:tc>
      </w:tr>
      <w:tr w:rsidR="00532DE3" w:rsidRPr="002809CF" w14:paraId="56DF185B" w14:textId="77777777" w:rsidTr="00C06C83">
        <w:trPr>
          <w:gridBefore w:val="1"/>
          <w:wBefore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02884F" w14:textId="77777777" w:rsidR="00532DE3" w:rsidRDefault="00532DE3" w:rsidP="00C06C83">
            <w:pPr>
              <w:rPr>
                <w:rFonts w:asciiTheme="minorHAnsi" w:hAnsiTheme="minorHAnsi" w:cstheme="minorHAnsi"/>
                <w:b/>
                <w:szCs w:val="22"/>
              </w:rPr>
            </w:pPr>
            <w:r w:rsidRPr="002809CF">
              <w:rPr>
                <w:rFonts w:asciiTheme="minorHAnsi" w:hAnsiTheme="minorHAnsi" w:cstheme="minorHAnsi"/>
                <w:b/>
                <w:szCs w:val="22"/>
              </w:rPr>
              <w:t>RELEVANT PLANNING HISTORY:</w:t>
            </w:r>
          </w:p>
          <w:p w14:paraId="4691B4BA" w14:textId="6B0ADF30" w:rsidR="00532DE3" w:rsidRDefault="009847AF" w:rsidP="009847AF">
            <w:pPr>
              <w:jc w:val="both"/>
              <w:rPr>
                <w:rFonts w:asciiTheme="minorHAnsi" w:hAnsiTheme="minorHAnsi" w:cstheme="minorHAnsi"/>
                <w:szCs w:val="22"/>
              </w:rPr>
            </w:pPr>
            <w:r w:rsidRPr="009847AF">
              <w:rPr>
                <w:rFonts w:asciiTheme="minorHAnsi" w:hAnsiTheme="minorHAnsi" w:cstheme="minorHAnsi"/>
                <w:szCs w:val="22"/>
              </w:rPr>
              <w:t>3/1996/0366</w:t>
            </w:r>
            <w:r>
              <w:rPr>
                <w:rFonts w:asciiTheme="minorHAnsi" w:hAnsiTheme="minorHAnsi" w:cstheme="minorHAnsi"/>
                <w:szCs w:val="22"/>
              </w:rPr>
              <w:t xml:space="preserve"> - D</w:t>
            </w:r>
            <w:r w:rsidRPr="009847AF">
              <w:rPr>
                <w:rFonts w:asciiTheme="minorHAnsi" w:hAnsiTheme="minorHAnsi" w:cstheme="minorHAnsi"/>
                <w:szCs w:val="22"/>
              </w:rPr>
              <w:t>emolition of t</w:t>
            </w:r>
            <w:r>
              <w:rPr>
                <w:rFonts w:asciiTheme="minorHAnsi" w:hAnsiTheme="minorHAnsi" w:cstheme="minorHAnsi"/>
                <w:szCs w:val="22"/>
              </w:rPr>
              <w:t>i</w:t>
            </w:r>
            <w:r w:rsidRPr="009847AF">
              <w:rPr>
                <w:rFonts w:asciiTheme="minorHAnsi" w:hAnsiTheme="minorHAnsi" w:cstheme="minorHAnsi"/>
                <w:szCs w:val="22"/>
              </w:rPr>
              <w:t>mber lean-to and provision of car port and erection of stables</w:t>
            </w:r>
            <w:r>
              <w:rPr>
                <w:rFonts w:asciiTheme="minorHAnsi" w:hAnsiTheme="minorHAnsi" w:cstheme="minorHAnsi"/>
                <w:szCs w:val="22"/>
              </w:rPr>
              <w:t>. Approved.</w:t>
            </w:r>
          </w:p>
          <w:p w14:paraId="4B8E0C78" w14:textId="77777777" w:rsidR="009847AF" w:rsidRDefault="009847AF" w:rsidP="009847AF">
            <w:pPr>
              <w:jc w:val="both"/>
              <w:rPr>
                <w:rFonts w:asciiTheme="minorHAnsi" w:hAnsiTheme="minorHAnsi" w:cstheme="minorHAnsi"/>
                <w:szCs w:val="22"/>
              </w:rPr>
            </w:pPr>
          </w:p>
          <w:p w14:paraId="28EDD975" w14:textId="77777777" w:rsidR="009847AF" w:rsidRDefault="009847AF" w:rsidP="009847AF">
            <w:pPr>
              <w:jc w:val="both"/>
              <w:rPr>
                <w:rFonts w:asciiTheme="minorHAnsi" w:hAnsiTheme="minorHAnsi" w:cstheme="minorHAnsi"/>
                <w:szCs w:val="22"/>
              </w:rPr>
            </w:pPr>
            <w:r w:rsidRPr="009847AF">
              <w:rPr>
                <w:rFonts w:asciiTheme="minorHAnsi" w:hAnsiTheme="minorHAnsi" w:cstheme="minorHAnsi"/>
                <w:szCs w:val="22"/>
              </w:rPr>
              <w:t>3/2010/0978</w:t>
            </w:r>
            <w:r>
              <w:rPr>
                <w:rFonts w:asciiTheme="minorHAnsi" w:hAnsiTheme="minorHAnsi" w:cstheme="minorHAnsi"/>
                <w:szCs w:val="22"/>
              </w:rPr>
              <w:t xml:space="preserve"> - </w:t>
            </w:r>
            <w:r w:rsidRPr="009847AF">
              <w:rPr>
                <w:rFonts w:asciiTheme="minorHAnsi" w:hAnsiTheme="minorHAnsi" w:cstheme="minorHAnsi"/>
                <w:szCs w:val="22"/>
              </w:rPr>
              <w:t>Proposed car port and upgrading of outbuilding.</w:t>
            </w:r>
            <w:r>
              <w:rPr>
                <w:rFonts w:asciiTheme="minorHAnsi" w:hAnsiTheme="minorHAnsi" w:cstheme="minorHAnsi"/>
                <w:szCs w:val="22"/>
              </w:rPr>
              <w:t xml:space="preserve"> Approved.</w:t>
            </w:r>
          </w:p>
          <w:p w14:paraId="7CA8129D" w14:textId="6924195C" w:rsidR="003F1369" w:rsidRPr="002809CF" w:rsidRDefault="003F1369" w:rsidP="009847AF">
            <w:pPr>
              <w:jc w:val="both"/>
              <w:rPr>
                <w:rFonts w:asciiTheme="minorHAnsi" w:hAnsiTheme="minorHAnsi" w:cstheme="minorHAnsi"/>
                <w:szCs w:val="22"/>
              </w:rPr>
            </w:pPr>
          </w:p>
        </w:tc>
      </w:tr>
      <w:tr w:rsidR="00C618DB" w:rsidRPr="00D97BB9" w14:paraId="639C70DB" w14:textId="77777777" w:rsidTr="001D4F7A">
        <w:trPr>
          <w:gridAfter w:val="1"/>
          <w:wAfter w:w="27"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FD5A82" w14:textId="77777777" w:rsidR="00C618DB" w:rsidRDefault="00C618DB">
            <w:pPr>
              <w:rPr>
                <w:rFonts w:asciiTheme="minorHAnsi" w:hAnsiTheme="minorHAnsi" w:cstheme="minorHAnsi"/>
                <w:color w:val="FF0000"/>
                <w:szCs w:val="22"/>
              </w:rPr>
            </w:pPr>
          </w:p>
          <w:p w14:paraId="69F47E41" w14:textId="47D5B13D" w:rsidR="00532DE3" w:rsidRPr="00D97BB9" w:rsidRDefault="00532DE3">
            <w:pPr>
              <w:rPr>
                <w:rFonts w:asciiTheme="minorHAnsi" w:hAnsiTheme="minorHAnsi" w:cstheme="minorHAnsi"/>
                <w:color w:val="FF0000"/>
                <w:szCs w:val="22"/>
              </w:rPr>
            </w:pPr>
          </w:p>
        </w:tc>
      </w:tr>
      <w:tr w:rsidR="00EC23C7" w:rsidRPr="00D97BB9" w14:paraId="0B61B2A3"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A27B52" w14:textId="77777777" w:rsidR="00EC23C7" w:rsidRPr="00D97BB9" w:rsidRDefault="00EC23C7">
            <w:pPr>
              <w:rPr>
                <w:rFonts w:asciiTheme="minorHAnsi" w:hAnsiTheme="minorHAnsi" w:cstheme="minorHAnsi"/>
                <w:b/>
                <w:szCs w:val="22"/>
              </w:rPr>
            </w:pPr>
            <w:r w:rsidRPr="00D97BB9">
              <w:rPr>
                <w:rFonts w:asciiTheme="minorHAnsi" w:hAnsiTheme="minorHAnsi" w:cstheme="minorHAnsi"/>
                <w:b/>
                <w:szCs w:val="22"/>
              </w:rPr>
              <w:t>RELEVANT POLICIES:</w:t>
            </w:r>
          </w:p>
        </w:tc>
      </w:tr>
      <w:tr w:rsidR="00C618DB" w:rsidRPr="00D97BB9" w14:paraId="19753C2B"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0ED362" w14:textId="77777777" w:rsidR="00C618DB" w:rsidRPr="00D97BB9" w:rsidRDefault="00C618DB" w:rsidP="00A63D55">
            <w:pPr>
              <w:pStyle w:val="PLANNING"/>
              <w:rPr>
                <w:rFonts w:asciiTheme="minorHAnsi" w:hAnsiTheme="minorHAnsi" w:cstheme="minorHAnsi"/>
                <w:b/>
                <w:bCs/>
                <w:szCs w:val="22"/>
              </w:rPr>
            </w:pPr>
            <w:r w:rsidRPr="00D97BB9">
              <w:rPr>
                <w:rFonts w:asciiTheme="minorHAnsi" w:hAnsiTheme="minorHAnsi" w:cstheme="minorHAnsi"/>
                <w:b/>
                <w:bCs/>
                <w:szCs w:val="22"/>
              </w:rPr>
              <w:t>Ribble Valley Core Strategy:</w:t>
            </w:r>
          </w:p>
          <w:p w14:paraId="59D02AF8" w14:textId="77777777" w:rsidR="00AB1EBB" w:rsidRPr="00D97BB9" w:rsidRDefault="00AB1EBB" w:rsidP="00C618DB">
            <w:pPr>
              <w:pStyle w:val="PLANNING"/>
              <w:rPr>
                <w:rFonts w:asciiTheme="minorHAnsi" w:hAnsiTheme="minorHAnsi" w:cstheme="minorHAnsi"/>
                <w:szCs w:val="22"/>
              </w:rPr>
            </w:pPr>
          </w:p>
          <w:p w14:paraId="220D5A2A"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Key Statement</w:t>
            </w:r>
            <w:r w:rsidR="00C618DB" w:rsidRPr="00D97BB9">
              <w:rPr>
                <w:rFonts w:asciiTheme="minorHAnsi" w:hAnsiTheme="minorHAnsi" w:cstheme="minorHAnsi"/>
                <w:szCs w:val="22"/>
              </w:rPr>
              <w:t xml:space="preserve"> DS1 – Development Strategy</w:t>
            </w:r>
          </w:p>
          <w:p w14:paraId="7548D093"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lastRenderedPageBreak/>
              <w:t xml:space="preserve">Key Statement </w:t>
            </w:r>
            <w:r w:rsidR="00C618DB" w:rsidRPr="00D97BB9">
              <w:rPr>
                <w:rFonts w:asciiTheme="minorHAnsi" w:hAnsiTheme="minorHAnsi" w:cstheme="minorHAnsi"/>
                <w:szCs w:val="22"/>
              </w:rPr>
              <w:t>DS2 – Sustainable Development</w:t>
            </w:r>
          </w:p>
          <w:p w14:paraId="05769702" w14:textId="77777777" w:rsidR="00513368"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 xml:space="preserve">Key Statement EN1 </w:t>
            </w:r>
            <w:r w:rsidR="00513368" w:rsidRPr="00D97BB9">
              <w:rPr>
                <w:rFonts w:asciiTheme="minorHAnsi" w:hAnsiTheme="minorHAnsi" w:cstheme="minorHAnsi"/>
                <w:szCs w:val="22"/>
              </w:rPr>
              <w:t>– Green Belt</w:t>
            </w:r>
          </w:p>
          <w:p w14:paraId="318BE817" w14:textId="3E2B46BE" w:rsidR="00513368" w:rsidRDefault="00317116" w:rsidP="00C618DB">
            <w:pPr>
              <w:pStyle w:val="PLANNING"/>
              <w:rPr>
                <w:rFonts w:asciiTheme="minorHAnsi" w:hAnsiTheme="minorHAnsi" w:cstheme="minorHAnsi"/>
                <w:szCs w:val="22"/>
              </w:rPr>
            </w:pPr>
            <w:r w:rsidRPr="00D97BB9">
              <w:rPr>
                <w:rFonts w:asciiTheme="minorHAnsi" w:hAnsiTheme="minorHAnsi" w:cstheme="minorHAnsi"/>
                <w:szCs w:val="22"/>
              </w:rPr>
              <w:t xml:space="preserve">Key Statement </w:t>
            </w:r>
            <w:r w:rsidR="00513368" w:rsidRPr="00D97BB9">
              <w:rPr>
                <w:rFonts w:asciiTheme="minorHAnsi" w:hAnsiTheme="minorHAnsi" w:cstheme="minorHAnsi"/>
                <w:szCs w:val="22"/>
              </w:rPr>
              <w:t>EN2 – Landscape</w:t>
            </w:r>
          </w:p>
          <w:p w14:paraId="1D45C6EF" w14:textId="28137D1F" w:rsidR="00532DE3" w:rsidRPr="00532DE3" w:rsidRDefault="00532DE3" w:rsidP="00532DE3">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EC3 – Visitor Economy</w:t>
            </w:r>
          </w:p>
          <w:p w14:paraId="249431E6"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Key Statement DMI2</w:t>
            </w:r>
            <w:r w:rsidR="00C618DB" w:rsidRPr="00D97BB9">
              <w:rPr>
                <w:rFonts w:asciiTheme="minorHAnsi" w:hAnsiTheme="minorHAnsi" w:cstheme="minorHAnsi"/>
                <w:szCs w:val="22"/>
              </w:rPr>
              <w:t>– Transport Considerations</w:t>
            </w:r>
          </w:p>
          <w:p w14:paraId="644B067D"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DMG1 – General Considerations</w:t>
            </w:r>
          </w:p>
          <w:p w14:paraId="2D44E39F"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DMG2 – Strategic Considerations</w:t>
            </w:r>
          </w:p>
          <w:p w14:paraId="46DD080E"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DMG3 – Transport &amp; Mobility</w:t>
            </w:r>
          </w:p>
          <w:p w14:paraId="288ACAE4" w14:textId="6CBB809A" w:rsidR="004D7207"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DME2 – Landscape and Townscape Protection</w:t>
            </w:r>
          </w:p>
          <w:p w14:paraId="70419259" w14:textId="47AC14CA" w:rsidR="00532DE3" w:rsidRPr="00532DE3" w:rsidRDefault="00532DE3" w:rsidP="00532DE3">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DME3 - Site and Species Protection and Conservation</w:t>
            </w:r>
          </w:p>
          <w:p w14:paraId="7771E55A" w14:textId="2FA66ED6" w:rsidR="00513368" w:rsidRDefault="00532DE3" w:rsidP="00532DE3">
            <w:pPr>
              <w:rPr>
                <w:rFonts w:asciiTheme="minorHAnsi" w:hAnsiTheme="minorHAnsi" w:cstheme="minorHAnsi"/>
                <w:szCs w:val="22"/>
              </w:rPr>
            </w:pPr>
            <w:r w:rsidRPr="00745BA2">
              <w:rPr>
                <w:rFonts w:asciiTheme="minorHAnsi" w:hAnsiTheme="minorHAnsi" w:cstheme="minorHAnsi"/>
                <w:szCs w:val="22"/>
              </w:rPr>
              <w:t>Policy DMB3 – Recreation and Tourism Development</w:t>
            </w:r>
          </w:p>
          <w:p w14:paraId="2A2A7069" w14:textId="77777777" w:rsidR="00532DE3" w:rsidRPr="00D97BB9" w:rsidRDefault="00532DE3" w:rsidP="00C618DB">
            <w:pPr>
              <w:pStyle w:val="PLANNING"/>
              <w:rPr>
                <w:rFonts w:asciiTheme="minorHAnsi" w:hAnsiTheme="minorHAnsi" w:cstheme="minorHAnsi"/>
                <w:b/>
                <w:szCs w:val="22"/>
              </w:rPr>
            </w:pPr>
          </w:p>
          <w:p w14:paraId="67789EE9" w14:textId="77777777" w:rsidR="00513368" w:rsidRPr="00D97BB9" w:rsidRDefault="00C618DB" w:rsidP="00C618DB">
            <w:pPr>
              <w:rPr>
                <w:rFonts w:asciiTheme="minorHAnsi" w:hAnsiTheme="minorHAnsi" w:cstheme="minorHAnsi"/>
                <w:szCs w:val="22"/>
              </w:rPr>
            </w:pPr>
            <w:r w:rsidRPr="00D97BB9">
              <w:rPr>
                <w:rFonts w:asciiTheme="minorHAnsi" w:hAnsiTheme="minorHAnsi" w:cstheme="minorHAnsi"/>
                <w:b/>
                <w:szCs w:val="22"/>
              </w:rPr>
              <w:t>National Planning Policy Framework (NPPF)</w:t>
            </w:r>
          </w:p>
        </w:tc>
      </w:tr>
      <w:tr w:rsidR="00EC23C7" w:rsidRPr="00D97BB9" w14:paraId="1A9E126F"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920A33" w14:textId="77777777" w:rsidR="00EC23C7" w:rsidRPr="00D97BB9" w:rsidRDefault="006C2BFA" w:rsidP="006C2BFA">
            <w:pPr>
              <w:rPr>
                <w:rFonts w:asciiTheme="minorHAnsi" w:hAnsiTheme="minorHAnsi" w:cstheme="minorHAnsi"/>
                <w:b/>
                <w:szCs w:val="22"/>
              </w:rPr>
            </w:pPr>
            <w:r w:rsidRPr="00D97BB9">
              <w:rPr>
                <w:rFonts w:asciiTheme="minorHAnsi" w:hAnsiTheme="minorHAnsi" w:cstheme="minorHAnsi"/>
                <w:b/>
                <w:bCs/>
                <w:szCs w:val="22"/>
              </w:rPr>
              <w:lastRenderedPageBreak/>
              <w:t>ASSESSMENT OF PROPOSED DEVELOPMENT:</w:t>
            </w:r>
          </w:p>
        </w:tc>
      </w:tr>
      <w:tr w:rsidR="006C2BFA" w:rsidRPr="00D97BB9" w14:paraId="5ABC5139"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3C98F8" w14:textId="6C601415" w:rsidR="00532DE3" w:rsidRPr="00532DE3" w:rsidRDefault="007D7ABA" w:rsidP="00532DE3">
            <w:pPr>
              <w:jc w:val="both"/>
              <w:rPr>
                <w:rFonts w:asciiTheme="minorHAnsi" w:hAnsiTheme="minorHAnsi" w:cstheme="minorHAnsi"/>
                <w:b/>
                <w:szCs w:val="22"/>
              </w:rPr>
            </w:pPr>
            <w:r w:rsidRPr="007D7ABA">
              <w:rPr>
                <w:rFonts w:asciiTheme="minorHAnsi" w:hAnsiTheme="minorHAnsi" w:cstheme="minorHAnsi"/>
                <w:b/>
                <w:szCs w:val="22"/>
              </w:rPr>
              <w:t>Site Description and Surrounding Area:</w:t>
            </w:r>
          </w:p>
          <w:p w14:paraId="5E29E7C8" w14:textId="08ADDD91" w:rsidR="00F55866" w:rsidRDefault="00BF5E3F" w:rsidP="000A5E01">
            <w:pPr>
              <w:jc w:val="both"/>
              <w:rPr>
                <w:rFonts w:asciiTheme="minorHAnsi" w:hAnsiTheme="minorHAnsi" w:cstheme="minorHAnsi"/>
                <w:szCs w:val="22"/>
              </w:rPr>
            </w:pPr>
            <w:r>
              <w:rPr>
                <w:rFonts w:asciiTheme="minorHAnsi" w:hAnsiTheme="minorHAnsi" w:cstheme="minorHAnsi"/>
                <w:szCs w:val="22"/>
              </w:rPr>
              <w:t>The application site is located at Jersey Farm which is accessed off Knowsley Road in Wilpshire. The site comprises an access road, detached garage, detached stables and residential dwellings.</w:t>
            </w:r>
          </w:p>
          <w:p w14:paraId="1119CB76" w14:textId="259F21CB" w:rsidR="00BF5E3F" w:rsidRDefault="00BF5E3F" w:rsidP="000A5E01">
            <w:pPr>
              <w:jc w:val="both"/>
              <w:rPr>
                <w:rFonts w:asciiTheme="minorHAnsi" w:hAnsiTheme="minorHAnsi" w:cstheme="minorHAnsi"/>
                <w:szCs w:val="22"/>
              </w:rPr>
            </w:pPr>
          </w:p>
          <w:p w14:paraId="64E03DDD" w14:textId="0513D29B" w:rsidR="00BF5E3F" w:rsidRDefault="00BF5E3F" w:rsidP="000A5E01">
            <w:pPr>
              <w:jc w:val="both"/>
              <w:rPr>
                <w:rFonts w:asciiTheme="minorHAnsi" w:hAnsiTheme="minorHAnsi" w:cstheme="minorHAnsi"/>
                <w:szCs w:val="22"/>
              </w:rPr>
            </w:pPr>
            <w:r>
              <w:rPr>
                <w:rFonts w:asciiTheme="minorHAnsi" w:hAnsiTheme="minorHAnsi" w:cstheme="minorHAnsi"/>
                <w:szCs w:val="22"/>
              </w:rPr>
              <w:t>The application site is located in the designated Green Belt. The stable building which is the subject of this application is faced externally with timber with a concrete sheet roof.</w:t>
            </w:r>
          </w:p>
          <w:p w14:paraId="214B244D" w14:textId="76A2C9F0" w:rsidR="00BF5E3F" w:rsidRPr="00D97BB9" w:rsidRDefault="00BF5E3F" w:rsidP="000A5E01">
            <w:pPr>
              <w:jc w:val="both"/>
              <w:rPr>
                <w:rFonts w:asciiTheme="minorHAnsi" w:hAnsiTheme="minorHAnsi" w:cstheme="minorHAnsi"/>
                <w:szCs w:val="22"/>
              </w:rPr>
            </w:pPr>
          </w:p>
        </w:tc>
      </w:tr>
      <w:tr w:rsidR="007D7ABA" w:rsidRPr="00D97BB9" w14:paraId="020D97DB"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0F3E0F" w14:textId="77777777" w:rsidR="007D7ABA" w:rsidRDefault="007D7ABA" w:rsidP="000A5E01">
            <w:pPr>
              <w:jc w:val="both"/>
              <w:rPr>
                <w:rFonts w:asciiTheme="minorHAnsi" w:hAnsiTheme="minorHAnsi" w:cstheme="minorHAnsi"/>
                <w:b/>
                <w:szCs w:val="22"/>
              </w:rPr>
            </w:pPr>
            <w:r w:rsidRPr="007D7ABA">
              <w:rPr>
                <w:rFonts w:asciiTheme="minorHAnsi" w:hAnsiTheme="minorHAnsi" w:cstheme="minorHAnsi"/>
                <w:b/>
                <w:szCs w:val="22"/>
              </w:rPr>
              <w:t>Proposed Development for which consent is sought:</w:t>
            </w:r>
          </w:p>
          <w:p w14:paraId="6E6C731A" w14:textId="7E651EED" w:rsidR="007D7ABA" w:rsidRDefault="00BF5E3F" w:rsidP="000A5E01">
            <w:pPr>
              <w:jc w:val="both"/>
              <w:rPr>
                <w:rFonts w:asciiTheme="minorHAnsi" w:hAnsiTheme="minorHAnsi" w:cstheme="minorHAnsi"/>
                <w:szCs w:val="22"/>
              </w:rPr>
            </w:pPr>
            <w:r>
              <w:rPr>
                <w:rFonts w:asciiTheme="minorHAnsi" w:hAnsiTheme="minorHAnsi" w:cstheme="minorHAnsi"/>
                <w:szCs w:val="22"/>
              </w:rPr>
              <w:t>Consent is sought to demolish the existing ‘L’ shaped stables and erect a single storey detached holiday cottage on the same footprint. The proposed building would be faced with natural stone and render and would have a natural slate roof. The height of the proposed building would be 3.35 metres, approximately 500mm higher than the existing building.</w:t>
            </w:r>
          </w:p>
          <w:p w14:paraId="2B1131EB" w14:textId="4DB4D9B7" w:rsidR="00BF5E3F" w:rsidRDefault="00BF5E3F" w:rsidP="000A5E01">
            <w:pPr>
              <w:jc w:val="both"/>
              <w:rPr>
                <w:rFonts w:asciiTheme="minorHAnsi" w:hAnsiTheme="minorHAnsi" w:cstheme="minorHAnsi"/>
                <w:szCs w:val="22"/>
              </w:rPr>
            </w:pPr>
          </w:p>
          <w:p w14:paraId="2E11170D" w14:textId="5FDF0451" w:rsidR="00BF5E3F" w:rsidRDefault="00BF5E3F" w:rsidP="000A5E01">
            <w:pPr>
              <w:jc w:val="both"/>
              <w:rPr>
                <w:rFonts w:asciiTheme="minorHAnsi" w:hAnsiTheme="minorHAnsi" w:cstheme="minorHAnsi"/>
                <w:szCs w:val="22"/>
              </w:rPr>
            </w:pPr>
            <w:r>
              <w:rPr>
                <w:rFonts w:asciiTheme="minorHAnsi" w:hAnsiTheme="minorHAnsi" w:cstheme="minorHAnsi"/>
                <w:szCs w:val="22"/>
              </w:rPr>
              <w:t>The proposal re-uses the existing hardstanding areas at the site</w:t>
            </w:r>
            <w:r w:rsidR="00EA1EBE">
              <w:rPr>
                <w:rFonts w:asciiTheme="minorHAnsi" w:hAnsiTheme="minorHAnsi" w:cstheme="minorHAnsi"/>
                <w:szCs w:val="22"/>
              </w:rPr>
              <w:t xml:space="preserve"> and would require some relatively minor level changes within the site</w:t>
            </w:r>
            <w:r>
              <w:rPr>
                <w:rFonts w:asciiTheme="minorHAnsi" w:hAnsiTheme="minorHAnsi" w:cstheme="minorHAnsi"/>
                <w:szCs w:val="22"/>
              </w:rPr>
              <w:t xml:space="preserve">. </w:t>
            </w:r>
            <w:r w:rsidR="00671B1D">
              <w:rPr>
                <w:rFonts w:asciiTheme="minorHAnsi" w:hAnsiTheme="minorHAnsi" w:cstheme="minorHAnsi"/>
                <w:szCs w:val="22"/>
              </w:rPr>
              <w:t>As submitted, consent was sought to create a new access track that would extend from the existing track serving Jersey Farm. However, this has been removed from the proposals and it is now the intention that the proposed new holiday cottage would be accessed via the existing track.</w:t>
            </w:r>
          </w:p>
          <w:p w14:paraId="6B0D8E00" w14:textId="5188AB73" w:rsidR="00BF5E3F" w:rsidRPr="00BF5E3F" w:rsidRDefault="00BF5E3F" w:rsidP="000A5E01">
            <w:pPr>
              <w:jc w:val="both"/>
              <w:rPr>
                <w:rFonts w:asciiTheme="minorHAnsi" w:hAnsiTheme="minorHAnsi" w:cstheme="minorHAnsi"/>
                <w:szCs w:val="22"/>
              </w:rPr>
            </w:pPr>
          </w:p>
        </w:tc>
      </w:tr>
      <w:tr w:rsidR="00EA09F9" w:rsidRPr="00D97BB9" w14:paraId="66011896"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0BFC68" w14:textId="27F49D18" w:rsidR="00EA09F9" w:rsidRPr="0045763F" w:rsidRDefault="00EA09F9" w:rsidP="00EA09F9">
            <w:pPr>
              <w:pStyle w:val="Header"/>
              <w:tabs>
                <w:tab w:val="clear" w:pos="4153"/>
                <w:tab w:val="clear" w:pos="8306"/>
              </w:tabs>
              <w:contextualSpacing/>
              <w:jc w:val="both"/>
              <w:rPr>
                <w:rFonts w:asciiTheme="minorHAnsi" w:hAnsiTheme="minorHAnsi" w:cstheme="minorHAnsi"/>
                <w:b/>
                <w:szCs w:val="22"/>
              </w:rPr>
            </w:pPr>
            <w:r w:rsidRPr="0045763F">
              <w:rPr>
                <w:rFonts w:asciiTheme="minorHAnsi" w:hAnsiTheme="minorHAnsi" w:cstheme="minorHAnsi"/>
                <w:b/>
                <w:szCs w:val="22"/>
              </w:rPr>
              <w:t>Principle of Development:</w:t>
            </w:r>
          </w:p>
          <w:p w14:paraId="0D29D374" w14:textId="77777777" w:rsidR="0045763F" w:rsidRPr="0045763F" w:rsidRDefault="0045763F" w:rsidP="0045763F">
            <w:pPr>
              <w:pStyle w:val="Header"/>
              <w:contextualSpacing/>
              <w:jc w:val="both"/>
              <w:rPr>
                <w:rFonts w:asciiTheme="minorHAnsi" w:hAnsiTheme="minorHAnsi" w:cstheme="minorHAnsi"/>
                <w:bCs/>
                <w:szCs w:val="22"/>
              </w:rPr>
            </w:pPr>
            <w:r w:rsidRPr="0045763F">
              <w:rPr>
                <w:rFonts w:asciiTheme="minorHAnsi" w:hAnsiTheme="minorHAnsi" w:cstheme="minorHAnsi"/>
                <w:bCs/>
                <w:szCs w:val="22"/>
              </w:rPr>
              <w:t xml:space="preserve">Core Strategy Key Statement EC3 ‘Visitor Economy and policies DMG2 ‘Strategic Considerations’ and DMB3 ‘Recreation and Tourism Development’ generally support the creation of new holiday accommodation in the borough subject to a number of conditions. The proposal would be for the creation of small-scale tourism use close to the settlement of </w:t>
            </w:r>
            <w:proofErr w:type="spellStart"/>
            <w:r w:rsidRPr="0045763F">
              <w:rPr>
                <w:rFonts w:asciiTheme="minorHAnsi" w:hAnsiTheme="minorHAnsi" w:cstheme="minorHAnsi"/>
                <w:bCs/>
                <w:szCs w:val="22"/>
              </w:rPr>
              <w:t>Wilpshire</w:t>
            </w:r>
            <w:proofErr w:type="spellEnd"/>
            <w:r w:rsidRPr="0045763F">
              <w:rPr>
                <w:rFonts w:asciiTheme="minorHAnsi" w:hAnsiTheme="minorHAnsi" w:cstheme="minorHAnsi"/>
                <w:bCs/>
                <w:szCs w:val="22"/>
              </w:rPr>
              <w:t xml:space="preserve"> and the nearby settlement of Blackburn and would be in general compliance with the above tourism-related policies.</w:t>
            </w:r>
          </w:p>
          <w:p w14:paraId="18A1B5CD" w14:textId="77777777" w:rsidR="0045763F" w:rsidRPr="0045763F" w:rsidRDefault="0045763F" w:rsidP="0045763F">
            <w:pPr>
              <w:pStyle w:val="Header"/>
              <w:contextualSpacing/>
              <w:jc w:val="both"/>
              <w:rPr>
                <w:rFonts w:asciiTheme="minorHAnsi" w:hAnsiTheme="minorHAnsi" w:cstheme="minorHAnsi"/>
                <w:bCs/>
                <w:szCs w:val="22"/>
              </w:rPr>
            </w:pPr>
          </w:p>
          <w:p w14:paraId="0EC836D8" w14:textId="77777777" w:rsidR="0045763F" w:rsidRPr="0045763F" w:rsidRDefault="0045763F" w:rsidP="0045763F">
            <w:pPr>
              <w:pStyle w:val="Header"/>
              <w:contextualSpacing/>
              <w:jc w:val="both"/>
              <w:rPr>
                <w:rFonts w:asciiTheme="minorHAnsi" w:hAnsiTheme="minorHAnsi" w:cstheme="minorHAnsi"/>
                <w:bCs/>
                <w:szCs w:val="22"/>
              </w:rPr>
            </w:pPr>
            <w:r w:rsidRPr="0045763F">
              <w:rPr>
                <w:rFonts w:asciiTheme="minorHAnsi" w:hAnsiTheme="minorHAnsi" w:cstheme="minorHAnsi"/>
                <w:bCs/>
                <w:szCs w:val="22"/>
              </w:rPr>
              <w:t>The main consideration is whether the proposals would comply with local and national Green Belt policy. In this regard paragraphs 145 and 146 of the National Planning Policy Framework are most relevant.</w:t>
            </w:r>
          </w:p>
          <w:p w14:paraId="31ECA6E1" w14:textId="77777777" w:rsidR="0045763F" w:rsidRPr="0045763F" w:rsidRDefault="0045763F" w:rsidP="0045763F">
            <w:pPr>
              <w:pStyle w:val="Header"/>
              <w:contextualSpacing/>
              <w:jc w:val="both"/>
              <w:rPr>
                <w:rFonts w:asciiTheme="minorHAnsi" w:hAnsiTheme="minorHAnsi" w:cstheme="minorHAnsi"/>
                <w:bCs/>
                <w:szCs w:val="22"/>
              </w:rPr>
            </w:pPr>
          </w:p>
          <w:p w14:paraId="5ECAD83C"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145. A local planning authority should regard the construction of new buildings as inappropriate in the Green Belt. Exceptions to this are:</w:t>
            </w:r>
          </w:p>
          <w:p w14:paraId="26D64F1D" w14:textId="77777777" w:rsidR="0045763F" w:rsidRPr="0045763F" w:rsidRDefault="0045763F" w:rsidP="0045763F">
            <w:pPr>
              <w:pStyle w:val="Header"/>
              <w:ind w:left="720"/>
              <w:contextualSpacing/>
              <w:jc w:val="both"/>
              <w:rPr>
                <w:rFonts w:asciiTheme="minorHAnsi" w:hAnsiTheme="minorHAnsi" w:cstheme="minorHAnsi"/>
                <w:bCs/>
                <w:sz w:val="21"/>
                <w:szCs w:val="21"/>
              </w:rPr>
            </w:pPr>
          </w:p>
          <w:p w14:paraId="06A5D2CC"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a) buildings for agriculture and forestry;</w:t>
            </w:r>
          </w:p>
          <w:p w14:paraId="2294859F"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b) the provision of appropriate facilities (in connection with the existing use of land or a change of use) for outdoor sport, outdoor recreation, cemeteries and burial grounds and allotments; as long as the facilities preserve the openness of the Green Belt and do not conflict with the purposes of including land within it; </w:t>
            </w:r>
          </w:p>
          <w:p w14:paraId="36D6F05E"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c) the extension or alteration of a building provided that it does not result in disproportionate </w:t>
            </w:r>
            <w:r w:rsidRPr="0045763F">
              <w:rPr>
                <w:rFonts w:asciiTheme="minorHAnsi" w:hAnsiTheme="minorHAnsi" w:cstheme="minorHAnsi"/>
                <w:bCs/>
                <w:sz w:val="21"/>
                <w:szCs w:val="21"/>
              </w:rPr>
              <w:lastRenderedPageBreak/>
              <w:t xml:space="preserve">additions over and above the size of the original building; </w:t>
            </w:r>
          </w:p>
          <w:p w14:paraId="6ED00430"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d) the replacement of a building, provided the new building is in the same use and not materially larger than the one it replaces; </w:t>
            </w:r>
          </w:p>
          <w:p w14:paraId="3D3D8E90"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e) limited infilling in villages; </w:t>
            </w:r>
          </w:p>
          <w:p w14:paraId="7D92FE27"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f) limited affordable housing for local community needs under policies set out in the development plan (including policies for rural exception sites); and </w:t>
            </w:r>
          </w:p>
          <w:p w14:paraId="0B2D2830" w14:textId="77777777" w:rsidR="0045763F" w:rsidRPr="0045763F" w:rsidRDefault="0045763F" w:rsidP="0045763F">
            <w:pPr>
              <w:pStyle w:val="Header"/>
              <w:ind w:left="720"/>
              <w:contextualSpacing/>
              <w:jc w:val="both"/>
              <w:rPr>
                <w:rFonts w:asciiTheme="minorHAnsi" w:hAnsiTheme="minorHAnsi" w:cstheme="minorHAnsi"/>
                <w:bCs/>
                <w:sz w:val="21"/>
                <w:szCs w:val="21"/>
              </w:rPr>
            </w:pPr>
          </w:p>
          <w:p w14:paraId="5E6B8364"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g) limited infilling or the partial or complete redevelopment of previously developed land, whether redundant or in continuing use (excluding temporary buildings), which would: </w:t>
            </w:r>
          </w:p>
          <w:p w14:paraId="5D9C77E1"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 not have a greater impact on the openness of the Green Belt than the existing development; or </w:t>
            </w:r>
          </w:p>
          <w:p w14:paraId="56AFE9CC"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 not cause substantial harm to the openness of the Green Belt, where the development would re-use previously developed land and contribute to meeting an identified affordable housing need within the area of the local planning authority. </w:t>
            </w:r>
          </w:p>
          <w:p w14:paraId="35A92900" w14:textId="77777777" w:rsidR="0045763F" w:rsidRPr="0045763F" w:rsidRDefault="0045763F" w:rsidP="0045763F">
            <w:pPr>
              <w:pStyle w:val="Header"/>
              <w:ind w:left="720"/>
              <w:contextualSpacing/>
              <w:jc w:val="both"/>
              <w:rPr>
                <w:rFonts w:asciiTheme="minorHAnsi" w:hAnsiTheme="minorHAnsi" w:cstheme="minorHAnsi"/>
                <w:bCs/>
                <w:sz w:val="21"/>
                <w:szCs w:val="21"/>
              </w:rPr>
            </w:pPr>
          </w:p>
          <w:p w14:paraId="3596C270"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146. Certain other forms of development are also not inappropriate in the Green Belt provided they preserve its openness and do not conflict with the purposes of including land within it. These are: </w:t>
            </w:r>
          </w:p>
          <w:p w14:paraId="73AE0991"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a) mineral extraction; </w:t>
            </w:r>
          </w:p>
          <w:p w14:paraId="76B1F96E"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b) engineering operations; </w:t>
            </w:r>
          </w:p>
          <w:p w14:paraId="24BAF79C"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c) local transport infrastructure which can demonstrate a requirement for a Green Belt location; </w:t>
            </w:r>
          </w:p>
          <w:p w14:paraId="33B9DEE2"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d) the re-use of buildings provided that the buildings are of permanent and substantial construction; </w:t>
            </w:r>
          </w:p>
          <w:p w14:paraId="7CA85B51"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e) material changes in the use of land (such as changes of use for outdoor sport or recreation, or for cemeteries and burial grounds); and </w:t>
            </w:r>
          </w:p>
          <w:p w14:paraId="61C41CBF" w14:textId="77777777" w:rsidR="0045763F" w:rsidRPr="0045763F" w:rsidRDefault="0045763F" w:rsidP="0045763F">
            <w:pPr>
              <w:pStyle w:val="Header"/>
              <w:ind w:left="720"/>
              <w:contextualSpacing/>
              <w:jc w:val="both"/>
              <w:rPr>
                <w:rFonts w:asciiTheme="minorHAnsi" w:hAnsiTheme="minorHAnsi" w:cstheme="minorHAnsi"/>
                <w:bCs/>
                <w:sz w:val="21"/>
                <w:szCs w:val="21"/>
              </w:rPr>
            </w:pPr>
            <w:r w:rsidRPr="0045763F">
              <w:rPr>
                <w:rFonts w:asciiTheme="minorHAnsi" w:hAnsiTheme="minorHAnsi" w:cstheme="minorHAnsi"/>
                <w:bCs/>
                <w:sz w:val="21"/>
                <w:szCs w:val="21"/>
              </w:rPr>
              <w:t xml:space="preserve">f) development brought forward under a Community Right to Build Order or Neighbourhood Development Order. </w:t>
            </w:r>
          </w:p>
          <w:p w14:paraId="3B8FC200" w14:textId="77777777" w:rsidR="0045763F" w:rsidRPr="0045763F" w:rsidRDefault="0045763F" w:rsidP="0045763F">
            <w:pPr>
              <w:pStyle w:val="Header"/>
              <w:contextualSpacing/>
              <w:jc w:val="both"/>
              <w:rPr>
                <w:rFonts w:asciiTheme="minorHAnsi" w:hAnsiTheme="minorHAnsi" w:cstheme="minorHAnsi"/>
                <w:bCs/>
                <w:szCs w:val="22"/>
              </w:rPr>
            </w:pPr>
          </w:p>
          <w:p w14:paraId="15124215" w14:textId="77777777" w:rsidR="0045763F" w:rsidRPr="0045763F" w:rsidRDefault="0045763F" w:rsidP="0045763F">
            <w:pPr>
              <w:pStyle w:val="Header"/>
              <w:contextualSpacing/>
              <w:jc w:val="both"/>
              <w:rPr>
                <w:rFonts w:asciiTheme="minorHAnsi" w:hAnsiTheme="minorHAnsi" w:cstheme="minorHAnsi"/>
                <w:bCs/>
                <w:szCs w:val="22"/>
              </w:rPr>
            </w:pPr>
            <w:r w:rsidRPr="0045763F">
              <w:rPr>
                <w:rFonts w:asciiTheme="minorHAnsi" w:hAnsiTheme="minorHAnsi" w:cstheme="minorHAnsi"/>
                <w:bCs/>
                <w:szCs w:val="22"/>
              </w:rPr>
              <w:t>In terms of those exemptions relevant to the application site these are set out below:</w:t>
            </w:r>
          </w:p>
          <w:p w14:paraId="787DEF6D" w14:textId="77777777" w:rsidR="0045763F" w:rsidRPr="0045763F" w:rsidRDefault="0045763F" w:rsidP="0045763F">
            <w:pPr>
              <w:pStyle w:val="Header"/>
              <w:contextualSpacing/>
              <w:jc w:val="both"/>
              <w:rPr>
                <w:rFonts w:asciiTheme="minorHAnsi" w:hAnsiTheme="minorHAnsi" w:cstheme="minorHAnsi"/>
                <w:bCs/>
                <w:szCs w:val="22"/>
              </w:rPr>
            </w:pPr>
          </w:p>
          <w:p w14:paraId="12571399" w14:textId="77777777" w:rsidR="0045763F" w:rsidRPr="00045F0E" w:rsidRDefault="0045763F" w:rsidP="0045763F">
            <w:pPr>
              <w:pStyle w:val="Header"/>
              <w:contextualSpacing/>
              <w:jc w:val="both"/>
              <w:rPr>
                <w:rFonts w:asciiTheme="minorHAnsi" w:hAnsiTheme="minorHAnsi" w:cstheme="minorHAnsi"/>
                <w:bCs/>
                <w:i/>
                <w:szCs w:val="22"/>
              </w:rPr>
            </w:pPr>
            <w:r w:rsidRPr="00045F0E">
              <w:rPr>
                <w:rFonts w:asciiTheme="minorHAnsi" w:hAnsiTheme="minorHAnsi" w:cstheme="minorHAnsi"/>
                <w:bCs/>
                <w:i/>
                <w:szCs w:val="22"/>
              </w:rPr>
              <w:t>d)</w:t>
            </w:r>
            <w:r w:rsidRPr="00045F0E">
              <w:rPr>
                <w:rFonts w:asciiTheme="minorHAnsi" w:hAnsiTheme="minorHAnsi" w:cstheme="minorHAnsi"/>
                <w:bCs/>
                <w:i/>
                <w:szCs w:val="22"/>
              </w:rPr>
              <w:tab/>
              <w:t xml:space="preserve">The replacement of a building, provided the new building is in the same use and not materially larger than the one it replaces; </w:t>
            </w:r>
          </w:p>
          <w:p w14:paraId="319796BF" w14:textId="77777777" w:rsidR="0045763F" w:rsidRPr="0045763F" w:rsidRDefault="0045763F" w:rsidP="0045763F">
            <w:pPr>
              <w:pStyle w:val="Header"/>
              <w:contextualSpacing/>
              <w:jc w:val="both"/>
              <w:rPr>
                <w:rFonts w:asciiTheme="minorHAnsi" w:hAnsiTheme="minorHAnsi" w:cstheme="minorHAnsi"/>
                <w:bCs/>
                <w:szCs w:val="22"/>
              </w:rPr>
            </w:pPr>
          </w:p>
          <w:p w14:paraId="1F7EDFC7" w14:textId="77777777" w:rsidR="0045763F" w:rsidRPr="0045763F" w:rsidRDefault="0045763F" w:rsidP="0045763F">
            <w:pPr>
              <w:pStyle w:val="Header"/>
              <w:contextualSpacing/>
              <w:jc w:val="both"/>
              <w:rPr>
                <w:rFonts w:asciiTheme="minorHAnsi" w:hAnsiTheme="minorHAnsi" w:cstheme="minorHAnsi"/>
                <w:bCs/>
                <w:szCs w:val="22"/>
              </w:rPr>
            </w:pPr>
            <w:r w:rsidRPr="0045763F">
              <w:rPr>
                <w:rFonts w:asciiTheme="minorHAnsi" w:hAnsiTheme="minorHAnsi" w:cstheme="minorHAnsi"/>
                <w:bCs/>
                <w:szCs w:val="22"/>
              </w:rPr>
              <w:t>Whilst the proposed unit of holiday accommodation would replace the existing stables, it would not be for the same use and therefore, this exemption would not apply.</w:t>
            </w:r>
          </w:p>
          <w:p w14:paraId="615B8638" w14:textId="77777777" w:rsidR="0045763F" w:rsidRPr="0045763F" w:rsidRDefault="0045763F" w:rsidP="0045763F">
            <w:pPr>
              <w:pStyle w:val="Header"/>
              <w:contextualSpacing/>
              <w:jc w:val="both"/>
              <w:rPr>
                <w:rFonts w:asciiTheme="minorHAnsi" w:hAnsiTheme="minorHAnsi" w:cstheme="minorHAnsi"/>
                <w:bCs/>
                <w:szCs w:val="22"/>
              </w:rPr>
            </w:pPr>
          </w:p>
          <w:p w14:paraId="0F3903A3" w14:textId="77777777" w:rsidR="0045763F" w:rsidRPr="00045F0E" w:rsidRDefault="0045763F" w:rsidP="0045763F">
            <w:pPr>
              <w:pStyle w:val="Header"/>
              <w:contextualSpacing/>
              <w:jc w:val="both"/>
              <w:rPr>
                <w:rFonts w:asciiTheme="minorHAnsi" w:hAnsiTheme="minorHAnsi" w:cstheme="minorHAnsi"/>
                <w:bCs/>
                <w:i/>
                <w:szCs w:val="22"/>
              </w:rPr>
            </w:pPr>
            <w:r w:rsidRPr="00045F0E">
              <w:rPr>
                <w:rFonts w:asciiTheme="minorHAnsi" w:hAnsiTheme="minorHAnsi" w:cstheme="minorHAnsi"/>
                <w:bCs/>
                <w:i/>
                <w:szCs w:val="22"/>
              </w:rPr>
              <w:t>g)</w:t>
            </w:r>
            <w:r w:rsidRPr="00045F0E">
              <w:rPr>
                <w:rFonts w:asciiTheme="minorHAnsi" w:hAnsiTheme="minorHAnsi" w:cstheme="minorHAnsi"/>
                <w:bCs/>
                <w:i/>
                <w:szCs w:val="22"/>
              </w:rPr>
              <w:tab/>
              <w:t xml:space="preserve">limited infilling or the partial or complete redevelopment of previously developed land, whether redundant or in continuing use (excluding temporary buildings), which would: </w:t>
            </w:r>
          </w:p>
          <w:p w14:paraId="194D5045" w14:textId="77777777" w:rsidR="0045763F" w:rsidRPr="00045F0E" w:rsidRDefault="0045763F" w:rsidP="0045763F">
            <w:pPr>
              <w:pStyle w:val="Header"/>
              <w:contextualSpacing/>
              <w:jc w:val="both"/>
              <w:rPr>
                <w:rFonts w:asciiTheme="minorHAnsi" w:hAnsiTheme="minorHAnsi" w:cstheme="minorHAnsi"/>
                <w:bCs/>
                <w:i/>
                <w:szCs w:val="22"/>
              </w:rPr>
            </w:pPr>
            <w:r w:rsidRPr="00045F0E">
              <w:rPr>
                <w:rFonts w:asciiTheme="minorHAnsi" w:hAnsiTheme="minorHAnsi" w:cstheme="minorHAnsi"/>
                <w:bCs/>
                <w:i/>
                <w:szCs w:val="22"/>
              </w:rPr>
              <w:t xml:space="preserve">‒ not have a greater impact on the openness of the Green Belt than the existing development; or </w:t>
            </w:r>
          </w:p>
          <w:p w14:paraId="460D288E" w14:textId="77777777" w:rsidR="0045763F" w:rsidRPr="00045F0E" w:rsidRDefault="0045763F" w:rsidP="0045763F">
            <w:pPr>
              <w:pStyle w:val="Header"/>
              <w:contextualSpacing/>
              <w:jc w:val="both"/>
              <w:rPr>
                <w:rFonts w:asciiTheme="minorHAnsi" w:hAnsiTheme="minorHAnsi" w:cstheme="minorHAnsi"/>
                <w:bCs/>
                <w:i/>
                <w:szCs w:val="22"/>
              </w:rPr>
            </w:pPr>
            <w:r w:rsidRPr="00045F0E">
              <w:rPr>
                <w:rFonts w:asciiTheme="minorHAnsi" w:hAnsiTheme="minorHAnsi" w:cstheme="minorHAnsi"/>
                <w:bCs/>
                <w:i/>
                <w:szCs w:val="22"/>
              </w:rPr>
              <w:t xml:space="preserve">‒ not cause substantial harm to the openness of the Green Belt, where the development would re-use previously developed land and contribute to meeting an identified affordable housing need within the area of the local planning authority. </w:t>
            </w:r>
          </w:p>
          <w:p w14:paraId="01D99FFD" w14:textId="77777777" w:rsidR="0045763F" w:rsidRPr="0045763F" w:rsidRDefault="0045763F" w:rsidP="0045763F">
            <w:pPr>
              <w:pStyle w:val="Header"/>
              <w:contextualSpacing/>
              <w:jc w:val="both"/>
              <w:rPr>
                <w:rFonts w:asciiTheme="minorHAnsi" w:hAnsiTheme="minorHAnsi" w:cstheme="minorHAnsi"/>
                <w:bCs/>
                <w:szCs w:val="22"/>
              </w:rPr>
            </w:pPr>
          </w:p>
          <w:p w14:paraId="6E3B64ED" w14:textId="14DB5C91" w:rsidR="0045763F" w:rsidRPr="0045763F" w:rsidRDefault="0045763F" w:rsidP="0045763F">
            <w:pPr>
              <w:pStyle w:val="Header"/>
              <w:tabs>
                <w:tab w:val="clear" w:pos="4153"/>
                <w:tab w:val="clear" w:pos="8306"/>
              </w:tabs>
              <w:contextualSpacing/>
              <w:jc w:val="both"/>
              <w:rPr>
                <w:rFonts w:asciiTheme="minorHAnsi" w:hAnsiTheme="minorHAnsi" w:cstheme="minorHAnsi"/>
                <w:bCs/>
                <w:szCs w:val="22"/>
              </w:rPr>
            </w:pPr>
            <w:r w:rsidRPr="0045763F">
              <w:rPr>
                <w:rFonts w:asciiTheme="minorHAnsi" w:hAnsiTheme="minorHAnsi" w:cstheme="minorHAnsi"/>
                <w:bCs/>
                <w:szCs w:val="22"/>
              </w:rPr>
              <w:t>The site comprises a stable building and hardstanding. The definition of ‘previously development land’ (PDL) is contained at Annex 2 of the NPPF and states it is, ‘Land which is or was occupied by a permanent structure, including the curtilage of the developed land (although it should not be assumed that the whole of the curtilage should be developed) and any associated fixed surface infrastructure. This excludes: land that is or was last occupied by agricultural or forestry buildings; land that has been developed for minerals extraction or waste disposal by landfill, where provision for restoration has been made through development management procedures; land in built-up areas such as residential gardens, parks, recreation grounds and allotments; and land that was previously developed but where the remains of the permanent structure or fixed surface structure have blended into the landscape’.</w:t>
            </w:r>
          </w:p>
          <w:p w14:paraId="3061382C" w14:textId="2B878E78" w:rsidR="0045763F" w:rsidRDefault="0045763F" w:rsidP="00EA09F9">
            <w:pPr>
              <w:pStyle w:val="Header"/>
              <w:tabs>
                <w:tab w:val="clear" w:pos="4153"/>
                <w:tab w:val="clear" w:pos="8306"/>
              </w:tabs>
              <w:contextualSpacing/>
              <w:jc w:val="both"/>
              <w:rPr>
                <w:rFonts w:asciiTheme="minorHAnsi" w:hAnsiTheme="minorHAnsi" w:cstheme="minorHAnsi"/>
                <w:bCs/>
                <w:szCs w:val="22"/>
              </w:rPr>
            </w:pPr>
          </w:p>
          <w:p w14:paraId="1487DE9D" w14:textId="0B838C68" w:rsidR="0045763F" w:rsidRPr="0045763F" w:rsidRDefault="00671B1D" w:rsidP="00C54D47">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The stable building has been used to keep horses for recreational use; it is not an agricultural building. Furthermore, whilst the building could be considered to be within the curtilage of Jersey Farm, </w:t>
            </w:r>
            <w:r w:rsidR="00C54D47">
              <w:rPr>
                <w:rFonts w:asciiTheme="minorHAnsi" w:hAnsiTheme="minorHAnsi" w:cstheme="minorHAnsi"/>
                <w:bCs/>
                <w:szCs w:val="22"/>
              </w:rPr>
              <w:t xml:space="preserve">the land is question in not in a built-up area. </w:t>
            </w:r>
            <w:r w:rsidR="0045763F" w:rsidRPr="0045763F">
              <w:rPr>
                <w:rFonts w:asciiTheme="minorHAnsi" w:hAnsiTheme="minorHAnsi" w:cstheme="minorHAnsi"/>
                <w:bCs/>
                <w:szCs w:val="22"/>
              </w:rPr>
              <w:t xml:space="preserve">It is considered that the site constitutes PDL and </w:t>
            </w:r>
            <w:r w:rsidR="0045763F" w:rsidRPr="0045763F">
              <w:rPr>
                <w:rFonts w:asciiTheme="minorHAnsi" w:hAnsiTheme="minorHAnsi" w:cstheme="minorHAnsi"/>
                <w:bCs/>
                <w:szCs w:val="22"/>
              </w:rPr>
              <w:lastRenderedPageBreak/>
              <w:t xml:space="preserve">thus </w:t>
            </w:r>
            <w:r w:rsidR="007C4A43">
              <w:rPr>
                <w:rFonts w:asciiTheme="minorHAnsi" w:hAnsiTheme="minorHAnsi" w:cstheme="minorHAnsi"/>
                <w:bCs/>
                <w:szCs w:val="22"/>
              </w:rPr>
              <w:t>re</w:t>
            </w:r>
            <w:r w:rsidR="0045763F" w:rsidRPr="0045763F">
              <w:rPr>
                <w:rFonts w:asciiTheme="minorHAnsi" w:hAnsiTheme="minorHAnsi" w:cstheme="minorHAnsi"/>
                <w:bCs/>
                <w:szCs w:val="22"/>
              </w:rPr>
              <w:t xml:space="preserve">development of the site as proposed may be acceptable subject to </w:t>
            </w:r>
            <w:r w:rsidR="005D0554">
              <w:rPr>
                <w:rFonts w:asciiTheme="minorHAnsi" w:hAnsiTheme="minorHAnsi" w:cstheme="minorHAnsi"/>
                <w:bCs/>
                <w:szCs w:val="22"/>
              </w:rPr>
              <w:t>it</w:t>
            </w:r>
            <w:r w:rsidR="0045763F" w:rsidRPr="0045763F">
              <w:rPr>
                <w:rFonts w:asciiTheme="minorHAnsi" w:hAnsiTheme="minorHAnsi" w:cstheme="minorHAnsi"/>
                <w:bCs/>
                <w:szCs w:val="22"/>
              </w:rPr>
              <w:t xml:space="preserve"> not having a greater impact on the ‘openness’ of the Green Belt than the existing development. The term openness is taken to mean the absence of buildings or development on, over or under the land. In many cases impact on openness is measured by comparing the existing and proposed building footprint and volume. </w:t>
            </w:r>
          </w:p>
          <w:p w14:paraId="3B73F69E" w14:textId="77777777" w:rsidR="0045763F" w:rsidRPr="0045763F" w:rsidRDefault="0045763F" w:rsidP="0045763F">
            <w:pPr>
              <w:pStyle w:val="Header"/>
              <w:contextualSpacing/>
              <w:jc w:val="both"/>
              <w:rPr>
                <w:rFonts w:asciiTheme="minorHAnsi" w:hAnsiTheme="minorHAnsi" w:cstheme="minorHAnsi"/>
                <w:bCs/>
                <w:szCs w:val="22"/>
              </w:rPr>
            </w:pPr>
          </w:p>
          <w:p w14:paraId="6AC8CD1C" w14:textId="77777777" w:rsidR="0045763F" w:rsidRPr="0045763F" w:rsidRDefault="0045763F" w:rsidP="0045763F">
            <w:pPr>
              <w:pStyle w:val="Header"/>
              <w:contextualSpacing/>
              <w:jc w:val="both"/>
              <w:rPr>
                <w:rFonts w:asciiTheme="minorHAnsi" w:hAnsiTheme="minorHAnsi" w:cstheme="minorHAnsi"/>
                <w:bCs/>
                <w:szCs w:val="22"/>
              </w:rPr>
            </w:pPr>
            <w:r w:rsidRPr="0045763F">
              <w:rPr>
                <w:rFonts w:asciiTheme="minorHAnsi" w:hAnsiTheme="minorHAnsi" w:cstheme="minorHAnsi"/>
                <w:bCs/>
                <w:szCs w:val="22"/>
              </w:rPr>
              <w:t xml:space="preserve">The Local Planning Authority would generally expect redevelopment proposals to: a. have no greater impact than the existing development on the openness of the Green Belt and the purposes of including land in it, and where possible have less; b. not exceed the height of the existing buildings; and c. not occupy a larger area of the site than the existing buildings. </w:t>
            </w:r>
          </w:p>
          <w:p w14:paraId="3471907A" w14:textId="77777777" w:rsidR="0045763F" w:rsidRPr="0045763F" w:rsidRDefault="0045763F" w:rsidP="0045763F">
            <w:pPr>
              <w:pStyle w:val="Header"/>
              <w:contextualSpacing/>
              <w:jc w:val="both"/>
              <w:rPr>
                <w:rFonts w:asciiTheme="minorHAnsi" w:hAnsiTheme="minorHAnsi" w:cstheme="minorHAnsi"/>
                <w:bCs/>
                <w:szCs w:val="22"/>
              </w:rPr>
            </w:pPr>
          </w:p>
          <w:p w14:paraId="03C061FB" w14:textId="3C5571C8" w:rsidR="0045763F" w:rsidRPr="0045763F" w:rsidRDefault="0045763F" w:rsidP="0045763F">
            <w:pPr>
              <w:pStyle w:val="Header"/>
              <w:contextualSpacing/>
              <w:jc w:val="both"/>
              <w:rPr>
                <w:rFonts w:asciiTheme="minorHAnsi" w:hAnsiTheme="minorHAnsi" w:cstheme="minorHAnsi"/>
                <w:bCs/>
                <w:szCs w:val="22"/>
              </w:rPr>
            </w:pPr>
            <w:r w:rsidRPr="0045763F">
              <w:rPr>
                <w:rFonts w:asciiTheme="minorHAnsi" w:hAnsiTheme="minorHAnsi" w:cstheme="minorHAnsi"/>
                <w:bCs/>
                <w:szCs w:val="22"/>
              </w:rPr>
              <w:t>As submitted, the proposals would result in a</w:t>
            </w:r>
            <w:r w:rsidR="00671B1D">
              <w:rPr>
                <w:rFonts w:asciiTheme="minorHAnsi" w:hAnsiTheme="minorHAnsi" w:cstheme="minorHAnsi"/>
                <w:bCs/>
                <w:szCs w:val="22"/>
              </w:rPr>
              <w:t>n</w:t>
            </w:r>
            <w:r w:rsidRPr="0045763F">
              <w:rPr>
                <w:rFonts w:asciiTheme="minorHAnsi" w:hAnsiTheme="minorHAnsi" w:cstheme="minorHAnsi"/>
                <w:bCs/>
                <w:szCs w:val="22"/>
              </w:rPr>
              <w:t xml:space="preserve"> increase in the height of the building from 2.9 metres to 3.35 metres. </w:t>
            </w:r>
            <w:r w:rsidR="00176B84">
              <w:rPr>
                <w:rFonts w:asciiTheme="minorHAnsi" w:hAnsiTheme="minorHAnsi" w:cstheme="minorHAnsi"/>
                <w:bCs/>
                <w:szCs w:val="22"/>
              </w:rPr>
              <w:t>According to the submitted Design and Justification Statement t</w:t>
            </w:r>
            <w:r w:rsidRPr="0045763F">
              <w:rPr>
                <w:rFonts w:asciiTheme="minorHAnsi" w:hAnsiTheme="minorHAnsi" w:cstheme="minorHAnsi"/>
                <w:bCs/>
                <w:szCs w:val="22"/>
              </w:rPr>
              <w:t xml:space="preserve">he footprint of the building would be extended </w:t>
            </w:r>
            <w:r w:rsidR="00936142">
              <w:rPr>
                <w:rFonts w:asciiTheme="minorHAnsi" w:hAnsiTheme="minorHAnsi" w:cstheme="minorHAnsi"/>
                <w:bCs/>
                <w:szCs w:val="22"/>
              </w:rPr>
              <w:t xml:space="preserve">by around </w:t>
            </w:r>
            <w:r w:rsidR="00176B84">
              <w:rPr>
                <w:rFonts w:asciiTheme="minorHAnsi" w:hAnsiTheme="minorHAnsi" w:cstheme="minorHAnsi"/>
                <w:bCs/>
                <w:szCs w:val="22"/>
              </w:rPr>
              <w:t>7 sqm</w:t>
            </w:r>
            <w:r w:rsidR="00671B1D">
              <w:rPr>
                <w:rFonts w:asciiTheme="minorHAnsi" w:hAnsiTheme="minorHAnsi" w:cstheme="minorHAnsi"/>
                <w:bCs/>
                <w:szCs w:val="22"/>
              </w:rPr>
              <w:t xml:space="preserve">. </w:t>
            </w:r>
            <w:r w:rsidRPr="0045763F">
              <w:rPr>
                <w:rFonts w:asciiTheme="minorHAnsi" w:hAnsiTheme="minorHAnsi" w:cstheme="minorHAnsi"/>
                <w:bCs/>
                <w:szCs w:val="22"/>
              </w:rPr>
              <w:t xml:space="preserve">Having regard </w:t>
            </w:r>
            <w:r w:rsidR="00936142">
              <w:rPr>
                <w:rFonts w:asciiTheme="minorHAnsi" w:hAnsiTheme="minorHAnsi" w:cstheme="minorHAnsi"/>
                <w:bCs/>
                <w:szCs w:val="22"/>
              </w:rPr>
              <w:t>to the proposed change</w:t>
            </w:r>
            <w:r w:rsidR="00176B84">
              <w:rPr>
                <w:rFonts w:asciiTheme="minorHAnsi" w:hAnsiTheme="minorHAnsi" w:cstheme="minorHAnsi"/>
                <w:bCs/>
                <w:szCs w:val="22"/>
              </w:rPr>
              <w:t xml:space="preserve">s, </w:t>
            </w:r>
            <w:r w:rsidR="00C54D47">
              <w:rPr>
                <w:rFonts w:asciiTheme="minorHAnsi" w:hAnsiTheme="minorHAnsi" w:cstheme="minorHAnsi"/>
                <w:bCs/>
                <w:szCs w:val="22"/>
              </w:rPr>
              <w:t>i</w:t>
            </w:r>
            <w:r w:rsidR="00671B1D">
              <w:rPr>
                <w:rFonts w:asciiTheme="minorHAnsi" w:hAnsiTheme="minorHAnsi" w:cstheme="minorHAnsi"/>
                <w:bCs/>
                <w:szCs w:val="22"/>
              </w:rPr>
              <w:t xml:space="preserve">t is not considered that, when experienced in its context, the proposed replacement building would have </w:t>
            </w:r>
            <w:r w:rsidR="00671B1D" w:rsidRPr="00671B1D">
              <w:rPr>
                <w:rFonts w:asciiTheme="minorHAnsi" w:hAnsiTheme="minorHAnsi" w:cstheme="minorHAnsi"/>
                <w:bCs/>
                <w:szCs w:val="22"/>
              </w:rPr>
              <w:t>a greater impact on the openness of the Green Belt than the existing development</w:t>
            </w:r>
            <w:r w:rsidR="00671B1D">
              <w:rPr>
                <w:rFonts w:asciiTheme="minorHAnsi" w:hAnsiTheme="minorHAnsi" w:cstheme="minorHAnsi"/>
                <w:bCs/>
                <w:szCs w:val="22"/>
              </w:rPr>
              <w:t xml:space="preserve">. The </w:t>
            </w:r>
            <w:r w:rsidR="00C54D47">
              <w:rPr>
                <w:rFonts w:asciiTheme="minorHAnsi" w:hAnsiTheme="minorHAnsi" w:cstheme="minorHAnsi"/>
                <w:bCs/>
                <w:szCs w:val="22"/>
              </w:rPr>
              <w:t>proposed parking and private amenity space associated with the holiday cottage would be located within the existing yard area associated with the stables which is relatively well-contained by existing buildings that form part of the established group. As such, its use for parking and use by guests would not result in any harm to openness compared with the existing arrangement, nor would it have an undue visual impact.</w:t>
            </w:r>
          </w:p>
          <w:p w14:paraId="3D4DA008" w14:textId="56206EDF" w:rsidR="00B144EB" w:rsidRPr="0045763F" w:rsidRDefault="00B144EB" w:rsidP="0045763F">
            <w:pPr>
              <w:jc w:val="both"/>
              <w:rPr>
                <w:rFonts w:asciiTheme="minorHAnsi" w:hAnsiTheme="minorHAnsi" w:cstheme="minorHAnsi"/>
                <w:bCs/>
              </w:rPr>
            </w:pPr>
          </w:p>
        </w:tc>
      </w:tr>
      <w:tr w:rsidR="00EA09F9" w:rsidRPr="00D97BB9" w14:paraId="3A0B6B86"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192FD9" w14:textId="77777777" w:rsidR="00466AA8" w:rsidRPr="00D97BB9" w:rsidRDefault="00466AA8" w:rsidP="00466AA8">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lastRenderedPageBreak/>
              <w:t>Visual Amenity/External Appearance:</w:t>
            </w:r>
          </w:p>
          <w:p w14:paraId="084D6D41" w14:textId="77777777" w:rsidR="008B55AE" w:rsidRPr="00A27D25" w:rsidRDefault="008B55AE" w:rsidP="000C4771">
            <w:pPr>
              <w:contextualSpacing/>
              <w:jc w:val="both"/>
              <w:rPr>
                <w:rFonts w:asciiTheme="minorHAnsi" w:hAnsiTheme="minorHAnsi" w:cstheme="minorHAnsi"/>
                <w:szCs w:val="22"/>
              </w:rPr>
            </w:pPr>
            <w:r w:rsidRPr="00A27D25">
              <w:rPr>
                <w:rFonts w:asciiTheme="minorHAnsi" w:hAnsiTheme="minorHAnsi" w:cstheme="minorHAnsi"/>
                <w:szCs w:val="22"/>
              </w:rPr>
              <w:t xml:space="preserve">Key Statement EN2 of the Core Strategy states </w:t>
            </w:r>
            <w:r w:rsidRPr="00A27D25">
              <w:rPr>
                <w:rFonts w:asciiTheme="minorHAnsi" w:hAnsiTheme="minorHAnsi" w:cstheme="minorHAnsi"/>
                <w:i/>
                <w:szCs w:val="22"/>
              </w:rPr>
              <w:t xml:space="preserve">“As a principle the Council will expect development to be in keeping with the character of the landscape, reflecting local distinctiveness, vernacular style, scale, features and building materials” </w:t>
            </w:r>
            <w:r w:rsidRPr="00A27D25">
              <w:rPr>
                <w:rFonts w:asciiTheme="minorHAnsi" w:hAnsiTheme="minorHAnsi" w:cstheme="minorHAnsi"/>
                <w:szCs w:val="22"/>
              </w:rPr>
              <w:t xml:space="preserve">and Policy DMG1 is used in the determination of planning applications in terms of their general design and appearance. </w:t>
            </w:r>
            <w:r w:rsidR="00F14400" w:rsidRPr="00A27D25">
              <w:rPr>
                <w:rFonts w:asciiTheme="minorHAnsi" w:hAnsiTheme="minorHAnsi" w:cstheme="minorHAnsi"/>
                <w:szCs w:val="22"/>
              </w:rPr>
              <w:t xml:space="preserve">Policy </w:t>
            </w:r>
            <w:r w:rsidRPr="00A27D25">
              <w:rPr>
                <w:rFonts w:asciiTheme="minorHAnsi" w:hAnsiTheme="minorHAnsi" w:cstheme="minorHAnsi"/>
                <w:szCs w:val="22"/>
              </w:rPr>
              <w:t xml:space="preserve">DMG1 requires development to be of a high standard of design and be sympathetic to existing and proposed land uses in terms of size, intensity and nature, as well as scale, massing, features and style. </w:t>
            </w:r>
          </w:p>
          <w:p w14:paraId="1D650CCA" w14:textId="37962B4B" w:rsidR="008B55AE" w:rsidRDefault="008B55AE" w:rsidP="005D5A37">
            <w:pPr>
              <w:pStyle w:val="Header"/>
              <w:tabs>
                <w:tab w:val="clear" w:pos="4153"/>
                <w:tab w:val="clear" w:pos="8306"/>
              </w:tabs>
              <w:contextualSpacing/>
              <w:jc w:val="both"/>
              <w:rPr>
                <w:rFonts w:asciiTheme="minorHAnsi" w:hAnsiTheme="minorHAnsi" w:cstheme="minorHAnsi"/>
                <w:b/>
                <w:color w:val="FF0000"/>
                <w:szCs w:val="22"/>
              </w:rPr>
            </w:pPr>
          </w:p>
          <w:p w14:paraId="04C5957B" w14:textId="74B21B47" w:rsidR="005D5A37" w:rsidRPr="005D5A37" w:rsidRDefault="00A27D25" w:rsidP="005D5A37">
            <w:pPr>
              <w:jc w:val="both"/>
              <w:rPr>
                <w:rFonts w:asciiTheme="minorHAnsi" w:hAnsiTheme="minorHAnsi" w:cstheme="minorHAnsi"/>
                <w:szCs w:val="22"/>
                <w:lang w:eastAsia="en-GB"/>
              </w:rPr>
            </w:pPr>
            <w:r>
              <w:rPr>
                <w:rFonts w:ascii="CIDFont+F2" w:hAnsi="CIDFont+F2" w:cs="CIDFont+F2"/>
                <w:szCs w:val="22"/>
                <w:lang w:eastAsia="en-GB"/>
              </w:rPr>
              <w:t xml:space="preserve">In </w:t>
            </w:r>
            <w:r w:rsidRPr="005D5A37">
              <w:rPr>
                <w:rFonts w:asciiTheme="minorHAnsi" w:hAnsiTheme="minorHAnsi" w:cstheme="minorHAnsi"/>
                <w:szCs w:val="22"/>
                <w:lang w:eastAsia="en-GB"/>
              </w:rPr>
              <w:t xml:space="preserve">terms of the building’s design, it is noted that the main buildings at the site, Jersey Farm and Jersey Croft, are buildings of traditional design and are faced in natural random stone and render with a slate roof. </w:t>
            </w:r>
            <w:r w:rsidR="005D5A37" w:rsidRPr="005D5A37">
              <w:rPr>
                <w:rFonts w:asciiTheme="minorHAnsi" w:hAnsiTheme="minorHAnsi" w:cstheme="minorHAnsi"/>
                <w:szCs w:val="22"/>
                <w:lang w:eastAsia="en-GB"/>
              </w:rPr>
              <w:t>The proposed building is proposed to be faced using materials to match the existing buildings at the site.</w:t>
            </w:r>
          </w:p>
          <w:p w14:paraId="6FCD7611" w14:textId="38374D02" w:rsidR="005D5A37" w:rsidRPr="005D5A37" w:rsidRDefault="005D5A37" w:rsidP="00A27D25">
            <w:pPr>
              <w:rPr>
                <w:rFonts w:asciiTheme="minorHAnsi" w:hAnsiTheme="minorHAnsi" w:cstheme="minorHAnsi"/>
                <w:szCs w:val="22"/>
                <w:lang w:eastAsia="en-GB"/>
              </w:rPr>
            </w:pPr>
          </w:p>
          <w:p w14:paraId="1707A322" w14:textId="33A78AF0" w:rsidR="00A27D25" w:rsidRPr="005D5A37" w:rsidRDefault="005D5A37" w:rsidP="000C4771">
            <w:pPr>
              <w:pStyle w:val="Header"/>
              <w:tabs>
                <w:tab w:val="clear" w:pos="4153"/>
                <w:tab w:val="clear" w:pos="8306"/>
              </w:tabs>
              <w:contextualSpacing/>
              <w:jc w:val="both"/>
              <w:rPr>
                <w:rFonts w:asciiTheme="minorHAnsi" w:hAnsiTheme="minorHAnsi" w:cstheme="minorHAnsi"/>
                <w:szCs w:val="22"/>
              </w:rPr>
            </w:pPr>
            <w:r w:rsidRPr="005D5A37">
              <w:rPr>
                <w:rFonts w:asciiTheme="minorHAnsi" w:hAnsiTheme="minorHAnsi" w:cstheme="minorHAnsi"/>
                <w:szCs w:val="22"/>
              </w:rPr>
              <w:t>The proposed building would be located on the same footprint as the existing stables and would be physically well-related to the existing grouping at Jersey Farm. As such, it would not be seen as sporadic development.</w:t>
            </w:r>
            <w:r w:rsidR="00727170">
              <w:rPr>
                <w:rFonts w:asciiTheme="minorHAnsi" w:hAnsiTheme="minorHAnsi" w:cstheme="minorHAnsi"/>
                <w:szCs w:val="22"/>
              </w:rPr>
              <w:t xml:space="preserve"> There is a public right of way that passes directly to the south of the existing stables and therefore there would be close and unrestricted views of the proposed new building by footpath users.</w:t>
            </w:r>
            <w:r w:rsidR="00922E39">
              <w:rPr>
                <w:rFonts w:asciiTheme="minorHAnsi" w:hAnsiTheme="minorHAnsi" w:cstheme="minorHAnsi"/>
                <w:szCs w:val="22"/>
              </w:rPr>
              <w:t xml:space="preserve"> However, it is not considered that the erection of a replacement building of a similar size and scale would prove unduly harm to the appearance of the locality.</w:t>
            </w:r>
          </w:p>
          <w:p w14:paraId="03C1BA0E" w14:textId="77777777" w:rsidR="002D65DB" w:rsidRPr="00D97BB9" w:rsidRDefault="002D65DB" w:rsidP="00922E39">
            <w:pPr>
              <w:contextualSpacing/>
              <w:jc w:val="both"/>
              <w:rPr>
                <w:rFonts w:asciiTheme="minorHAnsi" w:hAnsiTheme="minorHAnsi" w:cstheme="minorHAnsi"/>
                <w:b/>
                <w:szCs w:val="22"/>
              </w:rPr>
            </w:pPr>
          </w:p>
        </w:tc>
      </w:tr>
      <w:tr w:rsidR="00EA09F9" w:rsidRPr="00D97BB9" w14:paraId="2B59FD19"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28D59C" w14:textId="77777777" w:rsidR="00466AA8" w:rsidRPr="00D97BB9" w:rsidRDefault="00466AA8" w:rsidP="00466AA8">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t>Impact Upon Residential Amenity:</w:t>
            </w:r>
          </w:p>
          <w:p w14:paraId="4396B44C" w14:textId="77777777" w:rsidR="00936142" w:rsidRDefault="00922E39" w:rsidP="00922E39">
            <w:pPr>
              <w:rPr>
                <w:rFonts w:ascii="CIDFont+F2" w:hAnsi="CIDFont+F2" w:cs="CIDFont+F2"/>
                <w:szCs w:val="22"/>
                <w:lang w:eastAsia="en-GB"/>
              </w:rPr>
            </w:pPr>
            <w:r>
              <w:rPr>
                <w:rFonts w:ascii="CIDFont+F2" w:hAnsi="CIDFont+F2" w:cs="CIDFont+F2"/>
                <w:szCs w:val="22"/>
                <w:lang w:eastAsia="en-GB"/>
              </w:rPr>
              <w:t xml:space="preserve">Taking into account the </w:t>
            </w:r>
            <w:r w:rsidR="00936142">
              <w:rPr>
                <w:rFonts w:ascii="CIDFont+F2" w:hAnsi="CIDFont+F2" w:cs="CIDFont+F2"/>
                <w:szCs w:val="22"/>
                <w:lang w:eastAsia="en-GB"/>
              </w:rPr>
              <w:t xml:space="preserve">site </w:t>
            </w:r>
            <w:r>
              <w:rPr>
                <w:rFonts w:ascii="CIDFont+F2" w:hAnsi="CIDFont+F2" w:cs="CIDFont+F2"/>
                <w:szCs w:val="22"/>
                <w:lang w:eastAsia="en-GB"/>
              </w:rPr>
              <w:t xml:space="preserve">layout, there would be potential for some loss of privacy between the north elevation of the proposed building and the facing windows of Jersey Farm given the lack of 21 metre separation distance. </w:t>
            </w:r>
          </w:p>
          <w:p w14:paraId="2C5F8862" w14:textId="77777777" w:rsidR="00936142" w:rsidRDefault="00936142" w:rsidP="00922E39">
            <w:pPr>
              <w:rPr>
                <w:rFonts w:ascii="CIDFont+F2" w:hAnsi="CIDFont+F2" w:cs="CIDFont+F2"/>
                <w:szCs w:val="22"/>
                <w:lang w:eastAsia="en-GB"/>
              </w:rPr>
            </w:pPr>
          </w:p>
          <w:p w14:paraId="44CF9DA7" w14:textId="34FACAF7" w:rsidR="00955D28" w:rsidRDefault="00936142" w:rsidP="00936142">
            <w:pPr>
              <w:rPr>
                <w:rFonts w:ascii="CIDFont+F2" w:hAnsi="CIDFont+F2" w:cs="CIDFont+F2"/>
                <w:szCs w:val="22"/>
                <w:lang w:eastAsia="en-GB"/>
              </w:rPr>
            </w:pPr>
            <w:r>
              <w:rPr>
                <w:rFonts w:ascii="CIDFont+F2" w:hAnsi="CIDFont+F2" w:cs="CIDFont+F2"/>
                <w:szCs w:val="22"/>
                <w:lang w:eastAsia="en-GB"/>
              </w:rPr>
              <w:t>Whilst it is noted that the proposed building in only of single storey height, there is a notable change in levels such that the north facing windows of the proposed holiday cottage would face directly into the first-floor windows of Jersey Farm.</w:t>
            </w:r>
          </w:p>
          <w:p w14:paraId="1449403F" w14:textId="5932748C" w:rsidR="00C54D47" w:rsidRDefault="00C54D47" w:rsidP="00936142">
            <w:pPr>
              <w:rPr>
                <w:rFonts w:ascii="CIDFont+F2" w:hAnsi="CIDFont+F2" w:cs="CIDFont+F2"/>
                <w:szCs w:val="22"/>
                <w:lang w:eastAsia="en-GB"/>
              </w:rPr>
            </w:pPr>
          </w:p>
          <w:p w14:paraId="7FADF985" w14:textId="797A8938" w:rsidR="00C54D47" w:rsidRDefault="00C54D47" w:rsidP="00936142">
            <w:pPr>
              <w:rPr>
                <w:rFonts w:ascii="CIDFont+F2" w:hAnsi="CIDFont+F2" w:cs="CIDFont+F2"/>
                <w:szCs w:val="22"/>
                <w:lang w:eastAsia="en-GB"/>
              </w:rPr>
            </w:pPr>
            <w:r>
              <w:rPr>
                <w:rFonts w:ascii="CIDFont+F2" w:hAnsi="CIDFont+F2" w:cs="CIDFont+F2"/>
                <w:szCs w:val="22"/>
                <w:lang w:eastAsia="en-GB"/>
              </w:rPr>
              <w:t>Accordingly, there have been amendments to the internal layout and elevations of the building such that there are no windows of the north elevation. This arrangement ensures that there would be no harm to the residential amenity of permanent occupants of dwellings.</w:t>
            </w:r>
          </w:p>
          <w:p w14:paraId="4588C77E" w14:textId="4312D704" w:rsidR="00936142" w:rsidRPr="00D97BB9" w:rsidRDefault="00936142" w:rsidP="00936142">
            <w:pPr>
              <w:rPr>
                <w:rFonts w:asciiTheme="minorHAnsi" w:hAnsiTheme="minorHAnsi" w:cstheme="minorHAnsi"/>
                <w:b/>
                <w:szCs w:val="22"/>
              </w:rPr>
            </w:pPr>
          </w:p>
        </w:tc>
      </w:tr>
      <w:tr w:rsidR="00EC23C7" w:rsidRPr="00D97BB9" w14:paraId="0D8A2F3D" w14:textId="77777777" w:rsidTr="00C54D47">
        <w:trPr>
          <w:gridAfter w:val="1"/>
          <w:wAfter w:w="27" w:type="dxa"/>
          <w:trHeight w:val="1351"/>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4F7722" w14:textId="77777777" w:rsidR="00FF0E41" w:rsidRPr="002A1E92" w:rsidRDefault="00FF0E41" w:rsidP="00EA09F9">
            <w:pPr>
              <w:pStyle w:val="Header"/>
              <w:tabs>
                <w:tab w:val="clear" w:pos="4153"/>
                <w:tab w:val="clear" w:pos="8306"/>
              </w:tabs>
              <w:contextualSpacing/>
              <w:jc w:val="both"/>
              <w:rPr>
                <w:rFonts w:asciiTheme="minorHAnsi" w:hAnsiTheme="minorHAnsi" w:cstheme="minorHAnsi"/>
                <w:b/>
                <w:szCs w:val="22"/>
              </w:rPr>
            </w:pPr>
            <w:r w:rsidRPr="002A1E92">
              <w:rPr>
                <w:rFonts w:asciiTheme="minorHAnsi" w:hAnsiTheme="minorHAnsi" w:cstheme="minorHAnsi"/>
                <w:b/>
                <w:szCs w:val="22"/>
              </w:rPr>
              <w:lastRenderedPageBreak/>
              <w:t>Highways</w:t>
            </w:r>
          </w:p>
          <w:p w14:paraId="74A2E687" w14:textId="65D39B24" w:rsidR="00176B84" w:rsidRPr="00C54D47" w:rsidRDefault="0096785F" w:rsidP="00C54D47">
            <w:pPr>
              <w:pStyle w:val="Header"/>
              <w:tabs>
                <w:tab w:val="clear" w:pos="4153"/>
                <w:tab w:val="clear" w:pos="8306"/>
              </w:tabs>
              <w:contextualSpacing/>
              <w:jc w:val="both"/>
              <w:rPr>
                <w:rFonts w:asciiTheme="minorHAnsi" w:hAnsiTheme="minorHAnsi" w:cstheme="minorHAnsi"/>
                <w:bCs/>
                <w:szCs w:val="22"/>
              </w:rPr>
            </w:pPr>
            <w:r w:rsidRPr="00176B84">
              <w:rPr>
                <w:rFonts w:asciiTheme="minorHAnsi" w:hAnsiTheme="minorHAnsi" w:cstheme="minorHAnsi"/>
                <w:szCs w:val="22"/>
              </w:rPr>
              <w:t xml:space="preserve">On matters of highways and </w:t>
            </w:r>
            <w:r w:rsidRPr="00176B84">
              <w:rPr>
                <w:rFonts w:asciiTheme="minorHAnsi" w:eastAsia="Frutiger-Light" w:hAnsiTheme="minorHAnsi" w:cstheme="minorHAnsi"/>
                <w:szCs w:val="22"/>
              </w:rPr>
              <w:t>accessibility,</w:t>
            </w:r>
            <w:r w:rsidR="002A1E92" w:rsidRPr="00176B84">
              <w:rPr>
                <w:rFonts w:asciiTheme="minorHAnsi" w:eastAsia="Frutiger-Light" w:hAnsiTheme="minorHAnsi" w:cstheme="minorHAnsi"/>
                <w:szCs w:val="22"/>
              </w:rPr>
              <w:t xml:space="preserve"> </w:t>
            </w:r>
            <w:r w:rsidR="00C54D47">
              <w:rPr>
                <w:rFonts w:asciiTheme="minorHAnsi" w:hAnsiTheme="minorHAnsi" w:cstheme="minorHAnsi"/>
                <w:szCs w:val="22"/>
              </w:rPr>
              <w:t>t</w:t>
            </w:r>
            <w:r w:rsidR="00176B84" w:rsidRPr="00176B84">
              <w:rPr>
                <w:rFonts w:asciiTheme="minorHAnsi" w:hAnsiTheme="minorHAnsi" w:cstheme="minorHAnsi"/>
                <w:bCs/>
                <w:szCs w:val="22"/>
              </w:rPr>
              <w:t>here would be a parking space within the site for one vehicle and space to allow a vehicle to turn. Acco</w:t>
            </w:r>
            <w:r w:rsidR="00176B84">
              <w:rPr>
                <w:rFonts w:asciiTheme="minorHAnsi" w:hAnsiTheme="minorHAnsi" w:cstheme="minorHAnsi"/>
                <w:bCs/>
                <w:szCs w:val="22"/>
              </w:rPr>
              <w:t>r</w:t>
            </w:r>
            <w:r w:rsidR="00176B84" w:rsidRPr="00176B84">
              <w:rPr>
                <w:rFonts w:asciiTheme="minorHAnsi" w:hAnsiTheme="minorHAnsi" w:cstheme="minorHAnsi"/>
                <w:bCs/>
                <w:szCs w:val="22"/>
              </w:rPr>
              <w:t>dingly, the County Highways Officer has raised no concerns.</w:t>
            </w:r>
          </w:p>
        </w:tc>
      </w:tr>
      <w:tr w:rsidR="00176B84" w:rsidRPr="00D97BB9" w14:paraId="03DBC163"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EE3C76" w14:textId="77777777" w:rsidR="00776273" w:rsidRDefault="00776273" w:rsidP="00776273">
            <w:pPr>
              <w:pStyle w:val="Header"/>
              <w:tabs>
                <w:tab w:val="clear" w:pos="4153"/>
                <w:tab w:val="clear" w:pos="8306"/>
              </w:tabs>
              <w:contextualSpacing/>
              <w:jc w:val="both"/>
              <w:rPr>
                <w:rFonts w:asciiTheme="minorHAnsi" w:hAnsiTheme="minorHAnsi" w:cstheme="minorHAnsi"/>
                <w:b/>
                <w:szCs w:val="22"/>
              </w:rPr>
            </w:pPr>
            <w:r w:rsidRPr="005549CD">
              <w:rPr>
                <w:rFonts w:asciiTheme="minorHAnsi" w:hAnsiTheme="minorHAnsi" w:cstheme="minorHAnsi"/>
                <w:b/>
                <w:szCs w:val="22"/>
              </w:rPr>
              <w:t>Ecology:</w:t>
            </w:r>
          </w:p>
          <w:p w14:paraId="63A017FB" w14:textId="77777777" w:rsidR="00176B84" w:rsidRDefault="00776273" w:rsidP="00776273">
            <w:pPr>
              <w:jc w:val="both"/>
              <w:rPr>
                <w:rFonts w:asciiTheme="minorHAnsi" w:hAnsiTheme="minorHAnsi" w:cstheme="minorHAnsi"/>
                <w:szCs w:val="22"/>
                <w:lang w:eastAsia="en-GB"/>
              </w:rPr>
            </w:pPr>
            <w:r w:rsidRPr="005549CD">
              <w:rPr>
                <w:rFonts w:asciiTheme="minorHAnsi" w:hAnsiTheme="minorHAnsi" w:cstheme="minorHAnsi"/>
                <w:szCs w:val="22"/>
              </w:rPr>
              <w:t xml:space="preserve">The application is accompanied by bat/barn owl survey which found no evidence of bats within the building, with roosting potential considered to be negligible. As such </w:t>
            </w:r>
            <w:r w:rsidRPr="005549CD">
              <w:rPr>
                <w:rFonts w:asciiTheme="minorHAnsi" w:hAnsiTheme="minorHAnsi" w:cstheme="minorHAnsi"/>
                <w:szCs w:val="22"/>
                <w:lang w:eastAsia="en-GB"/>
              </w:rPr>
              <w:t>the proposed works are unlikely to cause disturbance to bats, result in the loss of a bat roost or cause injury or death to bats.</w:t>
            </w:r>
            <w:r w:rsidRPr="005549CD">
              <w:rPr>
                <w:szCs w:val="22"/>
                <w:lang w:eastAsia="en-GB"/>
              </w:rPr>
              <w:t xml:space="preserve"> </w:t>
            </w:r>
          </w:p>
          <w:p w14:paraId="7DCB85DF" w14:textId="00CD6B75" w:rsidR="00776273" w:rsidRPr="00434074" w:rsidRDefault="00776273" w:rsidP="00776273">
            <w:pPr>
              <w:jc w:val="both"/>
              <w:rPr>
                <w:rFonts w:asciiTheme="minorHAnsi" w:hAnsiTheme="minorHAnsi" w:cstheme="minorHAnsi"/>
                <w:b/>
                <w:bCs/>
                <w:szCs w:val="22"/>
              </w:rPr>
            </w:pPr>
          </w:p>
        </w:tc>
      </w:tr>
      <w:tr w:rsidR="008807D6" w:rsidRPr="008807D6" w14:paraId="4E95E073" w14:textId="77777777" w:rsidTr="001D4F7A">
        <w:trPr>
          <w:gridAfter w:val="1"/>
          <w:wAfter w:w="27"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42E9F7" w14:textId="77777777" w:rsidR="00DD62F6" w:rsidRPr="008807D6" w:rsidRDefault="005C4317" w:rsidP="00EA09F9">
            <w:pPr>
              <w:contextualSpacing/>
              <w:jc w:val="both"/>
              <w:rPr>
                <w:rFonts w:asciiTheme="minorHAnsi" w:hAnsiTheme="minorHAnsi" w:cstheme="minorHAnsi"/>
                <w:b/>
                <w:bCs/>
                <w:szCs w:val="22"/>
              </w:rPr>
            </w:pPr>
            <w:r w:rsidRPr="008807D6">
              <w:rPr>
                <w:rFonts w:asciiTheme="minorHAnsi" w:hAnsiTheme="minorHAnsi" w:cstheme="minorHAnsi"/>
                <w:b/>
                <w:bCs/>
                <w:szCs w:val="22"/>
              </w:rPr>
              <w:t>Conclusion:</w:t>
            </w:r>
          </w:p>
          <w:p w14:paraId="25101CE8" w14:textId="75705B5D" w:rsidR="00C54D47" w:rsidRPr="008807D6" w:rsidRDefault="00C54D47" w:rsidP="00EA09F9">
            <w:pPr>
              <w:contextualSpacing/>
              <w:jc w:val="both"/>
              <w:rPr>
                <w:rFonts w:asciiTheme="minorHAnsi" w:hAnsiTheme="minorHAnsi" w:cstheme="minorHAnsi"/>
                <w:bCs/>
                <w:szCs w:val="22"/>
              </w:rPr>
            </w:pPr>
            <w:r w:rsidRPr="008807D6">
              <w:rPr>
                <w:rFonts w:asciiTheme="minorHAnsi" w:hAnsiTheme="minorHAnsi" w:cstheme="minorHAnsi"/>
                <w:bCs/>
                <w:szCs w:val="22"/>
              </w:rPr>
              <w:t>I</w:t>
            </w:r>
            <w:r w:rsidR="00434074" w:rsidRPr="008807D6">
              <w:rPr>
                <w:rFonts w:asciiTheme="minorHAnsi" w:hAnsiTheme="minorHAnsi" w:cstheme="minorHAnsi"/>
                <w:bCs/>
                <w:szCs w:val="22"/>
              </w:rPr>
              <w:t>t is accepted that the land is PDL</w:t>
            </w:r>
            <w:r w:rsidRPr="008807D6">
              <w:rPr>
                <w:rFonts w:asciiTheme="minorHAnsi" w:hAnsiTheme="minorHAnsi" w:cstheme="minorHAnsi"/>
                <w:bCs/>
                <w:szCs w:val="22"/>
              </w:rPr>
              <w:t xml:space="preserve"> and, applying the tests of Green Belt policy</w:t>
            </w:r>
            <w:r w:rsidR="00434074" w:rsidRPr="008807D6">
              <w:rPr>
                <w:rFonts w:asciiTheme="minorHAnsi" w:hAnsiTheme="minorHAnsi" w:cstheme="minorHAnsi"/>
                <w:bCs/>
                <w:szCs w:val="22"/>
              </w:rPr>
              <w:t>,</w:t>
            </w:r>
            <w:r w:rsidRPr="008807D6">
              <w:rPr>
                <w:rFonts w:asciiTheme="minorHAnsi" w:hAnsiTheme="minorHAnsi" w:cstheme="minorHAnsi"/>
                <w:bCs/>
                <w:szCs w:val="22"/>
              </w:rPr>
              <w:t xml:space="preserve"> the proposed development would not be inappropriate development in the Green Belt. Whilst there would be an increase in height and volume compared with the existing stables, it is not thought that the proposed holiday cottage would result in any harm to openness.</w:t>
            </w:r>
          </w:p>
          <w:p w14:paraId="6B77E339" w14:textId="77777777" w:rsidR="00C54D47" w:rsidRPr="008807D6" w:rsidRDefault="00C54D47" w:rsidP="00EA09F9">
            <w:pPr>
              <w:contextualSpacing/>
              <w:jc w:val="both"/>
              <w:rPr>
                <w:rFonts w:asciiTheme="minorHAnsi" w:hAnsiTheme="minorHAnsi" w:cstheme="minorHAnsi"/>
                <w:bCs/>
                <w:szCs w:val="22"/>
              </w:rPr>
            </w:pPr>
          </w:p>
          <w:p w14:paraId="184EDFAA" w14:textId="77777777" w:rsidR="00DD62F6" w:rsidRPr="008807D6" w:rsidRDefault="00C54D47" w:rsidP="007965D5">
            <w:pPr>
              <w:contextualSpacing/>
              <w:jc w:val="both"/>
              <w:rPr>
                <w:rFonts w:asciiTheme="minorHAnsi" w:hAnsiTheme="minorHAnsi" w:cstheme="minorHAnsi"/>
                <w:bCs/>
                <w:szCs w:val="22"/>
              </w:rPr>
            </w:pPr>
            <w:r w:rsidRPr="008807D6">
              <w:rPr>
                <w:rFonts w:asciiTheme="minorHAnsi" w:hAnsiTheme="minorHAnsi" w:cstheme="minorHAnsi"/>
                <w:bCs/>
                <w:szCs w:val="22"/>
              </w:rPr>
              <w:t>The provision of a single</w:t>
            </w:r>
            <w:r w:rsidR="008807D6" w:rsidRPr="008807D6">
              <w:rPr>
                <w:rFonts w:asciiTheme="minorHAnsi" w:hAnsiTheme="minorHAnsi" w:cstheme="minorHAnsi"/>
                <w:bCs/>
                <w:szCs w:val="22"/>
              </w:rPr>
              <w:t>,</w:t>
            </w:r>
            <w:r w:rsidRPr="008807D6">
              <w:rPr>
                <w:rFonts w:asciiTheme="minorHAnsi" w:hAnsiTheme="minorHAnsi" w:cstheme="minorHAnsi"/>
                <w:bCs/>
                <w:szCs w:val="22"/>
              </w:rPr>
              <w:t xml:space="preserve"> modest unit of holiday accommodation </w:t>
            </w:r>
            <w:r w:rsidR="008807D6" w:rsidRPr="008807D6">
              <w:rPr>
                <w:rFonts w:asciiTheme="minorHAnsi" w:hAnsiTheme="minorHAnsi" w:cstheme="minorHAnsi"/>
                <w:bCs/>
                <w:szCs w:val="22"/>
              </w:rPr>
              <w:t>in this location is compliant with the Council’s tourism-related policies and therefore it is recommended that the application be approved.</w:t>
            </w:r>
          </w:p>
          <w:p w14:paraId="367556F6" w14:textId="0A19BC06" w:rsidR="008807D6" w:rsidRPr="008807D6" w:rsidRDefault="008807D6" w:rsidP="007965D5">
            <w:pPr>
              <w:contextualSpacing/>
              <w:jc w:val="both"/>
              <w:rPr>
                <w:rFonts w:asciiTheme="minorHAnsi" w:hAnsiTheme="minorHAnsi" w:cstheme="minorHAnsi"/>
                <w:bCs/>
                <w:szCs w:val="22"/>
              </w:rPr>
            </w:pPr>
          </w:p>
        </w:tc>
      </w:tr>
      <w:tr w:rsidR="00EC23C7" w:rsidRPr="00D97BB9" w14:paraId="0BC8A579" w14:textId="77777777" w:rsidTr="001D4F7A">
        <w:trPr>
          <w:gridAfter w:val="1"/>
          <w:wAfter w:w="27" w:type="dxa"/>
          <w:jc w:val="center"/>
        </w:trPr>
        <w:tc>
          <w:tcPr>
            <w:tcW w:w="2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D087BF" w14:textId="77777777" w:rsidR="00EC23C7" w:rsidRPr="007965D5" w:rsidRDefault="00EC23C7">
            <w:pPr>
              <w:rPr>
                <w:rFonts w:asciiTheme="minorHAnsi" w:hAnsiTheme="minorHAnsi" w:cstheme="minorHAnsi"/>
                <w:b/>
                <w:bCs/>
                <w:szCs w:val="22"/>
              </w:rPr>
            </w:pPr>
            <w:r w:rsidRPr="007965D5">
              <w:rPr>
                <w:rFonts w:asciiTheme="minorHAnsi" w:hAnsiTheme="minorHAnsi" w:cstheme="minorHAnsi"/>
                <w:b/>
                <w:szCs w:val="22"/>
              </w:rPr>
              <w:t>RECOMMENDATION</w:t>
            </w:r>
            <w:r w:rsidRPr="007965D5">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4A0C5" w14:textId="739A8629" w:rsidR="00EC23C7" w:rsidRPr="007965D5" w:rsidRDefault="007E0D23" w:rsidP="000D04D4">
            <w:pPr>
              <w:rPr>
                <w:rFonts w:asciiTheme="minorHAnsi" w:hAnsiTheme="minorHAnsi" w:cstheme="minorHAnsi"/>
                <w:bCs/>
                <w:szCs w:val="22"/>
              </w:rPr>
            </w:pPr>
            <w:r w:rsidRPr="007965D5">
              <w:rPr>
                <w:rFonts w:asciiTheme="minorHAnsi" w:hAnsiTheme="minorHAnsi" w:cstheme="minorHAnsi"/>
                <w:bCs/>
                <w:szCs w:val="22"/>
              </w:rPr>
              <w:t xml:space="preserve">That </w:t>
            </w:r>
            <w:r w:rsidR="00EC23C7" w:rsidRPr="007965D5">
              <w:rPr>
                <w:rFonts w:asciiTheme="minorHAnsi" w:hAnsiTheme="minorHAnsi" w:cstheme="minorHAnsi"/>
                <w:bCs/>
                <w:szCs w:val="22"/>
              </w:rPr>
              <w:t xml:space="preserve">planning </w:t>
            </w:r>
            <w:r w:rsidR="00AC2E6B" w:rsidRPr="007965D5">
              <w:rPr>
                <w:rFonts w:asciiTheme="minorHAnsi" w:hAnsiTheme="minorHAnsi" w:cstheme="minorHAnsi"/>
                <w:bCs/>
                <w:szCs w:val="22"/>
              </w:rPr>
              <w:t xml:space="preserve">consent be </w:t>
            </w:r>
            <w:r w:rsidR="008807D6">
              <w:rPr>
                <w:rFonts w:asciiTheme="minorHAnsi" w:hAnsiTheme="minorHAnsi" w:cstheme="minorHAnsi"/>
                <w:bCs/>
                <w:szCs w:val="22"/>
              </w:rPr>
              <w:t>granted.</w:t>
            </w:r>
          </w:p>
        </w:tc>
      </w:tr>
    </w:tbl>
    <w:p w14:paraId="7FD49D9D" w14:textId="77777777" w:rsidR="00B4762F" w:rsidRPr="00D2449B" w:rsidRDefault="00B4762F">
      <w:pPr>
        <w:rPr>
          <w:rFonts w:ascii="Calibri" w:hAnsi="Calibri"/>
          <w:szCs w:val="22"/>
        </w:rPr>
      </w:pPr>
    </w:p>
    <w:sectPr w:rsidR="00B4762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609"/>
    <w:multiLevelType w:val="hybridMultilevel"/>
    <w:tmpl w:val="AD5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3F3F"/>
    <w:multiLevelType w:val="hybridMultilevel"/>
    <w:tmpl w:val="0858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51705"/>
    <w:multiLevelType w:val="hybridMultilevel"/>
    <w:tmpl w:val="7DEE8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021419"/>
    <w:multiLevelType w:val="hybridMultilevel"/>
    <w:tmpl w:val="792CE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94F0B"/>
    <w:multiLevelType w:val="hybridMultilevel"/>
    <w:tmpl w:val="2654A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A145CA"/>
    <w:multiLevelType w:val="hybridMultilevel"/>
    <w:tmpl w:val="57DC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03B58"/>
    <w:multiLevelType w:val="hybridMultilevel"/>
    <w:tmpl w:val="C68ED3E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32F6D28"/>
    <w:multiLevelType w:val="hybridMultilevel"/>
    <w:tmpl w:val="AEE8B11C"/>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F22B45"/>
    <w:multiLevelType w:val="hybridMultilevel"/>
    <w:tmpl w:val="FAEE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B6AFE"/>
    <w:multiLevelType w:val="hybridMultilevel"/>
    <w:tmpl w:val="B5BA2054"/>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F70076"/>
    <w:multiLevelType w:val="hybridMultilevel"/>
    <w:tmpl w:val="D7A20B30"/>
    <w:lvl w:ilvl="0" w:tplc="A47E10E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C332A"/>
    <w:multiLevelType w:val="multilevel"/>
    <w:tmpl w:val="B008D158"/>
    <w:lvl w:ilvl="0">
      <w:start w:val="5"/>
      <w:numFmt w:val="decimal"/>
      <w:lvlText w:val="%1"/>
      <w:lvlJc w:val="left"/>
      <w:pPr>
        <w:tabs>
          <w:tab w:val="num" w:pos="480"/>
        </w:tabs>
        <w:ind w:left="480" w:hanging="480"/>
      </w:pPr>
      <w:rPr>
        <w:rFonts w:eastAsia="Times New Roman" w:hint="default"/>
      </w:rPr>
    </w:lvl>
    <w:lvl w:ilvl="1">
      <w:start w:val="3"/>
      <w:numFmt w:val="decimal"/>
      <w:lvlText w:val="%1.%2"/>
      <w:lvlJc w:val="left"/>
      <w:pPr>
        <w:tabs>
          <w:tab w:val="num" w:pos="840"/>
        </w:tabs>
        <w:ind w:left="840" w:hanging="480"/>
      </w:pPr>
      <w:rPr>
        <w:rFonts w:eastAsia="Times New Roman" w:hint="default"/>
      </w:rPr>
    </w:lvl>
    <w:lvl w:ilvl="2">
      <w:start w:val="2"/>
      <w:numFmt w:val="decimal"/>
      <w:lvlText w:val="%1.%2.%3"/>
      <w:lvlJc w:val="left"/>
      <w:pPr>
        <w:tabs>
          <w:tab w:val="num" w:pos="1380"/>
        </w:tabs>
        <w:ind w:left="1380" w:hanging="720"/>
      </w:pPr>
      <w:rPr>
        <w:rFonts w:eastAsia="Times New Roman" w:hint="default"/>
        <w:color w:val="auto"/>
      </w:rPr>
    </w:lvl>
    <w:lvl w:ilvl="3">
      <w:start w:val="1"/>
      <w:numFmt w:val="decimal"/>
      <w:lvlText w:val="%1.%2.%3.%4"/>
      <w:lvlJc w:val="left"/>
      <w:pPr>
        <w:tabs>
          <w:tab w:val="num" w:pos="1800"/>
        </w:tabs>
        <w:ind w:left="1800" w:hanging="720"/>
      </w:pPr>
      <w:rPr>
        <w:rFonts w:eastAsia="Times New Roman"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2" w15:restartNumberingAfterBreak="0">
    <w:nsid w:val="75947214"/>
    <w:multiLevelType w:val="hybridMultilevel"/>
    <w:tmpl w:val="4F861F2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3"/>
  </w:num>
  <w:num w:numId="5">
    <w:abstractNumId w:val="6"/>
  </w:num>
  <w:num w:numId="6">
    <w:abstractNumId w:val="12"/>
  </w:num>
  <w:num w:numId="7">
    <w:abstractNumId w:val="8"/>
  </w:num>
  <w:num w:numId="8">
    <w:abstractNumId w:val="1"/>
  </w:num>
  <w:num w:numId="9">
    <w:abstractNumId w:val="11"/>
  </w:num>
  <w:num w:numId="10">
    <w:abstractNumId w:val="5"/>
  </w:num>
  <w:num w:numId="11">
    <w:abstractNumId w:val="2"/>
  </w:num>
  <w:num w:numId="12">
    <w:abstractNumId w:val="4"/>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6ED1"/>
    <w:rsid w:val="00011FB3"/>
    <w:rsid w:val="000131A9"/>
    <w:rsid w:val="00015CB7"/>
    <w:rsid w:val="0002209F"/>
    <w:rsid w:val="00026EF2"/>
    <w:rsid w:val="00045F0E"/>
    <w:rsid w:val="0006135F"/>
    <w:rsid w:val="000636DD"/>
    <w:rsid w:val="00073235"/>
    <w:rsid w:val="000A5E01"/>
    <w:rsid w:val="000B518C"/>
    <w:rsid w:val="000B6E69"/>
    <w:rsid w:val="000C4771"/>
    <w:rsid w:val="000D04D4"/>
    <w:rsid w:val="000D61E9"/>
    <w:rsid w:val="000D6856"/>
    <w:rsid w:val="000E7C41"/>
    <w:rsid w:val="000F06EC"/>
    <w:rsid w:val="0010121A"/>
    <w:rsid w:val="001076FF"/>
    <w:rsid w:val="00107812"/>
    <w:rsid w:val="00114FE0"/>
    <w:rsid w:val="00122996"/>
    <w:rsid w:val="00126337"/>
    <w:rsid w:val="00136530"/>
    <w:rsid w:val="00157CA5"/>
    <w:rsid w:val="00167EB6"/>
    <w:rsid w:val="001738E2"/>
    <w:rsid w:val="00176B84"/>
    <w:rsid w:val="0019128B"/>
    <w:rsid w:val="001931BB"/>
    <w:rsid w:val="00197A1E"/>
    <w:rsid w:val="001B2B3B"/>
    <w:rsid w:val="001C63BC"/>
    <w:rsid w:val="001C76EF"/>
    <w:rsid w:val="001D4F7A"/>
    <w:rsid w:val="001D68E6"/>
    <w:rsid w:val="001F051E"/>
    <w:rsid w:val="001F375B"/>
    <w:rsid w:val="001F5E74"/>
    <w:rsid w:val="00204822"/>
    <w:rsid w:val="00206C24"/>
    <w:rsid w:val="00211ACD"/>
    <w:rsid w:val="00222179"/>
    <w:rsid w:val="00232D58"/>
    <w:rsid w:val="00232E02"/>
    <w:rsid w:val="00233A74"/>
    <w:rsid w:val="00237831"/>
    <w:rsid w:val="00250879"/>
    <w:rsid w:val="002509C3"/>
    <w:rsid w:val="002530F3"/>
    <w:rsid w:val="002754DB"/>
    <w:rsid w:val="00277D66"/>
    <w:rsid w:val="002A01CF"/>
    <w:rsid w:val="002A1E92"/>
    <w:rsid w:val="002C2F72"/>
    <w:rsid w:val="002D65DB"/>
    <w:rsid w:val="002F2023"/>
    <w:rsid w:val="00317116"/>
    <w:rsid w:val="003248D2"/>
    <w:rsid w:val="0034013C"/>
    <w:rsid w:val="003571B6"/>
    <w:rsid w:val="00376688"/>
    <w:rsid w:val="003A1752"/>
    <w:rsid w:val="003D590B"/>
    <w:rsid w:val="003E1B1F"/>
    <w:rsid w:val="003F1369"/>
    <w:rsid w:val="00404932"/>
    <w:rsid w:val="00414BE2"/>
    <w:rsid w:val="004172AA"/>
    <w:rsid w:val="00434074"/>
    <w:rsid w:val="0045763F"/>
    <w:rsid w:val="00466AA8"/>
    <w:rsid w:val="00474EDF"/>
    <w:rsid w:val="00486361"/>
    <w:rsid w:val="004A5EA9"/>
    <w:rsid w:val="004C4C76"/>
    <w:rsid w:val="004C4FA7"/>
    <w:rsid w:val="004D4C66"/>
    <w:rsid w:val="004D7207"/>
    <w:rsid w:val="004F0649"/>
    <w:rsid w:val="00512A7A"/>
    <w:rsid w:val="00513368"/>
    <w:rsid w:val="00526CAE"/>
    <w:rsid w:val="00532DE3"/>
    <w:rsid w:val="0054612F"/>
    <w:rsid w:val="00550C53"/>
    <w:rsid w:val="005819FA"/>
    <w:rsid w:val="005A7A56"/>
    <w:rsid w:val="005C0CF8"/>
    <w:rsid w:val="005C4317"/>
    <w:rsid w:val="005D0554"/>
    <w:rsid w:val="005D54B2"/>
    <w:rsid w:val="005D5A37"/>
    <w:rsid w:val="005E3DE1"/>
    <w:rsid w:val="005E427C"/>
    <w:rsid w:val="005F2AAA"/>
    <w:rsid w:val="0061426D"/>
    <w:rsid w:val="0062296F"/>
    <w:rsid w:val="00642F53"/>
    <w:rsid w:val="00662C57"/>
    <w:rsid w:val="00671B1D"/>
    <w:rsid w:val="00692B60"/>
    <w:rsid w:val="006C2BFA"/>
    <w:rsid w:val="006D096F"/>
    <w:rsid w:val="006D23AB"/>
    <w:rsid w:val="006E10EB"/>
    <w:rsid w:val="006E6E1D"/>
    <w:rsid w:val="0070054B"/>
    <w:rsid w:val="00700CE8"/>
    <w:rsid w:val="007054C9"/>
    <w:rsid w:val="00727170"/>
    <w:rsid w:val="00731C4B"/>
    <w:rsid w:val="007428C6"/>
    <w:rsid w:val="00750EB4"/>
    <w:rsid w:val="00752747"/>
    <w:rsid w:val="0075675C"/>
    <w:rsid w:val="00776273"/>
    <w:rsid w:val="00776AE2"/>
    <w:rsid w:val="00780B09"/>
    <w:rsid w:val="00792A34"/>
    <w:rsid w:val="007965D5"/>
    <w:rsid w:val="007A36E1"/>
    <w:rsid w:val="007B2060"/>
    <w:rsid w:val="007B6BA5"/>
    <w:rsid w:val="007C4A43"/>
    <w:rsid w:val="007C6D01"/>
    <w:rsid w:val="007D192A"/>
    <w:rsid w:val="007D7ABA"/>
    <w:rsid w:val="007E0D23"/>
    <w:rsid w:val="007E5D43"/>
    <w:rsid w:val="007F32D3"/>
    <w:rsid w:val="008114EC"/>
    <w:rsid w:val="00824FB8"/>
    <w:rsid w:val="008334C2"/>
    <w:rsid w:val="0084255E"/>
    <w:rsid w:val="00846D24"/>
    <w:rsid w:val="008559FF"/>
    <w:rsid w:val="00861685"/>
    <w:rsid w:val="008770B8"/>
    <w:rsid w:val="008807D6"/>
    <w:rsid w:val="00890413"/>
    <w:rsid w:val="008A28C8"/>
    <w:rsid w:val="008A5BEA"/>
    <w:rsid w:val="008B55AE"/>
    <w:rsid w:val="008C73A6"/>
    <w:rsid w:val="008D2693"/>
    <w:rsid w:val="008F259A"/>
    <w:rsid w:val="00906651"/>
    <w:rsid w:val="00922E39"/>
    <w:rsid w:val="00936142"/>
    <w:rsid w:val="00937A86"/>
    <w:rsid w:val="00941009"/>
    <w:rsid w:val="00941EA2"/>
    <w:rsid w:val="0094349A"/>
    <w:rsid w:val="00943EC3"/>
    <w:rsid w:val="009537CA"/>
    <w:rsid w:val="00954A0B"/>
    <w:rsid w:val="00955D28"/>
    <w:rsid w:val="0096785F"/>
    <w:rsid w:val="00972581"/>
    <w:rsid w:val="009847AF"/>
    <w:rsid w:val="009D0E56"/>
    <w:rsid w:val="00A27D25"/>
    <w:rsid w:val="00A44D0F"/>
    <w:rsid w:val="00A501EC"/>
    <w:rsid w:val="00A579BB"/>
    <w:rsid w:val="00A61F5C"/>
    <w:rsid w:val="00A63D55"/>
    <w:rsid w:val="00A67737"/>
    <w:rsid w:val="00A919BC"/>
    <w:rsid w:val="00A95D89"/>
    <w:rsid w:val="00A961A5"/>
    <w:rsid w:val="00AA020F"/>
    <w:rsid w:val="00AA2422"/>
    <w:rsid w:val="00AB1EBB"/>
    <w:rsid w:val="00AB4FC4"/>
    <w:rsid w:val="00AC2E6B"/>
    <w:rsid w:val="00AD0D1C"/>
    <w:rsid w:val="00AE00DD"/>
    <w:rsid w:val="00AF4B13"/>
    <w:rsid w:val="00B04C39"/>
    <w:rsid w:val="00B144EB"/>
    <w:rsid w:val="00B32255"/>
    <w:rsid w:val="00B32CD3"/>
    <w:rsid w:val="00B4762F"/>
    <w:rsid w:val="00B52670"/>
    <w:rsid w:val="00B63AC0"/>
    <w:rsid w:val="00B66799"/>
    <w:rsid w:val="00B74CCB"/>
    <w:rsid w:val="00B93A80"/>
    <w:rsid w:val="00BA3472"/>
    <w:rsid w:val="00BB29E9"/>
    <w:rsid w:val="00BC4276"/>
    <w:rsid w:val="00BC77AA"/>
    <w:rsid w:val="00BD3F03"/>
    <w:rsid w:val="00BF1A50"/>
    <w:rsid w:val="00BF5E3F"/>
    <w:rsid w:val="00C01D47"/>
    <w:rsid w:val="00C062F5"/>
    <w:rsid w:val="00C154AD"/>
    <w:rsid w:val="00C16B26"/>
    <w:rsid w:val="00C451B5"/>
    <w:rsid w:val="00C54D47"/>
    <w:rsid w:val="00C618DB"/>
    <w:rsid w:val="00C73C63"/>
    <w:rsid w:val="00C93208"/>
    <w:rsid w:val="00CB6EAC"/>
    <w:rsid w:val="00CB728F"/>
    <w:rsid w:val="00CC34C2"/>
    <w:rsid w:val="00CF5D78"/>
    <w:rsid w:val="00CF6936"/>
    <w:rsid w:val="00D0159F"/>
    <w:rsid w:val="00D07942"/>
    <w:rsid w:val="00D11007"/>
    <w:rsid w:val="00D117CA"/>
    <w:rsid w:val="00D20F38"/>
    <w:rsid w:val="00D2449B"/>
    <w:rsid w:val="00D52E0E"/>
    <w:rsid w:val="00D652B0"/>
    <w:rsid w:val="00D72877"/>
    <w:rsid w:val="00D86286"/>
    <w:rsid w:val="00D87AF1"/>
    <w:rsid w:val="00D97BB9"/>
    <w:rsid w:val="00DB0A2F"/>
    <w:rsid w:val="00DC09A7"/>
    <w:rsid w:val="00DC4403"/>
    <w:rsid w:val="00DD04FF"/>
    <w:rsid w:val="00DD17E9"/>
    <w:rsid w:val="00DD62F6"/>
    <w:rsid w:val="00DE4747"/>
    <w:rsid w:val="00DF137D"/>
    <w:rsid w:val="00DF25FD"/>
    <w:rsid w:val="00E06786"/>
    <w:rsid w:val="00E11E61"/>
    <w:rsid w:val="00E36A95"/>
    <w:rsid w:val="00E45094"/>
    <w:rsid w:val="00E66534"/>
    <w:rsid w:val="00E71563"/>
    <w:rsid w:val="00EA09F9"/>
    <w:rsid w:val="00EA1EBE"/>
    <w:rsid w:val="00EA6AE0"/>
    <w:rsid w:val="00EC23C7"/>
    <w:rsid w:val="00EC2723"/>
    <w:rsid w:val="00ED19C0"/>
    <w:rsid w:val="00ED782B"/>
    <w:rsid w:val="00EE164C"/>
    <w:rsid w:val="00EE3BDB"/>
    <w:rsid w:val="00EE51D2"/>
    <w:rsid w:val="00EF1A56"/>
    <w:rsid w:val="00F0030B"/>
    <w:rsid w:val="00F14400"/>
    <w:rsid w:val="00F20EF2"/>
    <w:rsid w:val="00F21CB9"/>
    <w:rsid w:val="00F4395B"/>
    <w:rsid w:val="00F55866"/>
    <w:rsid w:val="00F77EB1"/>
    <w:rsid w:val="00F86818"/>
    <w:rsid w:val="00F92DE4"/>
    <w:rsid w:val="00FA1DE2"/>
    <w:rsid w:val="00FA6E12"/>
    <w:rsid w:val="00FD2388"/>
    <w:rsid w:val="00FF0E41"/>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C242"/>
  <w15:docId w15:val="{A1DA4CEF-0A19-460E-B075-64BB0EF6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Indent1">
    <w:name w:val="Indent 1"/>
    <w:basedOn w:val="Normal"/>
    <w:rsid w:val="006E10EB"/>
    <w:pPr>
      <w:ind w:left="720" w:hanging="720"/>
      <w:jc w:val="both"/>
    </w:pPr>
  </w:style>
  <w:style w:type="paragraph" w:styleId="BodyTextIndent">
    <w:name w:val="Body Text Indent"/>
    <w:basedOn w:val="Normal"/>
    <w:link w:val="BodyTextIndentChar"/>
    <w:rsid w:val="000D6856"/>
    <w:pPr>
      <w:overflowPunct/>
      <w:autoSpaceDE/>
      <w:autoSpaceDN/>
      <w:adjustRightInd/>
      <w:spacing w:after="120"/>
      <w:ind w:left="283"/>
      <w:textAlignment w:val="auto"/>
    </w:pPr>
    <w:rPr>
      <w:rFonts w:ascii="Times New Roman" w:hAnsi="Times New Roman"/>
      <w:sz w:val="24"/>
      <w:szCs w:val="24"/>
      <w:lang w:eastAsia="en-GB"/>
    </w:rPr>
  </w:style>
  <w:style w:type="character" w:customStyle="1" w:styleId="BodyTextIndentChar">
    <w:name w:val="Body Text Indent Char"/>
    <w:basedOn w:val="DefaultParagraphFont"/>
    <w:link w:val="BodyTextIndent"/>
    <w:rsid w:val="000D6856"/>
    <w:rPr>
      <w:rFonts w:ascii="Times New Roman" w:eastAsia="Times New Roman" w:hAnsi="Times New Roman" w:cs="Times New Roman"/>
      <w:sz w:val="24"/>
      <w:szCs w:val="24"/>
      <w:lang w:eastAsia="en-GB"/>
    </w:rPr>
  </w:style>
  <w:style w:type="paragraph" w:customStyle="1" w:styleId="PLANNING2">
    <w:name w:val="PLANNING 2"/>
    <w:basedOn w:val="Normal"/>
    <w:qFormat/>
    <w:rsid w:val="0096785F"/>
    <w:pPr>
      <w:overflowPunct/>
      <w:autoSpaceDE/>
      <w:autoSpaceDN/>
      <w:adjustRightInd/>
      <w:ind w:left="1440" w:hanging="720"/>
      <w:jc w:val="both"/>
      <w:textAlignment w:val="auto"/>
    </w:pPr>
    <w:rPr>
      <w:szCs w:val="24"/>
    </w:rPr>
  </w:style>
  <w:style w:type="paragraph" w:customStyle="1" w:styleId="Default">
    <w:name w:val="Default"/>
    <w:rsid w:val="00D652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3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9714-199C-45A1-9BDC-33340215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2020-07-29T14:16:00Z</cp:lastPrinted>
  <dcterms:created xsi:type="dcterms:W3CDTF">2021-06-25T09:29:00Z</dcterms:created>
  <dcterms:modified xsi:type="dcterms:W3CDTF">2021-06-25T09:29:00Z</dcterms:modified>
</cp:coreProperties>
</file>