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5580E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440"/>
        <w:gridCol w:w="1713"/>
        <w:gridCol w:w="1456"/>
        <w:gridCol w:w="1404"/>
        <w:gridCol w:w="1713"/>
        <w:gridCol w:w="1657"/>
        <w:gridCol w:w="56"/>
      </w:tblGrid>
      <w:tr w:rsidR="002F3ADA" w:rsidRPr="00DD62CA" w14:paraId="465C2DAC" w14:textId="77777777">
        <w:trPr>
          <w:cantSplit/>
        </w:trPr>
        <w:tc>
          <w:tcPr>
            <w:tcW w:w="6983" w:type="dxa"/>
            <w:gridSpan w:val="6"/>
          </w:tcPr>
          <w:p w14:paraId="423EE447"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01C840C7" w14:textId="77777777" w:rsidR="002F3ADA" w:rsidRPr="00DD62CA" w:rsidRDefault="002F3ADA">
            <w:pPr>
              <w:rPr>
                <w:rFonts w:ascii="Calibri" w:hAnsi="Calibri"/>
                <w:sz w:val="24"/>
                <w:szCs w:val="24"/>
              </w:rPr>
            </w:pPr>
          </w:p>
        </w:tc>
        <w:tc>
          <w:tcPr>
            <w:tcW w:w="1713" w:type="dxa"/>
            <w:gridSpan w:val="2"/>
          </w:tcPr>
          <w:p w14:paraId="7A69C29E" w14:textId="77777777" w:rsidR="002F3ADA" w:rsidRPr="00DD62CA" w:rsidRDefault="002F3ADA">
            <w:pPr>
              <w:rPr>
                <w:rFonts w:ascii="Calibri" w:hAnsi="Calibri"/>
                <w:sz w:val="24"/>
                <w:szCs w:val="24"/>
              </w:rPr>
            </w:pPr>
          </w:p>
        </w:tc>
      </w:tr>
      <w:tr w:rsidR="002F3ADA" w:rsidRPr="00DD62CA" w14:paraId="429B51FB" w14:textId="77777777">
        <w:trPr>
          <w:cantSplit/>
        </w:trPr>
        <w:tc>
          <w:tcPr>
            <w:tcW w:w="4123" w:type="dxa"/>
            <w:gridSpan w:val="4"/>
          </w:tcPr>
          <w:p w14:paraId="5950FD38"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130F301A" w14:textId="77777777" w:rsidR="002F3ADA" w:rsidRPr="00DD62CA" w:rsidRDefault="002F3ADA">
            <w:pPr>
              <w:rPr>
                <w:rFonts w:ascii="Calibri" w:hAnsi="Calibri"/>
                <w:sz w:val="24"/>
                <w:szCs w:val="24"/>
              </w:rPr>
            </w:pPr>
          </w:p>
        </w:tc>
        <w:tc>
          <w:tcPr>
            <w:tcW w:w="1404" w:type="dxa"/>
          </w:tcPr>
          <w:p w14:paraId="48B5185B" w14:textId="77777777" w:rsidR="002F3ADA" w:rsidRPr="00DD62CA" w:rsidRDefault="002F3ADA">
            <w:pPr>
              <w:rPr>
                <w:rFonts w:ascii="Calibri" w:hAnsi="Calibri"/>
                <w:sz w:val="24"/>
                <w:szCs w:val="24"/>
              </w:rPr>
            </w:pPr>
          </w:p>
        </w:tc>
        <w:tc>
          <w:tcPr>
            <w:tcW w:w="1713" w:type="dxa"/>
          </w:tcPr>
          <w:p w14:paraId="66743CC3" w14:textId="77777777" w:rsidR="002F3ADA" w:rsidRPr="00DD62CA" w:rsidRDefault="002F3ADA">
            <w:pPr>
              <w:rPr>
                <w:rFonts w:ascii="Calibri" w:hAnsi="Calibri"/>
                <w:sz w:val="24"/>
                <w:szCs w:val="24"/>
              </w:rPr>
            </w:pPr>
          </w:p>
        </w:tc>
        <w:tc>
          <w:tcPr>
            <w:tcW w:w="1713" w:type="dxa"/>
            <w:gridSpan w:val="2"/>
          </w:tcPr>
          <w:p w14:paraId="144BFFA6" w14:textId="77777777" w:rsidR="002F3ADA" w:rsidRPr="00DD62CA" w:rsidRDefault="002F3ADA">
            <w:pPr>
              <w:rPr>
                <w:rFonts w:ascii="Calibri" w:hAnsi="Calibri"/>
                <w:sz w:val="24"/>
                <w:szCs w:val="24"/>
              </w:rPr>
            </w:pPr>
          </w:p>
        </w:tc>
      </w:tr>
      <w:tr w:rsidR="00C00AD7" w:rsidRPr="00DD62CA" w14:paraId="5727E2EC" w14:textId="77777777" w:rsidTr="00111C12">
        <w:trPr>
          <w:cantSplit/>
        </w:trPr>
        <w:tc>
          <w:tcPr>
            <w:tcW w:w="6983" w:type="dxa"/>
            <w:gridSpan w:val="6"/>
          </w:tcPr>
          <w:p w14:paraId="5BA4D962"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E345E37" w14:textId="77777777" w:rsidR="00C00AD7" w:rsidRPr="00DD62CA" w:rsidRDefault="00C00AD7">
            <w:pPr>
              <w:rPr>
                <w:rFonts w:ascii="Calibri" w:hAnsi="Calibri"/>
                <w:sz w:val="24"/>
                <w:szCs w:val="24"/>
              </w:rPr>
            </w:pPr>
          </w:p>
        </w:tc>
        <w:tc>
          <w:tcPr>
            <w:tcW w:w="1713" w:type="dxa"/>
            <w:gridSpan w:val="2"/>
          </w:tcPr>
          <w:p w14:paraId="1A0F471D" w14:textId="77777777" w:rsidR="00C00AD7" w:rsidRPr="00DD62CA" w:rsidRDefault="00C00AD7">
            <w:pPr>
              <w:rPr>
                <w:rFonts w:ascii="Calibri" w:hAnsi="Calibri"/>
                <w:sz w:val="24"/>
                <w:szCs w:val="24"/>
              </w:rPr>
            </w:pPr>
          </w:p>
        </w:tc>
      </w:tr>
      <w:tr w:rsidR="00C00AD7" w:rsidRPr="00DD62CA" w14:paraId="11CD96E7" w14:textId="77777777" w:rsidTr="00111C12">
        <w:trPr>
          <w:cantSplit/>
        </w:trPr>
        <w:tc>
          <w:tcPr>
            <w:tcW w:w="8696" w:type="dxa"/>
            <w:gridSpan w:val="7"/>
            <w:tcBorders>
              <w:bottom w:val="single" w:sz="6" w:space="0" w:color="auto"/>
            </w:tcBorders>
          </w:tcPr>
          <w:p w14:paraId="30396B33" w14:textId="372F497F"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1607D3">
              <w:rPr>
                <w:rFonts w:ascii="Calibri" w:hAnsi="Calibri"/>
                <w:sz w:val="24"/>
                <w:szCs w:val="24"/>
              </w:rPr>
              <w:t xml:space="preserve">   www.ribblevalley.gov.uk          planning@ribblevalley.gov.uk</w:t>
            </w:r>
          </w:p>
        </w:tc>
        <w:tc>
          <w:tcPr>
            <w:tcW w:w="1713" w:type="dxa"/>
            <w:gridSpan w:val="2"/>
            <w:tcBorders>
              <w:bottom w:val="single" w:sz="6" w:space="0" w:color="auto"/>
            </w:tcBorders>
          </w:tcPr>
          <w:p w14:paraId="25D259D9" w14:textId="77777777" w:rsidR="00C00AD7" w:rsidRPr="00DD62CA" w:rsidRDefault="00C00AD7">
            <w:pPr>
              <w:rPr>
                <w:rFonts w:ascii="Calibri" w:hAnsi="Calibri"/>
                <w:sz w:val="24"/>
                <w:szCs w:val="24"/>
              </w:rPr>
            </w:pPr>
          </w:p>
        </w:tc>
      </w:tr>
      <w:tr w:rsidR="002F3ADA" w:rsidRPr="00DD62CA" w14:paraId="542118BB" w14:textId="77777777">
        <w:trPr>
          <w:cantSplit/>
        </w:trPr>
        <w:tc>
          <w:tcPr>
            <w:tcW w:w="10409" w:type="dxa"/>
            <w:gridSpan w:val="9"/>
          </w:tcPr>
          <w:p w14:paraId="7DB04502" w14:textId="77777777" w:rsidR="001607D3" w:rsidRDefault="001607D3" w:rsidP="001607D3">
            <w:pPr>
              <w:pStyle w:val="TableText"/>
              <w:rPr>
                <w:sz w:val="18"/>
              </w:rPr>
            </w:pPr>
            <w:r>
              <w:rPr>
                <w:sz w:val="18"/>
              </w:rPr>
              <w:t>The Planning (Control of Major Accident Hazards) Regulations 1999</w:t>
            </w:r>
          </w:p>
          <w:p w14:paraId="6E545922" w14:textId="77777777" w:rsidR="001607D3" w:rsidRDefault="001607D3" w:rsidP="001607D3">
            <w:pPr>
              <w:pStyle w:val="TableText"/>
              <w:rPr>
                <w:sz w:val="18"/>
              </w:rPr>
            </w:pPr>
            <w:r>
              <w:rPr>
                <w:sz w:val="18"/>
              </w:rPr>
              <w:t xml:space="preserve">The Planning (Hazardous Substances) Act 1990 </w:t>
            </w:r>
          </w:p>
          <w:p w14:paraId="1A413F2B" w14:textId="686569AF" w:rsidR="002F3ADA" w:rsidRPr="00DD62CA" w:rsidRDefault="001607D3" w:rsidP="001607D3">
            <w:pPr>
              <w:pStyle w:val="TableText"/>
              <w:rPr>
                <w:rFonts w:ascii="Calibri" w:hAnsi="Calibri"/>
                <w:sz w:val="24"/>
                <w:szCs w:val="24"/>
              </w:rPr>
            </w:pPr>
            <w:r>
              <w:rPr>
                <w:sz w:val="18"/>
              </w:rPr>
              <w:t>The Planning (Hazardous Substances) Regulations 1992</w:t>
            </w:r>
          </w:p>
        </w:tc>
      </w:tr>
      <w:tr w:rsidR="002F3ADA" w:rsidRPr="00DD62CA" w14:paraId="732C78A0" w14:textId="77777777">
        <w:trPr>
          <w:cantSplit/>
        </w:trPr>
        <w:tc>
          <w:tcPr>
            <w:tcW w:w="2410" w:type="dxa"/>
            <w:gridSpan w:val="3"/>
          </w:tcPr>
          <w:p w14:paraId="14BE9C0C"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6F75313A" w14:textId="16C3295B" w:rsidR="002F3ADA" w:rsidRPr="00DD62CA" w:rsidRDefault="00BB3E5D">
            <w:pPr>
              <w:pStyle w:val="addresses"/>
              <w:rPr>
                <w:rFonts w:ascii="Calibri" w:hAnsi="Calibri"/>
                <w:sz w:val="24"/>
                <w:szCs w:val="24"/>
              </w:rPr>
            </w:pPr>
            <w:r>
              <w:rPr>
                <w:rFonts w:ascii="Calibri" w:hAnsi="Calibri"/>
                <w:sz w:val="24"/>
                <w:szCs w:val="24"/>
              </w:rPr>
              <w:t>3/2021/0449</w:t>
            </w:r>
          </w:p>
        </w:tc>
        <w:tc>
          <w:tcPr>
            <w:tcW w:w="1404" w:type="dxa"/>
          </w:tcPr>
          <w:p w14:paraId="7DEE7919" w14:textId="77777777" w:rsidR="002F3ADA" w:rsidRPr="00DD62CA" w:rsidRDefault="002F3ADA">
            <w:pPr>
              <w:rPr>
                <w:rFonts w:ascii="Calibri" w:hAnsi="Calibri"/>
                <w:sz w:val="24"/>
                <w:szCs w:val="24"/>
              </w:rPr>
            </w:pPr>
          </w:p>
        </w:tc>
        <w:tc>
          <w:tcPr>
            <w:tcW w:w="1713" w:type="dxa"/>
          </w:tcPr>
          <w:p w14:paraId="40A8BE2D" w14:textId="77777777" w:rsidR="002F3ADA" w:rsidRPr="00DD62CA" w:rsidRDefault="002F3ADA">
            <w:pPr>
              <w:rPr>
                <w:rFonts w:ascii="Calibri" w:hAnsi="Calibri"/>
                <w:sz w:val="24"/>
                <w:szCs w:val="24"/>
              </w:rPr>
            </w:pPr>
          </w:p>
        </w:tc>
        <w:tc>
          <w:tcPr>
            <w:tcW w:w="1713" w:type="dxa"/>
            <w:gridSpan w:val="2"/>
          </w:tcPr>
          <w:p w14:paraId="24949533" w14:textId="77777777" w:rsidR="002F3ADA" w:rsidRPr="00DD62CA" w:rsidRDefault="002F3ADA">
            <w:pPr>
              <w:rPr>
                <w:rFonts w:ascii="Calibri" w:hAnsi="Calibri"/>
                <w:sz w:val="24"/>
                <w:szCs w:val="24"/>
              </w:rPr>
            </w:pPr>
          </w:p>
        </w:tc>
      </w:tr>
      <w:tr w:rsidR="002F3ADA" w:rsidRPr="00DD62CA" w14:paraId="5639BFF0" w14:textId="77777777">
        <w:trPr>
          <w:cantSplit/>
        </w:trPr>
        <w:tc>
          <w:tcPr>
            <w:tcW w:w="2410" w:type="dxa"/>
            <w:gridSpan w:val="3"/>
          </w:tcPr>
          <w:p w14:paraId="0C1C8DAF"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3E743A48" w14:textId="1624BB9A" w:rsidR="002F3ADA" w:rsidRPr="00DD62CA" w:rsidRDefault="001607D3">
            <w:pPr>
              <w:rPr>
                <w:rFonts w:ascii="Calibri" w:hAnsi="Calibri"/>
                <w:sz w:val="24"/>
                <w:szCs w:val="24"/>
              </w:rPr>
            </w:pPr>
            <w:r>
              <w:rPr>
                <w:rFonts w:ascii="Calibri" w:hAnsi="Calibri"/>
                <w:sz w:val="24"/>
                <w:szCs w:val="24"/>
              </w:rPr>
              <w:t>12 August</w:t>
            </w:r>
            <w:r w:rsidR="00BB3E5D">
              <w:rPr>
                <w:rFonts w:ascii="Calibri" w:hAnsi="Calibri"/>
                <w:sz w:val="24"/>
                <w:szCs w:val="24"/>
              </w:rPr>
              <w:t xml:space="preserve"> 2021</w:t>
            </w:r>
          </w:p>
        </w:tc>
        <w:tc>
          <w:tcPr>
            <w:tcW w:w="1404" w:type="dxa"/>
          </w:tcPr>
          <w:p w14:paraId="0BECAF7B" w14:textId="77777777" w:rsidR="002F3ADA" w:rsidRPr="00DD62CA" w:rsidRDefault="002F3ADA">
            <w:pPr>
              <w:rPr>
                <w:rFonts w:ascii="Calibri" w:hAnsi="Calibri"/>
                <w:sz w:val="24"/>
                <w:szCs w:val="24"/>
              </w:rPr>
            </w:pPr>
          </w:p>
        </w:tc>
        <w:tc>
          <w:tcPr>
            <w:tcW w:w="1713" w:type="dxa"/>
          </w:tcPr>
          <w:p w14:paraId="1214B490" w14:textId="77777777" w:rsidR="002F3ADA" w:rsidRPr="00DD62CA" w:rsidRDefault="002F3ADA">
            <w:pPr>
              <w:rPr>
                <w:rFonts w:ascii="Calibri" w:hAnsi="Calibri"/>
                <w:sz w:val="24"/>
                <w:szCs w:val="24"/>
              </w:rPr>
            </w:pPr>
          </w:p>
        </w:tc>
        <w:tc>
          <w:tcPr>
            <w:tcW w:w="1713" w:type="dxa"/>
            <w:gridSpan w:val="2"/>
          </w:tcPr>
          <w:p w14:paraId="3F5FB89A" w14:textId="77777777" w:rsidR="002F3ADA" w:rsidRPr="00DD62CA" w:rsidRDefault="002F3ADA">
            <w:pPr>
              <w:rPr>
                <w:rFonts w:ascii="Calibri" w:hAnsi="Calibri"/>
                <w:sz w:val="24"/>
                <w:szCs w:val="24"/>
              </w:rPr>
            </w:pPr>
          </w:p>
        </w:tc>
      </w:tr>
      <w:tr w:rsidR="002F3ADA" w:rsidRPr="00DD62CA" w14:paraId="147D9B0C" w14:textId="77777777">
        <w:trPr>
          <w:cantSplit/>
        </w:trPr>
        <w:tc>
          <w:tcPr>
            <w:tcW w:w="2410" w:type="dxa"/>
            <w:gridSpan w:val="3"/>
          </w:tcPr>
          <w:p w14:paraId="00854BC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14B8F939" w14:textId="1487766A" w:rsidR="002F3ADA" w:rsidRPr="00DD62CA" w:rsidRDefault="00BB3E5D">
            <w:pPr>
              <w:rPr>
                <w:rFonts w:ascii="Calibri" w:hAnsi="Calibri"/>
                <w:sz w:val="24"/>
                <w:szCs w:val="24"/>
              </w:rPr>
            </w:pPr>
            <w:r>
              <w:rPr>
                <w:rFonts w:ascii="Calibri" w:hAnsi="Calibri"/>
                <w:sz w:val="24"/>
                <w:szCs w:val="24"/>
              </w:rPr>
              <w:t>27/04/2021</w:t>
            </w:r>
          </w:p>
        </w:tc>
        <w:tc>
          <w:tcPr>
            <w:tcW w:w="1404" w:type="dxa"/>
          </w:tcPr>
          <w:p w14:paraId="173DB0B7" w14:textId="77777777" w:rsidR="002F3ADA" w:rsidRPr="00DD62CA" w:rsidRDefault="002F3ADA">
            <w:pPr>
              <w:rPr>
                <w:rFonts w:ascii="Calibri" w:hAnsi="Calibri"/>
                <w:sz w:val="24"/>
                <w:szCs w:val="24"/>
              </w:rPr>
            </w:pPr>
          </w:p>
        </w:tc>
        <w:tc>
          <w:tcPr>
            <w:tcW w:w="1713" w:type="dxa"/>
          </w:tcPr>
          <w:p w14:paraId="34B11384" w14:textId="77777777" w:rsidR="002F3ADA" w:rsidRPr="00DD62CA" w:rsidRDefault="002F3ADA">
            <w:pPr>
              <w:rPr>
                <w:rFonts w:ascii="Calibri" w:hAnsi="Calibri"/>
                <w:sz w:val="24"/>
                <w:szCs w:val="24"/>
              </w:rPr>
            </w:pPr>
          </w:p>
        </w:tc>
        <w:tc>
          <w:tcPr>
            <w:tcW w:w="1713" w:type="dxa"/>
            <w:gridSpan w:val="2"/>
          </w:tcPr>
          <w:p w14:paraId="08468589" w14:textId="77777777" w:rsidR="002F3ADA" w:rsidRPr="00DD62CA" w:rsidRDefault="002F3ADA">
            <w:pPr>
              <w:rPr>
                <w:rFonts w:ascii="Calibri" w:hAnsi="Calibri"/>
                <w:sz w:val="24"/>
                <w:szCs w:val="24"/>
              </w:rPr>
            </w:pPr>
          </w:p>
        </w:tc>
      </w:tr>
      <w:tr w:rsidR="002F3ADA" w:rsidRPr="00DD62CA" w14:paraId="0E45DEBF" w14:textId="77777777">
        <w:trPr>
          <w:cantSplit/>
        </w:trPr>
        <w:tc>
          <w:tcPr>
            <w:tcW w:w="10409" w:type="dxa"/>
            <w:gridSpan w:val="9"/>
          </w:tcPr>
          <w:p w14:paraId="31B1D505" w14:textId="641D3F59" w:rsidR="002F3ADA" w:rsidRPr="001607D3" w:rsidRDefault="001607D3">
            <w:pPr>
              <w:rPr>
                <w:rFonts w:ascii="Calibri" w:hAnsi="Calibri"/>
                <w:b/>
                <w:bCs/>
                <w:sz w:val="32"/>
                <w:szCs w:val="32"/>
                <w:u w:val="single"/>
              </w:rPr>
            </w:pPr>
            <w:r w:rsidRPr="001607D3">
              <w:rPr>
                <w:rFonts w:ascii="Calibri" w:hAnsi="Calibri"/>
                <w:b/>
                <w:bCs/>
                <w:sz w:val="32"/>
                <w:szCs w:val="32"/>
                <w:u w:val="single"/>
              </w:rPr>
              <w:t>HAZARDOUS SUBSTANCE CONSENT</w:t>
            </w:r>
          </w:p>
        </w:tc>
      </w:tr>
      <w:tr w:rsidR="002F3ADA" w:rsidRPr="00DD62CA" w14:paraId="61B87754" w14:textId="77777777">
        <w:trPr>
          <w:cantSplit/>
        </w:trPr>
        <w:tc>
          <w:tcPr>
            <w:tcW w:w="2410" w:type="dxa"/>
            <w:gridSpan w:val="3"/>
          </w:tcPr>
          <w:p w14:paraId="297F10E1"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0AB74E83" w14:textId="77777777" w:rsidR="002F3ADA" w:rsidRPr="00DD62CA" w:rsidRDefault="002F3ADA">
            <w:pPr>
              <w:rPr>
                <w:rFonts w:ascii="Calibri" w:hAnsi="Calibri"/>
                <w:sz w:val="24"/>
                <w:szCs w:val="24"/>
              </w:rPr>
            </w:pPr>
          </w:p>
        </w:tc>
        <w:tc>
          <w:tcPr>
            <w:tcW w:w="1456" w:type="dxa"/>
          </w:tcPr>
          <w:p w14:paraId="354BAD5A" w14:textId="77777777" w:rsidR="002F3ADA" w:rsidRPr="00DD62CA" w:rsidRDefault="002F3ADA">
            <w:pPr>
              <w:rPr>
                <w:rFonts w:ascii="Calibri" w:hAnsi="Calibri"/>
                <w:sz w:val="24"/>
                <w:szCs w:val="24"/>
              </w:rPr>
            </w:pPr>
          </w:p>
        </w:tc>
        <w:tc>
          <w:tcPr>
            <w:tcW w:w="1404" w:type="dxa"/>
          </w:tcPr>
          <w:p w14:paraId="334628E7"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259C07E3" w14:textId="77777777" w:rsidR="002F3ADA" w:rsidRPr="00DD62CA" w:rsidRDefault="002F3ADA">
            <w:pPr>
              <w:rPr>
                <w:rFonts w:ascii="Calibri" w:hAnsi="Calibri"/>
                <w:sz w:val="24"/>
                <w:szCs w:val="24"/>
              </w:rPr>
            </w:pPr>
          </w:p>
        </w:tc>
        <w:tc>
          <w:tcPr>
            <w:tcW w:w="1713" w:type="dxa"/>
            <w:gridSpan w:val="2"/>
          </w:tcPr>
          <w:p w14:paraId="6DE7691D" w14:textId="77777777" w:rsidR="002F3ADA" w:rsidRPr="00DD62CA" w:rsidRDefault="002F3ADA">
            <w:pPr>
              <w:rPr>
                <w:rFonts w:ascii="Calibri" w:hAnsi="Calibri"/>
                <w:sz w:val="24"/>
                <w:szCs w:val="24"/>
              </w:rPr>
            </w:pPr>
          </w:p>
        </w:tc>
      </w:tr>
      <w:tr w:rsidR="002F3ADA" w:rsidRPr="00DD62CA" w14:paraId="6CC1AED1" w14:textId="77777777">
        <w:trPr>
          <w:cantSplit/>
        </w:trPr>
        <w:tc>
          <w:tcPr>
            <w:tcW w:w="4123" w:type="dxa"/>
            <w:gridSpan w:val="4"/>
            <w:vMerge w:val="restart"/>
            <w:tcBorders>
              <w:bottom w:val="single" w:sz="4" w:space="0" w:color="auto"/>
            </w:tcBorders>
          </w:tcPr>
          <w:p w14:paraId="0CF7F633" w14:textId="77777777" w:rsidR="00BB3E5D" w:rsidRDefault="00BB3E5D">
            <w:pPr>
              <w:rPr>
                <w:rFonts w:ascii="Calibri" w:hAnsi="Calibri"/>
                <w:sz w:val="24"/>
                <w:szCs w:val="24"/>
              </w:rPr>
            </w:pPr>
            <w:r>
              <w:rPr>
                <w:rFonts w:ascii="Calibri" w:hAnsi="Calibri"/>
                <w:sz w:val="24"/>
                <w:szCs w:val="24"/>
              </w:rPr>
              <w:t>Johnson Matthey Catalysts</w:t>
            </w:r>
          </w:p>
          <w:p w14:paraId="3EFA5F9B" w14:textId="77777777" w:rsidR="00BB3E5D" w:rsidRDefault="00BB3E5D">
            <w:pPr>
              <w:rPr>
                <w:rFonts w:ascii="Calibri" w:hAnsi="Calibri"/>
                <w:sz w:val="24"/>
                <w:szCs w:val="24"/>
              </w:rPr>
            </w:pPr>
            <w:r>
              <w:rPr>
                <w:rFonts w:ascii="Calibri" w:hAnsi="Calibri"/>
                <w:sz w:val="24"/>
                <w:szCs w:val="24"/>
              </w:rPr>
              <w:t>Pimlico Industrial Area</w:t>
            </w:r>
          </w:p>
          <w:p w14:paraId="7D81629D" w14:textId="77777777" w:rsidR="00BB3E5D" w:rsidRDefault="00BB3E5D">
            <w:pPr>
              <w:rPr>
                <w:rFonts w:ascii="Calibri" w:hAnsi="Calibri"/>
                <w:sz w:val="24"/>
                <w:szCs w:val="24"/>
              </w:rPr>
            </w:pPr>
            <w:r>
              <w:rPr>
                <w:rFonts w:ascii="Calibri" w:hAnsi="Calibri"/>
                <w:sz w:val="24"/>
                <w:szCs w:val="24"/>
              </w:rPr>
              <w:t>West Bradford Road</w:t>
            </w:r>
          </w:p>
          <w:p w14:paraId="0E07D8EF" w14:textId="77777777" w:rsidR="00BB3E5D" w:rsidRDefault="00BB3E5D">
            <w:pPr>
              <w:rPr>
                <w:rFonts w:ascii="Calibri" w:hAnsi="Calibri"/>
                <w:sz w:val="24"/>
                <w:szCs w:val="24"/>
              </w:rPr>
            </w:pPr>
            <w:r>
              <w:rPr>
                <w:rFonts w:ascii="Calibri" w:hAnsi="Calibri"/>
                <w:sz w:val="24"/>
                <w:szCs w:val="24"/>
              </w:rPr>
              <w:t xml:space="preserve">Clitheroe </w:t>
            </w:r>
          </w:p>
          <w:p w14:paraId="3CF0C40D" w14:textId="5E19F2C8" w:rsidR="002F3ADA" w:rsidRPr="00DD62CA" w:rsidRDefault="00BB3E5D">
            <w:pPr>
              <w:rPr>
                <w:rFonts w:ascii="Calibri" w:hAnsi="Calibri"/>
                <w:sz w:val="24"/>
                <w:szCs w:val="24"/>
              </w:rPr>
            </w:pPr>
            <w:r>
              <w:rPr>
                <w:rFonts w:ascii="Calibri" w:hAnsi="Calibri"/>
                <w:sz w:val="24"/>
                <w:szCs w:val="24"/>
              </w:rPr>
              <w:t>BB7 4QB</w:t>
            </w:r>
          </w:p>
        </w:tc>
        <w:tc>
          <w:tcPr>
            <w:tcW w:w="1456" w:type="dxa"/>
          </w:tcPr>
          <w:p w14:paraId="7B9DFADD" w14:textId="77777777" w:rsidR="002F3ADA" w:rsidRPr="00DD62CA" w:rsidRDefault="002F3ADA">
            <w:pPr>
              <w:rPr>
                <w:rFonts w:ascii="Calibri" w:hAnsi="Calibri"/>
                <w:sz w:val="24"/>
                <w:szCs w:val="24"/>
              </w:rPr>
            </w:pPr>
          </w:p>
        </w:tc>
        <w:tc>
          <w:tcPr>
            <w:tcW w:w="4830" w:type="dxa"/>
            <w:gridSpan w:val="4"/>
            <w:vMerge w:val="restart"/>
            <w:tcBorders>
              <w:bottom w:val="single" w:sz="4" w:space="0" w:color="auto"/>
            </w:tcBorders>
          </w:tcPr>
          <w:p w14:paraId="09D5DE66" w14:textId="2483D812" w:rsidR="002F3ADA" w:rsidRPr="00DD62CA" w:rsidRDefault="002F3ADA">
            <w:pPr>
              <w:pStyle w:val="addresses"/>
              <w:rPr>
                <w:rFonts w:ascii="Calibri" w:hAnsi="Calibri"/>
                <w:sz w:val="24"/>
                <w:szCs w:val="24"/>
              </w:rPr>
            </w:pPr>
          </w:p>
        </w:tc>
      </w:tr>
      <w:tr w:rsidR="002F3ADA" w:rsidRPr="00DD62CA" w14:paraId="43658407" w14:textId="77777777">
        <w:trPr>
          <w:cantSplit/>
        </w:trPr>
        <w:tc>
          <w:tcPr>
            <w:tcW w:w="4123" w:type="dxa"/>
            <w:gridSpan w:val="4"/>
            <w:vMerge/>
            <w:tcBorders>
              <w:bottom w:val="single" w:sz="4" w:space="0" w:color="auto"/>
            </w:tcBorders>
          </w:tcPr>
          <w:p w14:paraId="5D5C77DE" w14:textId="77777777" w:rsidR="002F3ADA" w:rsidRPr="00DD62CA" w:rsidRDefault="002F3ADA">
            <w:pPr>
              <w:rPr>
                <w:rFonts w:ascii="Calibri" w:hAnsi="Calibri"/>
                <w:sz w:val="24"/>
                <w:szCs w:val="24"/>
              </w:rPr>
            </w:pPr>
          </w:p>
        </w:tc>
        <w:tc>
          <w:tcPr>
            <w:tcW w:w="1456" w:type="dxa"/>
          </w:tcPr>
          <w:p w14:paraId="3F6F67E0" w14:textId="77777777" w:rsidR="002F3ADA" w:rsidRPr="00DD62CA" w:rsidRDefault="002F3ADA">
            <w:pPr>
              <w:rPr>
                <w:rFonts w:ascii="Calibri" w:hAnsi="Calibri"/>
                <w:sz w:val="24"/>
                <w:szCs w:val="24"/>
              </w:rPr>
            </w:pPr>
          </w:p>
        </w:tc>
        <w:tc>
          <w:tcPr>
            <w:tcW w:w="4830" w:type="dxa"/>
            <w:gridSpan w:val="4"/>
            <w:vMerge/>
            <w:tcBorders>
              <w:bottom w:val="single" w:sz="4" w:space="0" w:color="auto"/>
            </w:tcBorders>
          </w:tcPr>
          <w:p w14:paraId="2FF0C941" w14:textId="77777777" w:rsidR="002F3ADA" w:rsidRPr="00DD62CA" w:rsidRDefault="002F3ADA">
            <w:pPr>
              <w:rPr>
                <w:rFonts w:ascii="Calibri" w:hAnsi="Calibri"/>
                <w:sz w:val="24"/>
                <w:szCs w:val="24"/>
              </w:rPr>
            </w:pPr>
          </w:p>
        </w:tc>
      </w:tr>
      <w:tr w:rsidR="002F3ADA" w:rsidRPr="00DD62CA" w14:paraId="3FE9731C" w14:textId="77777777">
        <w:trPr>
          <w:cantSplit/>
        </w:trPr>
        <w:tc>
          <w:tcPr>
            <w:tcW w:w="4123" w:type="dxa"/>
            <w:gridSpan w:val="4"/>
            <w:vMerge/>
            <w:tcBorders>
              <w:bottom w:val="single" w:sz="4" w:space="0" w:color="auto"/>
            </w:tcBorders>
          </w:tcPr>
          <w:p w14:paraId="2886C9F9" w14:textId="77777777" w:rsidR="002F3ADA" w:rsidRPr="00DD62CA" w:rsidRDefault="002F3ADA">
            <w:pPr>
              <w:rPr>
                <w:rFonts w:ascii="Calibri" w:hAnsi="Calibri"/>
                <w:sz w:val="24"/>
                <w:szCs w:val="24"/>
              </w:rPr>
            </w:pPr>
          </w:p>
        </w:tc>
        <w:tc>
          <w:tcPr>
            <w:tcW w:w="1456" w:type="dxa"/>
          </w:tcPr>
          <w:p w14:paraId="55FF2F98" w14:textId="77777777" w:rsidR="002F3ADA" w:rsidRPr="00DD62CA" w:rsidRDefault="002F3ADA">
            <w:pPr>
              <w:rPr>
                <w:rFonts w:ascii="Calibri" w:hAnsi="Calibri"/>
                <w:sz w:val="24"/>
                <w:szCs w:val="24"/>
              </w:rPr>
            </w:pPr>
          </w:p>
        </w:tc>
        <w:tc>
          <w:tcPr>
            <w:tcW w:w="4830" w:type="dxa"/>
            <w:gridSpan w:val="4"/>
            <w:vMerge/>
            <w:tcBorders>
              <w:bottom w:val="single" w:sz="4" w:space="0" w:color="auto"/>
            </w:tcBorders>
          </w:tcPr>
          <w:p w14:paraId="39D1C7C4" w14:textId="77777777" w:rsidR="002F3ADA" w:rsidRPr="00DD62CA" w:rsidRDefault="002F3ADA">
            <w:pPr>
              <w:rPr>
                <w:rFonts w:ascii="Calibri" w:hAnsi="Calibri"/>
                <w:sz w:val="24"/>
                <w:szCs w:val="24"/>
              </w:rPr>
            </w:pPr>
          </w:p>
        </w:tc>
      </w:tr>
      <w:tr w:rsidR="002F3ADA" w:rsidRPr="00DD62CA" w14:paraId="76FE4727" w14:textId="77777777">
        <w:trPr>
          <w:cantSplit/>
        </w:trPr>
        <w:tc>
          <w:tcPr>
            <w:tcW w:w="4123" w:type="dxa"/>
            <w:gridSpan w:val="4"/>
            <w:vMerge/>
            <w:tcBorders>
              <w:bottom w:val="single" w:sz="4" w:space="0" w:color="auto"/>
            </w:tcBorders>
          </w:tcPr>
          <w:p w14:paraId="79F1C8E4" w14:textId="77777777" w:rsidR="002F3ADA" w:rsidRPr="00DD62CA" w:rsidRDefault="002F3ADA">
            <w:pPr>
              <w:rPr>
                <w:rFonts w:ascii="Calibri" w:hAnsi="Calibri"/>
                <w:sz w:val="24"/>
                <w:szCs w:val="24"/>
              </w:rPr>
            </w:pPr>
          </w:p>
        </w:tc>
        <w:tc>
          <w:tcPr>
            <w:tcW w:w="1456" w:type="dxa"/>
          </w:tcPr>
          <w:p w14:paraId="4BB4DD38" w14:textId="77777777" w:rsidR="002F3ADA" w:rsidRPr="00DD62CA" w:rsidRDefault="002F3ADA">
            <w:pPr>
              <w:rPr>
                <w:rFonts w:ascii="Calibri" w:hAnsi="Calibri"/>
                <w:sz w:val="24"/>
                <w:szCs w:val="24"/>
              </w:rPr>
            </w:pPr>
          </w:p>
        </w:tc>
        <w:tc>
          <w:tcPr>
            <w:tcW w:w="4830" w:type="dxa"/>
            <w:gridSpan w:val="4"/>
            <w:vMerge/>
            <w:tcBorders>
              <w:bottom w:val="single" w:sz="4" w:space="0" w:color="auto"/>
            </w:tcBorders>
          </w:tcPr>
          <w:p w14:paraId="74979A10" w14:textId="77777777" w:rsidR="002F3ADA" w:rsidRPr="00DD62CA" w:rsidRDefault="002F3ADA">
            <w:pPr>
              <w:rPr>
                <w:rFonts w:ascii="Calibri" w:hAnsi="Calibri"/>
                <w:sz w:val="24"/>
                <w:szCs w:val="24"/>
              </w:rPr>
            </w:pPr>
          </w:p>
        </w:tc>
      </w:tr>
      <w:tr w:rsidR="002F3ADA" w:rsidRPr="00DD62CA" w14:paraId="1F65863D" w14:textId="77777777">
        <w:trPr>
          <w:cantSplit/>
        </w:trPr>
        <w:tc>
          <w:tcPr>
            <w:tcW w:w="4123" w:type="dxa"/>
            <w:gridSpan w:val="4"/>
            <w:vMerge/>
            <w:tcBorders>
              <w:bottom w:val="single" w:sz="4" w:space="0" w:color="auto"/>
            </w:tcBorders>
          </w:tcPr>
          <w:p w14:paraId="13FCA060" w14:textId="77777777" w:rsidR="002F3ADA" w:rsidRPr="00DD62CA" w:rsidRDefault="002F3ADA">
            <w:pPr>
              <w:rPr>
                <w:rFonts w:ascii="Calibri" w:hAnsi="Calibri"/>
                <w:sz w:val="24"/>
                <w:szCs w:val="24"/>
              </w:rPr>
            </w:pPr>
          </w:p>
        </w:tc>
        <w:tc>
          <w:tcPr>
            <w:tcW w:w="1456" w:type="dxa"/>
            <w:tcBorders>
              <w:bottom w:val="single" w:sz="6" w:space="0" w:color="auto"/>
            </w:tcBorders>
          </w:tcPr>
          <w:p w14:paraId="5DA14A6E" w14:textId="77777777" w:rsidR="002F3ADA" w:rsidRPr="00DD62CA" w:rsidRDefault="002F3ADA">
            <w:pPr>
              <w:rPr>
                <w:rFonts w:ascii="Calibri" w:hAnsi="Calibri"/>
                <w:sz w:val="24"/>
                <w:szCs w:val="24"/>
              </w:rPr>
            </w:pPr>
          </w:p>
        </w:tc>
        <w:tc>
          <w:tcPr>
            <w:tcW w:w="4830" w:type="dxa"/>
            <w:gridSpan w:val="4"/>
            <w:vMerge/>
            <w:tcBorders>
              <w:bottom w:val="single" w:sz="4" w:space="0" w:color="auto"/>
            </w:tcBorders>
          </w:tcPr>
          <w:p w14:paraId="0FB149B6" w14:textId="77777777" w:rsidR="002F3ADA" w:rsidRPr="00DD62CA" w:rsidRDefault="002F3ADA">
            <w:pPr>
              <w:rPr>
                <w:rFonts w:ascii="Calibri" w:hAnsi="Calibri"/>
                <w:sz w:val="24"/>
                <w:szCs w:val="24"/>
              </w:rPr>
            </w:pPr>
          </w:p>
        </w:tc>
      </w:tr>
      <w:tr w:rsidR="002F3ADA" w:rsidRPr="00DD62CA" w14:paraId="1B35A06F" w14:textId="77777777">
        <w:trPr>
          <w:gridAfter w:val="1"/>
          <w:wAfter w:w="56" w:type="dxa"/>
          <w:cantSplit/>
          <w:trHeight w:val="512"/>
        </w:trPr>
        <w:tc>
          <w:tcPr>
            <w:tcW w:w="1970" w:type="dxa"/>
            <w:gridSpan w:val="2"/>
          </w:tcPr>
          <w:p w14:paraId="46715B1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gridSpan w:val="6"/>
            <w:tcBorders>
              <w:left w:val="nil"/>
            </w:tcBorders>
          </w:tcPr>
          <w:p w14:paraId="05BF6941" w14:textId="6666875A" w:rsidR="002F3ADA" w:rsidRPr="00DD62CA" w:rsidRDefault="00BB3E5D">
            <w:pPr>
              <w:pStyle w:val="TableText"/>
              <w:rPr>
                <w:rFonts w:ascii="Calibri" w:hAnsi="Calibri"/>
                <w:sz w:val="24"/>
                <w:szCs w:val="24"/>
              </w:rPr>
            </w:pPr>
            <w:r>
              <w:rPr>
                <w:rFonts w:ascii="Calibri" w:hAnsi="Calibri"/>
                <w:sz w:val="24"/>
                <w:szCs w:val="24"/>
              </w:rPr>
              <w:t>Consent for storage of hazardous substances involved in an industrial process, previously approved on 3/2014/0759.</w:t>
            </w:r>
          </w:p>
        </w:tc>
      </w:tr>
      <w:tr w:rsidR="002F3ADA" w:rsidRPr="00DD62CA" w14:paraId="4B935E1B" w14:textId="77777777">
        <w:trPr>
          <w:gridAfter w:val="1"/>
          <w:wAfter w:w="56" w:type="dxa"/>
          <w:cantSplit/>
          <w:trHeight w:val="264"/>
        </w:trPr>
        <w:tc>
          <w:tcPr>
            <w:tcW w:w="988" w:type="dxa"/>
          </w:tcPr>
          <w:p w14:paraId="7358702D"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7"/>
            <w:tcBorders>
              <w:left w:val="nil"/>
            </w:tcBorders>
          </w:tcPr>
          <w:p w14:paraId="22D474D9" w14:textId="2F50C30B" w:rsidR="002F3ADA" w:rsidRPr="00DD62CA" w:rsidRDefault="00BB3E5D">
            <w:pPr>
              <w:pStyle w:val="TableText"/>
              <w:rPr>
                <w:rFonts w:ascii="Calibri" w:hAnsi="Calibri"/>
                <w:sz w:val="24"/>
                <w:szCs w:val="24"/>
              </w:rPr>
            </w:pPr>
            <w:r>
              <w:rPr>
                <w:rFonts w:ascii="Calibri" w:hAnsi="Calibri"/>
                <w:sz w:val="24"/>
                <w:szCs w:val="24"/>
              </w:rPr>
              <w:t>Johnson Matthey Pimlico Industrial Area West Bradford Road Clitheroe BB7 4QB</w:t>
            </w:r>
          </w:p>
        </w:tc>
      </w:tr>
      <w:tr w:rsidR="002F3ADA" w:rsidRPr="00DD62CA" w14:paraId="08704617" w14:textId="77777777">
        <w:trPr>
          <w:gridAfter w:val="1"/>
          <w:wAfter w:w="56" w:type="dxa"/>
          <w:cantSplit/>
          <w:trHeight w:val="868"/>
        </w:trPr>
        <w:tc>
          <w:tcPr>
            <w:tcW w:w="10353" w:type="dxa"/>
            <w:gridSpan w:val="8"/>
          </w:tcPr>
          <w:p w14:paraId="6F8E1144"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38394747" w14:textId="77777777" w:rsidR="002F3ADA" w:rsidRPr="00DD62CA" w:rsidRDefault="002F3ADA">
            <w:pPr>
              <w:jc w:val="both"/>
              <w:rPr>
                <w:rFonts w:ascii="Calibri" w:hAnsi="Calibri"/>
                <w:sz w:val="24"/>
                <w:szCs w:val="24"/>
              </w:rPr>
            </w:pPr>
          </w:p>
        </w:tc>
      </w:tr>
      <w:tr w:rsidR="002F3ADA" w:rsidRPr="00DD62CA" w14:paraId="3E808FDF" w14:textId="77777777">
        <w:trPr>
          <w:gridAfter w:val="1"/>
          <w:wAfter w:w="56" w:type="dxa"/>
          <w:cantSplit/>
          <w:trHeight w:val="527"/>
        </w:trPr>
        <w:tc>
          <w:tcPr>
            <w:tcW w:w="988" w:type="dxa"/>
          </w:tcPr>
          <w:p w14:paraId="563D84EB" w14:textId="77777777" w:rsidR="002F3ADA" w:rsidRPr="00DD62CA" w:rsidRDefault="002F3ADA">
            <w:pPr>
              <w:pStyle w:val="TableText"/>
              <w:numPr>
                <w:ilvl w:val="0"/>
                <w:numId w:val="3"/>
              </w:numPr>
              <w:rPr>
                <w:rFonts w:ascii="Calibri" w:hAnsi="Calibri"/>
                <w:sz w:val="24"/>
                <w:szCs w:val="24"/>
              </w:rPr>
            </w:pPr>
          </w:p>
        </w:tc>
        <w:tc>
          <w:tcPr>
            <w:tcW w:w="9365" w:type="dxa"/>
            <w:gridSpan w:val="7"/>
          </w:tcPr>
          <w:p w14:paraId="430710CE" w14:textId="77777777" w:rsidR="00BB3E5D" w:rsidRDefault="00BB3E5D">
            <w:pPr>
              <w:pStyle w:val="TableText"/>
              <w:rPr>
                <w:rFonts w:ascii="Calibri" w:hAnsi="Calibri"/>
                <w:sz w:val="24"/>
                <w:szCs w:val="24"/>
              </w:rPr>
            </w:pPr>
            <w:r>
              <w:rPr>
                <w:rFonts w:ascii="Calibri" w:hAnsi="Calibri"/>
                <w:sz w:val="24"/>
                <w:szCs w:val="24"/>
              </w:rPr>
              <w:t xml:space="preserve">This permission shall relate to letter dated 26th April 2021 submitted with the application. The </w:t>
            </w:r>
            <w:proofErr w:type="spellStart"/>
            <w:r>
              <w:rPr>
                <w:rFonts w:ascii="Calibri" w:hAnsi="Calibri"/>
                <w:sz w:val="24"/>
                <w:szCs w:val="24"/>
              </w:rPr>
              <w:t>haxzardous</w:t>
            </w:r>
            <w:proofErr w:type="spellEnd"/>
            <w:r>
              <w:rPr>
                <w:rFonts w:ascii="Calibri" w:hAnsi="Calibri"/>
                <w:sz w:val="24"/>
                <w:szCs w:val="24"/>
              </w:rPr>
              <w:t xml:space="preserve"> substances shall not be kept or used other than in accordance with the particulars provided on the application form, nor outside the areas marked for storage and use of substances on the plans which formed part of the </w:t>
            </w:r>
            <w:proofErr w:type="gramStart"/>
            <w:r>
              <w:rPr>
                <w:rFonts w:ascii="Calibri" w:hAnsi="Calibri"/>
                <w:sz w:val="24"/>
                <w:szCs w:val="24"/>
              </w:rPr>
              <w:t>application  including</w:t>
            </w:r>
            <w:proofErr w:type="gramEnd"/>
            <w:r>
              <w:rPr>
                <w:rFonts w:ascii="Calibri" w:hAnsi="Calibri"/>
                <w:sz w:val="24"/>
                <w:szCs w:val="24"/>
              </w:rPr>
              <w:t xml:space="preserve"> Change of Location  Plan/Changes Hazardous Substances, Oxidisers( P8), Drawing No SYNCL-00_13-21035, </w:t>
            </w:r>
            <w:proofErr w:type="spellStart"/>
            <w:r>
              <w:rPr>
                <w:rFonts w:ascii="Calibri" w:hAnsi="Calibri"/>
                <w:sz w:val="24"/>
                <w:szCs w:val="24"/>
              </w:rPr>
              <w:t>RevE</w:t>
            </w:r>
            <w:proofErr w:type="spellEnd"/>
            <w:r>
              <w:rPr>
                <w:rFonts w:ascii="Calibri" w:hAnsi="Calibri"/>
                <w:sz w:val="24"/>
                <w:szCs w:val="24"/>
              </w:rPr>
              <w:t xml:space="preserve"> dated 14/04/21 and Drawing SYNCL-41-13-21036 Rev C. </w:t>
            </w:r>
          </w:p>
          <w:p w14:paraId="3BDFC71C" w14:textId="77777777" w:rsidR="00BB3E5D" w:rsidRDefault="00BB3E5D">
            <w:pPr>
              <w:pStyle w:val="TableText"/>
              <w:rPr>
                <w:rFonts w:ascii="Calibri" w:hAnsi="Calibri"/>
                <w:sz w:val="24"/>
                <w:szCs w:val="24"/>
              </w:rPr>
            </w:pPr>
          </w:p>
          <w:p w14:paraId="11211DCA" w14:textId="747611C6" w:rsidR="002F3ADA" w:rsidRPr="00DD62CA" w:rsidRDefault="00BB3E5D">
            <w:pPr>
              <w:pStyle w:val="TableText"/>
              <w:rPr>
                <w:rFonts w:ascii="Calibri" w:hAnsi="Calibri"/>
                <w:sz w:val="24"/>
                <w:szCs w:val="24"/>
              </w:rPr>
            </w:pPr>
            <w:r>
              <w:rPr>
                <w:rFonts w:ascii="Calibri" w:hAnsi="Calibri"/>
                <w:sz w:val="24"/>
                <w:szCs w:val="24"/>
              </w:rPr>
              <w:t xml:space="preserve">Reason: For avoidance of doubt and interest of general safety and protection of </w:t>
            </w:r>
            <w:r w:rsidR="001607D3">
              <w:rPr>
                <w:rFonts w:ascii="Calibri" w:hAnsi="Calibri"/>
                <w:sz w:val="24"/>
                <w:szCs w:val="24"/>
              </w:rPr>
              <w:t>residential</w:t>
            </w:r>
            <w:r>
              <w:rPr>
                <w:rFonts w:ascii="Calibri" w:hAnsi="Calibri"/>
                <w:sz w:val="24"/>
                <w:szCs w:val="24"/>
              </w:rPr>
              <w:t xml:space="preserve"> amenities.</w:t>
            </w:r>
          </w:p>
        </w:tc>
      </w:tr>
    </w:tbl>
    <w:p w14:paraId="651C2E68" w14:textId="77777777" w:rsidR="002F3ADA" w:rsidRPr="00DD62CA" w:rsidRDefault="002F3ADA">
      <w:pPr>
        <w:pStyle w:val="TableText"/>
        <w:rPr>
          <w:rFonts w:ascii="Calibri" w:hAnsi="Calibri"/>
          <w:sz w:val="24"/>
          <w:szCs w:val="24"/>
        </w:rPr>
      </w:pPr>
    </w:p>
    <w:p w14:paraId="052D482B"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35363AD1"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93"/>
        <w:gridCol w:w="9410"/>
        <w:gridCol w:w="173"/>
      </w:tblGrid>
      <w:tr w:rsidR="002F3ADA" w:rsidRPr="00DD62CA" w14:paraId="5F56D3B0" w14:textId="77777777" w:rsidTr="001607D3">
        <w:tc>
          <w:tcPr>
            <w:tcW w:w="993" w:type="dxa"/>
          </w:tcPr>
          <w:p w14:paraId="7C7B294E"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2BBFD16" w14:textId="77777777" w:rsidR="002F3AD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p w14:paraId="1BEC9D2F" w14:textId="3437FB99" w:rsidR="001607D3" w:rsidRPr="00DD62CA" w:rsidRDefault="001607D3">
            <w:pPr>
              <w:pStyle w:val="TableText"/>
              <w:rPr>
                <w:rFonts w:ascii="Calibri" w:hAnsi="Calibri"/>
                <w:sz w:val="24"/>
                <w:szCs w:val="24"/>
              </w:rPr>
            </w:pPr>
          </w:p>
        </w:tc>
      </w:tr>
      <w:tr w:rsidR="002F3ADA" w:rsidRPr="00DD62CA" w14:paraId="2A470A34" w14:textId="77777777" w:rsidTr="001607D3">
        <w:tc>
          <w:tcPr>
            <w:tcW w:w="993" w:type="dxa"/>
          </w:tcPr>
          <w:p w14:paraId="2103E8F2" w14:textId="77777777" w:rsidR="002F3ADA" w:rsidRPr="00DD62CA" w:rsidRDefault="002F3ADA">
            <w:pPr>
              <w:pStyle w:val="TableText"/>
              <w:numPr>
                <w:ilvl w:val="0"/>
                <w:numId w:val="1"/>
              </w:numPr>
              <w:rPr>
                <w:rFonts w:ascii="Calibri" w:hAnsi="Calibri"/>
                <w:sz w:val="24"/>
                <w:szCs w:val="24"/>
              </w:rPr>
            </w:pPr>
          </w:p>
        </w:tc>
        <w:tc>
          <w:tcPr>
            <w:tcW w:w="9583" w:type="dxa"/>
            <w:gridSpan w:val="2"/>
          </w:tcPr>
          <w:p w14:paraId="6D6593F0" w14:textId="77777777" w:rsidR="002F3AD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p w14:paraId="4D58D0C9" w14:textId="77777777" w:rsidR="001607D3" w:rsidRDefault="001607D3">
            <w:pPr>
              <w:pStyle w:val="TableText"/>
              <w:rPr>
                <w:rFonts w:ascii="Calibri" w:hAnsi="Calibri"/>
                <w:sz w:val="24"/>
                <w:szCs w:val="24"/>
              </w:rPr>
            </w:pPr>
          </w:p>
          <w:p w14:paraId="5701F04D" w14:textId="77777777" w:rsidR="001607D3" w:rsidRDefault="001607D3">
            <w:pPr>
              <w:pStyle w:val="TableText"/>
              <w:rPr>
                <w:rFonts w:ascii="Calibri" w:hAnsi="Calibri"/>
                <w:sz w:val="24"/>
                <w:szCs w:val="24"/>
              </w:rPr>
            </w:pPr>
          </w:p>
          <w:p w14:paraId="5FF0E9EC" w14:textId="77777777" w:rsidR="001607D3" w:rsidRDefault="001607D3">
            <w:pPr>
              <w:pStyle w:val="TableText"/>
              <w:rPr>
                <w:rFonts w:ascii="Calibri" w:hAnsi="Calibri"/>
                <w:sz w:val="24"/>
                <w:szCs w:val="24"/>
              </w:rPr>
            </w:pPr>
          </w:p>
          <w:p w14:paraId="3C4F55F5" w14:textId="77777777" w:rsidR="001607D3" w:rsidRDefault="001607D3">
            <w:pPr>
              <w:pStyle w:val="TableText"/>
              <w:rPr>
                <w:rFonts w:ascii="Calibri" w:hAnsi="Calibri"/>
                <w:sz w:val="24"/>
                <w:szCs w:val="24"/>
              </w:rPr>
            </w:pPr>
          </w:p>
          <w:p w14:paraId="2BE47C4F" w14:textId="77777777" w:rsidR="001607D3" w:rsidRDefault="001607D3">
            <w:pPr>
              <w:pStyle w:val="TableText"/>
              <w:rPr>
                <w:rFonts w:ascii="Calibri" w:hAnsi="Calibri"/>
                <w:sz w:val="24"/>
                <w:szCs w:val="24"/>
              </w:rPr>
            </w:pPr>
          </w:p>
          <w:p w14:paraId="2E0C55DF" w14:textId="28DAB1DC" w:rsidR="001607D3" w:rsidRPr="00DD62CA" w:rsidRDefault="001607D3" w:rsidP="001607D3">
            <w:pPr>
              <w:pStyle w:val="TableText"/>
              <w:jc w:val="right"/>
              <w:rPr>
                <w:rFonts w:ascii="Calibri" w:hAnsi="Calibri"/>
                <w:sz w:val="24"/>
                <w:szCs w:val="24"/>
              </w:rPr>
            </w:pPr>
            <w:r>
              <w:rPr>
                <w:rFonts w:ascii="Calibri" w:hAnsi="Calibri"/>
                <w:sz w:val="24"/>
                <w:szCs w:val="24"/>
              </w:rPr>
              <w:t>P.T.O.</w:t>
            </w:r>
          </w:p>
        </w:tc>
      </w:tr>
      <w:tr w:rsidR="0070149C" w:rsidRPr="00DD62CA" w14:paraId="4F0E9384" w14:textId="77777777" w:rsidTr="001607D3">
        <w:tc>
          <w:tcPr>
            <w:tcW w:w="993" w:type="dxa"/>
          </w:tcPr>
          <w:p w14:paraId="025F3D98" w14:textId="77777777" w:rsidR="0070149C" w:rsidRPr="00DD62CA" w:rsidRDefault="0070149C">
            <w:pPr>
              <w:pStyle w:val="TableText"/>
              <w:numPr>
                <w:ilvl w:val="0"/>
                <w:numId w:val="1"/>
              </w:numPr>
              <w:rPr>
                <w:rFonts w:ascii="Calibri" w:hAnsi="Calibri"/>
                <w:sz w:val="24"/>
                <w:szCs w:val="24"/>
              </w:rPr>
            </w:pPr>
          </w:p>
        </w:tc>
        <w:tc>
          <w:tcPr>
            <w:tcW w:w="9583" w:type="dxa"/>
            <w:gridSpan w:val="2"/>
          </w:tcPr>
          <w:p w14:paraId="1ACA9563" w14:textId="77777777" w:rsidR="0070149C"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p w14:paraId="68D1AE0A" w14:textId="23214A2A" w:rsidR="0026438E" w:rsidRPr="00DD62CA" w:rsidRDefault="0026438E">
            <w:pPr>
              <w:pStyle w:val="TableText"/>
              <w:rPr>
                <w:rFonts w:ascii="Calibri" w:hAnsi="Calibri"/>
                <w:sz w:val="24"/>
                <w:szCs w:val="24"/>
              </w:rPr>
            </w:pPr>
          </w:p>
        </w:tc>
      </w:tr>
      <w:tr w:rsidR="0081123F" w14:paraId="285B33AF" w14:textId="77777777" w:rsidTr="001607D3">
        <w:tblPrEx>
          <w:tblCellMar>
            <w:top w:w="29" w:type="dxa"/>
            <w:left w:w="43" w:type="dxa"/>
            <w:bottom w:w="29" w:type="dxa"/>
            <w:right w:w="43" w:type="dxa"/>
          </w:tblCellMar>
          <w:tblLook w:val="0000" w:firstRow="0" w:lastRow="0" w:firstColumn="0" w:lastColumn="0" w:noHBand="0" w:noVBand="0"/>
        </w:tblPrEx>
        <w:trPr>
          <w:gridAfter w:val="1"/>
          <w:wAfter w:w="173" w:type="dxa"/>
          <w:cantSplit/>
        </w:trPr>
        <w:tc>
          <w:tcPr>
            <w:tcW w:w="10403" w:type="dxa"/>
            <w:gridSpan w:val="2"/>
          </w:tcPr>
          <w:p w14:paraId="5350DDF9" w14:textId="165E2180" w:rsidR="00B6420A" w:rsidRDefault="001607D3" w:rsidP="00B6420A">
            <w:pPr>
              <w:pStyle w:val="BodySingle"/>
              <w:rPr>
                <w:rFonts w:ascii="Brush Script MT" w:hAnsi="Brush Script MT"/>
                <w:sz w:val="44"/>
                <w:szCs w:val="44"/>
              </w:rPr>
            </w:pPr>
            <w:r>
              <w:rPr>
                <w:rFonts w:ascii="Brush Script MT" w:hAnsi="Brush Script MT"/>
                <w:sz w:val="44"/>
                <w:szCs w:val="44"/>
              </w:rPr>
              <w:t>J</w:t>
            </w:r>
            <w:r w:rsidR="00B6420A">
              <w:rPr>
                <w:rFonts w:ascii="Brush Script MT" w:hAnsi="Brush Script MT"/>
                <w:sz w:val="44"/>
                <w:szCs w:val="44"/>
              </w:rPr>
              <w:t xml:space="preserve">ohn Macholc  </w:t>
            </w:r>
          </w:p>
          <w:p w14:paraId="60607BFC" w14:textId="77777777" w:rsidR="00B6420A" w:rsidRDefault="00B6420A" w:rsidP="00B6420A">
            <w:pPr>
              <w:rPr>
                <w:rFonts w:ascii="Calibri" w:hAnsi="Calibri"/>
                <w:b/>
                <w:sz w:val="24"/>
                <w:szCs w:val="24"/>
              </w:rPr>
            </w:pPr>
            <w:r>
              <w:rPr>
                <w:rFonts w:ascii="Calibri" w:hAnsi="Calibri"/>
                <w:b/>
                <w:sz w:val="24"/>
                <w:szCs w:val="24"/>
              </w:rPr>
              <w:t>pp NICOLA HOPKINS</w:t>
            </w:r>
          </w:p>
          <w:p w14:paraId="70816D47" w14:textId="77777777" w:rsidR="00B6420A" w:rsidRDefault="00B6420A" w:rsidP="00B6420A">
            <w:pPr>
              <w:rPr>
                <w:rFonts w:ascii="Calibri" w:hAnsi="Calibri"/>
                <w:b/>
                <w:sz w:val="24"/>
                <w:szCs w:val="24"/>
              </w:rPr>
            </w:pPr>
            <w:r>
              <w:rPr>
                <w:rFonts w:ascii="Calibri" w:hAnsi="Calibri"/>
                <w:b/>
                <w:sz w:val="24"/>
                <w:szCs w:val="24"/>
              </w:rPr>
              <w:t>DIRECTOR OF ECONOMIC DEVELOPMENT AND PLANNING</w:t>
            </w:r>
          </w:p>
          <w:p w14:paraId="304A2ADD" w14:textId="77777777" w:rsidR="00E83FE1" w:rsidRPr="00641E0F" w:rsidRDefault="00E83FE1" w:rsidP="002C337D">
            <w:pPr>
              <w:rPr>
                <w:rFonts w:ascii="Calibri" w:hAnsi="Calibri"/>
                <w:b/>
                <w:bCs/>
                <w:sz w:val="24"/>
                <w:szCs w:val="24"/>
              </w:rPr>
            </w:pPr>
          </w:p>
        </w:tc>
      </w:tr>
    </w:tbl>
    <w:p w14:paraId="61294916"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07E5CAAE" w14:textId="77777777" w:rsidR="00310FDD" w:rsidRPr="00310FDD" w:rsidRDefault="00310FDD" w:rsidP="00310FDD">
      <w:pPr>
        <w:pStyle w:val="TableText"/>
        <w:rPr>
          <w:rFonts w:ascii="Calibri" w:hAnsi="Calibri" w:cs="Calibri"/>
        </w:rPr>
      </w:pPr>
    </w:p>
    <w:p w14:paraId="159D2817" w14:textId="77777777" w:rsidR="00310FDD" w:rsidRPr="00310FDD" w:rsidRDefault="00310FDD" w:rsidP="00310FDD">
      <w:pPr>
        <w:rPr>
          <w:rFonts w:ascii="Calibri" w:hAnsi="Calibri" w:cs="Calibri"/>
          <w:b/>
          <w:bCs/>
        </w:rPr>
      </w:pPr>
      <w:r w:rsidRPr="00310FDD">
        <w:rPr>
          <w:rFonts w:ascii="Calibri" w:hAnsi="Calibri" w:cs="Calibri"/>
          <w:b/>
          <w:bCs/>
        </w:rPr>
        <w:t xml:space="preserve">Right of Appeal </w:t>
      </w:r>
    </w:p>
    <w:p w14:paraId="4917BAA5" w14:textId="77777777" w:rsidR="00310FDD" w:rsidRPr="00310FDD" w:rsidRDefault="00310FDD" w:rsidP="00310FDD">
      <w:pPr>
        <w:rPr>
          <w:rFonts w:ascii="Calibri" w:hAnsi="Calibri" w:cs="Calibri"/>
        </w:rPr>
      </w:pPr>
      <w:r w:rsidRPr="00310FDD">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E601FF0" w14:textId="77777777"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14:paraId="38B6056B"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9FA9B6F" w14:textId="77777777"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5E29C8B0" w14:textId="77777777" w:rsidR="00310FDD" w:rsidRPr="00310FDD" w:rsidRDefault="00310FDD" w:rsidP="00310FDD">
      <w:pPr>
        <w:rPr>
          <w:rFonts w:ascii="Calibri" w:hAnsi="Calibri" w:cs="Calibri"/>
        </w:rPr>
      </w:pPr>
    </w:p>
    <w:p w14:paraId="04050034" w14:textId="77777777"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w:t>
      </w:r>
      <w:proofErr w:type="spellStart"/>
      <w:r w:rsidRPr="00310FDD">
        <w:rPr>
          <w:rFonts w:ascii="Calibri" w:hAnsi="Calibri" w:cs="Calibri"/>
        </w:rPr>
        <w:t>tel</w:t>
      </w:r>
      <w:proofErr w:type="spellEnd"/>
      <w:r w:rsidRPr="00310FDD">
        <w:rPr>
          <w:rFonts w:ascii="Calibri" w:hAnsi="Calibri" w:cs="Calibri"/>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4EE56C75" w14:textId="77777777" w:rsidR="00310FDD" w:rsidRPr="00310FDD" w:rsidRDefault="00310FDD" w:rsidP="00310FDD">
      <w:pPr>
        <w:rPr>
          <w:rFonts w:ascii="Calibri" w:hAnsi="Calibri" w:cs="Calibri"/>
        </w:rPr>
      </w:pPr>
    </w:p>
    <w:p w14:paraId="527EACBA" w14:textId="77777777" w:rsidR="00310FDD" w:rsidRPr="00310FDD" w:rsidRDefault="00310FDD" w:rsidP="00310FDD">
      <w:pPr>
        <w:rPr>
          <w:rFonts w:ascii="Calibri" w:hAnsi="Calibri" w:cs="Calibri"/>
          <w:b/>
          <w:bCs/>
        </w:rPr>
      </w:pPr>
      <w:r w:rsidRPr="00310FDD">
        <w:rPr>
          <w:rFonts w:ascii="Calibri" w:hAnsi="Calibri" w:cs="Calibri"/>
          <w:b/>
          <w:bCs/>
        </w:rPr>
        <w:t xml:space="preserve">Purchase Notices </w:t>
      </w:r>
    </w:p>
    <w:p w14:paraId="60B54ECF" w14:textId="77777777"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269D42FA" w14:textId="77777777" w:rsidR="00310FDD" w:rsidRPr="00310FDD" w:rsidRDefault="00310FDD" w:rsidP="00310FDD">
      <w:pPr>
        <w:pStyle w:val="TableText"/>
        <w:rPr>
          <w:rFonts w:ascii="Calibri" w:hAnsi="Calibri" w:cs="Calibri"/>
        </w:rPr>
      </w:pPr>
    </w:p>
    <w:p w14:paraId="1B0A8364" w14:textId="77777777" w:rsidR="002F3ADA" w:rsidRPr="00DD62CA" w:rsidRDefault="002F3ADA" w:rsidP="0081123F">
      <w:pPr>
        <w:tabs>
          <w:tab w:val="left" w:pos="2840"/>
        </w:tabs>
        <w:rPr>
          <w:rFonts w:ascii="Calibri" w:hAnsi="Calibri"/>
          <w:sz w:val="24"/>
          <w:szCs w:val="24"/>
        </w:rPr>
      </w:pPr>
    </w:p>
    <w:sectPr w:rsidR="002F3ADA" w:rsidRPr="00DD62CA">
      <w:headerReference w:type="default" r:id="rId8"/>
      <w:footerReference w:type="default" r:id="rId9"/>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3EDCD3" w14:textId="77777777" w:rsidR="00C330AA" w:rsidRDefault="00C330AA">
      <w:r>
        <w:separator/>
      </w:r>
    </w:p>
  </w:endnote>
  <w:endnote w:type="continuationSeparator" w:id="0">
    <w:p w14:paraId="1069064D" w14:textId="77777777" w:rsidR="00C330AA" w:rsidRDefault="00C33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8C3B9"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4E0E5" w14:textId="77777777" w:rsidR="00C330AA" w:rsidRDefault="00C330AA">
      <w:r>
        <w:separator/>
      </w:r>
    </w:p>
  </w:footnote>
  <w:footnote w:type="continuationSeparator" w:id="0">
    <w:p w14:paraId="0CE9E5FB" w14:textId="77777777" w:rsidR="00C330AA" w:rsidRDefault="00C330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A748C" w14:textId="77777777" w:rsidR="002F3ADA" w:rsidRPr="0089171B" w:rsidRDefault="002F3ADA">
    <w:pPr>
      <w:rPr>
        <w:rFonts w:ascii="Calibri" w:hAnsi="Calibri" w:cs="Calibri"/>
      </w:rPr>
    </w:pPr>
    <w:r w:rsidRPr="0089171B">
      <w:rPr>
        <w:rFonts w:ascii="Calibri" w:hAnsi="Calibri" w:cs="Calibri"/>
      </w:rPr>
      <w:t>RIBBLE VALLEY BOROUGH COUNCIL</w:t>
    </w:r>
  </w:p>
  <w:p w14:paraId="1785EDD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801EF75" w14:textId="77777777" w:rsidR="002F3ADA" w:rsidRPr="0089171B" w:rsidRDefault="002F3ADA">
    <w:pPr>
      <w:pStyle w:val="addresses"/>
      <w:rPr>
        <w:rFonts w:ascii="Calibri" w:hAnsi="Calibri" w:cs="Calibri"/>
      </w:rPr>
    </w:pPr>
  </w:p>
  <w:p w14:paraId="4D4BFE45" w14:textId="1DCCC601" w:rsidR="002F3ADA" w:rsidRPr="0089171B" w:rsidRDefault="002F3ADA">
    <w:pPr>
      <w:rPr>
        <w:rFonts w:ascii="Calibri" w:hAnsi="Calibri" w:cs="Calibri"/>
        <w:b/>
        <w:bCs/>
      </w:rPr>
    </w:pPr>
    <w:r w:rsidRPr="0089171B">
      <w:rPr>
        <w:rFonts w:ascii="Calibri" w:hAnsi="Calibri" w:cs="Calibri"/>
        <w:b/>
        <w:bCs/>
      </w:rPr>
      <w:t xml:space="preserve">APPLICATION NO.  </w:t>
    </w:r>
    <w:r w:rsidR="00BB3E5D">
      <w:rPr>
        <w:rFonts w:ascii="Calibri" w:hAnsi="Calibri" w:cs="Calibri"/>
        <w:b/>
        <w:bCs/>
      </w:rPr>
      <w:t>3/2021/0449</w:t>
    </w:r>
    <w:r w:rsidRPr="0089171B">
      <w:rPr>
        <w:rFonts w:ascii="Calibri" w:hAnsi="Calibri" w:cs="Calibri"/>
        <w:b/>
        <w:bCs/>
      </w:rPr>
      <w:t xml:space="preserve">                                DECISION DATE: </w:t>
    </w:r>
    <w:r w:rsidR="00690161">
      <w:rPr>
        <w:rFonts w:ascii="Calibri" w:hAnsi="Calibri" w:cs="Calibri"/>
        <w:b/>
        <w:bCs/>
      </w:rPr>
      <w:t xml:space="preserve"> </w:t>
    </w:r>
    <w:r w:rsidR="001607D3">
      <w:rPr>
        <w:rFonts w:ascii="Calibri" w:hAnsi="Calibri" w:cs="Calibri"/>
        <w:b/>
        <w:bCs/>
      </w:rPr>
      <w:t xml:space="preserve">12 </w:t>
    </w:r>
    <w:proofErr w:type="gramStart"/>
    <w:r w:rsidR="001607D3">
      <w:rPr>
        <w:rFonts w:ascii="Calibri" w:hAnsi="Calibri" w:cs="Calibri"/>
        <w:b/>
        <w:bCs/>
      </w:rPr>
      <w:t xml:space="preserve">August </w:t>
    </w:r>
    <w:r w:rsidR="00BB3E5D">
      <w:rPr>
        <w:rFonts w:ascii="Calibri" w:hAnsi="Calibri" w:cs="Calibri"/>
        <w:b/>
        <w:bCs/>
      </w:rPr>
      <w:t xml:space="preserve"> 2021</w:t>
    </w:r>
    <w:proofErr w:type="gramEnd"/>
  </w:p>
  <w:p w14:paraId="776681B1" w14:textId="77777777" w:rsidR="002F3ADA" w:rsidRDefault="002F3ADA">
    <w:pPr>
      <w:pBdr>
        <w:bottom w:val="single" w:sz="4" w:space="1" w:color="auto"/>
      </w:pBdr>
    </w:pPr>
  </w:p>
  <w:p w14:paraId="328A6155" w14:textId="77777777" w:rsidR="002F3ADA" w:rsidRDefault="002F3AD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oNotTrackMoves/>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B3E5D"/>
    <w:rsid w:val="00111C12"/>
    <w:rsid w:val="001602C7"/>
    <w:rsid w:val="001607D3"/>
    <w:rsid w:val="001613C3"/>
    <w:rsid w:val="00172E52"/>
    <w:rsid w:val="0026438E"/>
    <w:rsid w:val="002860D9"/>
    <w:rsid w:val="002C337D"/>
    <w:rsid w:val="002D5D44"/>
    <w:rsid w:val="002F3ADA"/>
    <w:rsid w:val="00310FDD"/>
    <w:rsid w:val="00335DB8"/>
    <w:rsid w:val="00353EFF"/>
    <w:rsid w:val="004B764D"/>
    <w:rsid w:val="00521961"/>
    <w:rsid w:val="005F0993"/>
    <w:rsid w:val="006253CA"/>
    <w:rsid w:val="00690161"/>
    <w:rsid w:val="006F03C4"/>
    <w:rsid w:val="0070149C"/>
    <w:rsid w:val="007C793E"/>
    <w:rsid w:val="0081123F"/>
    <w:rsid w:val="00822630"/>
    <w:rsid w:val="0089171B"/>
    <w:rsid w:val="009A509E"/>
    <w:rsid w:val="00A43996"/>
    <w:rsid w:val="00AA358D"/>
    <w:rsid w:val="00AD66B2"/>
    <w:rsid w:val="00AD66DF"/>
    <w:rsid w:val="00B54B2E"/>
    <w:rsid w:val="00B6420A"/>
    <w:rsid w:val="00B739B9"/>
    <w:rsid w:val="00B83E0F"/>
    <w:rsid w:val="00BB3E5D"/>
    <w:rsid w:val="00BE454C"/>
    <w:rsid w:val="00C00AD7"/>
    <w:rsid w:val="00C330AA"/>
    <w:rsid w:val="00C33734"/>
    <w:rsid w:val="00DD62CA"/>
    <w:rsid w:val="00E01248"/>
    <w:rsid w:val="00E83FE1"/>
    <w:rsid w:val="00F13D27"/>
    <w:rsid w:val="00F41B2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E7BE6F"/>
  <w15:chartTrackingRefBased/>
  <w15:docId w15:val="{A3426587-F2BB-4458-A2E6-BF86F77D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4436657">
      <w:bodyDiv w:val="1"/>
      <w:marLeft w:val="0"/>
      <w:marRight w:val="0"/>
      <w:marTop w:val="0"/>
      <w:marBottom w:val="0"/>
      <w:divBdr>
        <w:top w:val="none" w:sz="0" w:space="0" w:color="auto"/>
        <w:left w:val="none" w:sz="0" w:space="0" w:color="auto"/>
        <w:bottom w:val="none" w:sz="0" w:space="0" w:color="auto"/>
        <w:right w:val="none" w:sz="0" w:space="0" w:color="auto"/>
      </w:divBdr>
    </w:div>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7314240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RVDECPP1</Template>
  <TotalTime>0</TotalTime>
  <Pages>2</Pages>
  <Words>910</Words>
  <Characters>5019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5918</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John Macholc</dc:creator>
  <cp:keywords/>
  <cp:lastModifiedBy>Lesley Lund</cp:lastModifiedBy>
  <cp:revision>2</cp:revision>
  <cp:lastPrinted>2021-08-12T11:33:00Z</cp:lastPrinted>
  <dcterms:created xsi:type="dcterms:W3CDTF">2021-08-12T11:33:00Z</dcterms:created>
  <dcterms:modified xsi:type="dcterms:W3CDTF">2021-08-12T11:33:00Z</dcterms:modified>
</cp:coreProperties>
</file>