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5"/>
        <w:gridCol w:w="425"/>
        <w:gridCol w:w="233"/>
        <w:gridCol w:w="2744"/>
        <w:gridCol w:w="3605"/>
      </w:tblGrid>
      <w:tr w:rsidR="004A5EA9" w:rsidRPr="00D2449B" w14:paraId="709AA990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3098E09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4A5EA9" w:rsidRPr="00D2449B" w14:paraId="43EDFBF7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867DF49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5AB09286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BE803BB" w14:textId="77777777" w:rsidR="004A5EA9" w:rsidRPr="00646ED7" w:rsidRDefault="004A5EA9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Application Ref: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3DDF9" w14:textId="4964929D" w:rsidR="004A5EA9" w:rsidRPr="00646ED7" w:rsidRDefault="00BF6C8C" w:rsidP="00250879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BF6C8C">
              <w:rPr>
                <w:rFonts w:ascii="Calibri" w:hAnsi="Calibri"/>
                <w:color w:val="000000" w:themeColor="text1"/>
                <w:szCs w:val="22"/>
              </w:rPr>
              <w:t>3/</w:t>
            </w:r>
            <w:r w:rsidR="006B06BE">
              <w:rPr>
                <w:rFonts w:ascii="Calibri" w:hAnsi="Calibri"/>
                <w:color w:val="000000" w:themeColor="text1"/>
                <w:szCs w:val="22"/>
              </w:rPr>
              <w:t>2021/0477</w:t>
            </w:r>
          </w:p>
        </w:tc>
        <w:tc>
          <w:tcPr>
            <w:tcW w:w="36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6C76668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FECDA99" wp14:editId="4C8AF85F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5EA9" w:rsidRPr="00D2449B" w14:paraId="58392EDC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2F20A80" w14:textId="77777777" w:rsidR="004A5EA9" w:rsidRPr="00646ED7" w:rsidRDefault="004A5EA9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Date Inspected: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89B8F3" w14:textId="6C24EE9F" w:rsidR="004A5EA9" w:rsidRPr="00646ED7" w:rsidRDefault="0025023C">
            <w:pPr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02/07/2021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89240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71ACB8DC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4C79ED7" w14:textId="77777777" w:rsidR="004A5EA9" w:rsidRPr="00646ED7" w:rsidRDefault="00D2449B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Officer</w:t>
            </w:r>
            <w:r w:rsidR="004A5EA9" w:rsidRPr="00646ED7">
              <w:rPr>
                <w:rFonts w:ascii="Calibri" w:hAnsi="Calibri"/>
                <w:b/>
                <w:color w:val="000000" w:themeColor="text1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56DAF" w14:textId="77777777" w:rsidR="004A5EA9" w:rsidRPr="00646ED7" w:rsidRDefault="00646ED7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color w:val="000000" w:themeColor="text1"/>
                <w:szCs w:val="22"/>
              </w:rPr>
              <w:t>AB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BED82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62E6C9BB" w14:textId="77777777" w:rsidTr="001D4F7A">
        <w:trPr>
          <w:jc w:val="center"/>
        </w:trPr>
        <w:tc>
          <w:tcPr>
            <w:tcW w:w="563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3CB78D" w14:textId="77777777" w:rsidR="004A5EA9" w:rsidRPr="00646ED7" w:rsidRDefault="004A5EA9" w:rsidP="004A5EA9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 xml:space="preserve">DELEGATED ITEM FILE REPORT: </w:t>
            </w:r>
          </w:p>
        </w:tc>
        <w:tc>
          <w:tcPr>
            <w:tcW w:w="3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5A57CA" w14:textId="77777777" w:rsidR="004A5EA9" w:rsidRPr="00D2449B" w:rsidRDefault="003F4508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0CEF7800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4AD5F39C" w14:textId="77777777" w:rsidR="004A5EA9" w:rsidRPr="00646ED7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ab/>
            </w:r>
          </w:p>
        </w:tc>
      </w:tr>
      <w:tr w:rsidR="004A5EA9" w:rsidRPr="00D2449B" w14:paraId="74265168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9DB40AF" w14:textId="77777777" w:rsidR="004A5EA9" w:rsidRPr="00646ED7" w:rsidRDefault="00011FB3" w:rsidP="00A95D89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Development</w:t>
            </w:r>
            <w:r w:rsidR="004A5EA9" w:rsidRPr="00646ED7">
              <w:rPr>
                <w:rFonts w:ascii="Calibri" w:hAnsi="Calibri"/>
                <w:b/>
                <w:color w:val="000000" w:themeColor="text1"/>
                <w:szCs w:val="22"/>
              </w:rPr>
              <w:t xml:space="preserve"> </w:t>
            </w:r>
            <w:r w:rsidR="00A95D89" w:rsidRPr="00646ED7">
              <w:rPr>
                <w:rFonts w:ascii="Calibri" w:hAnsi="Calibri"/>
                <w:b/>
                <w:color w:val="000000" w:themeColor="text1"/>
                <w:szCs w:val="22"/>
              </w:rPr>
              <w:t>Description</w:t>
            </w:r>
            <w:r w:rsidR="004A5EA9" w:rsidRPr="00646ED7">
              <w:rPr>
                <w:rFonts w:ascii="Calibri" w:hAnsi="Calibri"/>
                <w:b/>
                <w:color w:val="000000" w:themeColor="text1"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4D6B9D" w14:textId="1B5C6171" w:rsidR="004A5EA9" w:rsidRPr="006B06BE" w:rsidRDefault="006B06BE" w:rsidP="006B06B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Cs w:val="22"/>
              </w:rPr>
            </w:pPr>
            <w:r w:rsidRPr="006B06BE">
              <w:rPr>
                <w:rFonts w:ascii="Calibri" w:hAnsi="Calibri" w:cs="Calibri"/>
                <w:b/>
                <w:bCs/>
                <w:szCs w:val="22"/>
              </w:rPr>
              <w:t xml:space="preserve">Certificate of Lawfulness for a proposed first floor </w:t>
            </w:r>
            <w:r w:rsidR="006346B3">
              <w:rPr>
                <w:rFonts w:ascii="Calibri" w:hAnsi="Calibri" w:cs="Calibri"/>
                <w:b/>
                <w:bCs/>
                <w:szCs w:val="22"/>
              </w:rPr>
              <w:t>rear</w:t>
            </w:r>
            <w:r w:rsidRPr="006B06BE">
              <w:rPr>
                <w:rFonts w:ascii="Calibri" w:hAnsi="Calibri" w:cs="Calibri"/>
                <w:b/>
                <w:bCs/>
                <w:szCs w:val="22"/>
              </w:rPr>
              <w:t xml:space="preserve"> extension and single storey </w:t>
            </w:r>
            <w:r w:rsidR="006346B3">
              <w:rPr>
                <w:rFonts w:ascii="Calibri" w:hAnsi="Calibri" w:cs="Calibri"/>
                <w:b/>
                <w:bCs/>
                <w:szCs w:val="22"/>
              </w:rPr>
              <w:t>side</w:t>
            </w:r>
            <w:r w:rsidRPr="006B06BE">
              <w:rPr>
                <w:rFonts w:ascii="Calibri" w:hAnsi="Calibri" w:cs="Calibri"/>
                <w:b/>
                <w:bCs/>
                <w:szCs w:val="22"/>
              </w:rPr>
              <w:t xml:space="preserve"> extension.</w:t>
            </w:r>
          </w:p>
        </w:tc>
      </w:tr>
      <w:tr w:rsidR="002A01CF" w:rsidRPr="00D2449B" w14:paraId="2634CA80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0DE7C8" w14:textId="77777777" w:rsidR="002A01CF" w:rsidRPr="00646ED7" w:rsidRDefault="002A01CF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Site Address</w:t>
            </w:r>
            <w:r w:rsidR="00A95D89" w:rsidRPr="00646ED7">
              <w:rPr>
                <w:rFonts w:ascii="Calibri" w:hAnsi="Calibri"/>
                <w:b/>
                <w:color w:val="000000" w:themeColor="text1"/>
                <w:szCs w:val="22"/>
              </w:rPr>
              <w:t>/Location</w:t>
            </w: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1DE2B" w14:textId="6435CC64" w:rsidR="002A01CF" w:rsidRPr="00646ED7" w:rsidRDefault="006B06BE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Martin Top Farm Martin Top Lane Rimington BB7 4EG</w:t>
            </w:r>
          </w:p>
        </w:tc>
      </w:tr>
      <w:tr w:rsidR="00A95D89" w:rsidRPr="00D2449B" w14:paraId="61AD2960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24950CA" w14:textId="77777777" w:rsidR="00A95D89" w:rsidRPr="00646ED7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ab/>
            </w:r>
          </w:p>
        </w:tc>
      </w:tr>
      <w:tr w:rsidR="00C618DB" w:rsidRPr="00D2449B" w14:paraId="222E3FE6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B193977" w14:textId="77777777" w:rsidR="00C618DB" w:rsidRPr="00646ED7" w:rsidRDefault="00C618DB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E7228" w14:textId="77777777" w:rsidR="00C618DB" w:rsidRPr="00646ED7" w:rsidRDefault="00C618DB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Parish/Town Council</w:t>
            </w:r>
          </w:p>
        </w:tc>
      </w:tr>
      <w:tr w:rsidR="002A01CF" w:rsidRPr="00D2449B" w14:paraId="7BF42612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3562C73" w14:textId="77777777" w:rsidR="002A01CF" w:rsidRPr="005A3B5B" w:rsidRDefault="00646ED7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N/A</w:t>
            </w:r>
          </w:p>
        </w:tc>
      </w:tr>
      <w:tr w:rsidR="00C618DB" w:rsidRPr="00D2449B" w14:paraId="2D70F428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06568C3" w14:textId="77777777" w:rsidR="00C618DB" w:rsidRPr="005A3B5B" w:rsidRDefault="00C618DB">
            <w:pPr>
              <w:rPr>
                <w:rFonts w:asciiTheme="minorHAnsi" w:hAnsiTheme="minorHAnsi"/>
                <w:bCs/>
                <w:color w:val="000000" w:themeColor="text1"/>
                <w:szCs w:val="22"/>
              </w:rPr>
            </w:pPr>
          </w:p>
        </w:tc>
      </w:tr>
      <w:tr w:rsidR="00C618DB" w:rsidRPr="00D2449B" w14:paraId="2AFDF5F1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536AE9" w14:textId="77777777" w:rsidR="00C618DB" w:rsidRPr="005A3B5B" w:rsidRDefault="00C618DB" w:rsidP="00C618DB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395851" w14:textId="77777777" w:rsidR="00C618DB" w:rsidRPr="005A3B5B" w:rsidRDefault="00C618DB" w:rsidP="00C618DB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Highways/Water Authority/Other Bodies</w:t>
            </w:r>
          </w:p>
        </w:tc>
      </w:tr>
      <w:tr w:rsidR="002A01CF" w:rsidRPr="00D2449B" w14:paraId="47830C48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BD0E235" w14:textId="77777777" w:rsidR="002A01CF" w:rsidRPr="005A3B5B" w:rsidRDefault="00646ED7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N/A</w:t>
            </w:r>
          </w:p>
        </w:tc>
      </w:tr>
      <w:tr w:rsidR="00C618DB" w:rsidRPr="00D2449B" w14:paraId="0AF322E7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97AF7E8" w14:textId="77777777" w:rsidR="00C618DB" w:rsidRPr="005A3B5B" w:rsidRDefault="00C618DB" w:rsidP="00C618DB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853946" w14:textId="77777777" w:rsidR="00C618DB" w:rsidRPr="005A3B5B" w:rsidRDefault="00C618DB" w:rsidP="00C618DB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Additional Representations.</w:t>
            </w:r>
          </w:p>
        </w:tc>
      </w:tr>
      <w:tr w:rsidR="00EC23C7" w:rsidRPr="00D2449B" w14:paraId="76440B07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C8E9DAF" w14:textId="77777777" w:rsidR="00250879" w:rsidRPr="005A3B5B" w:rsidRDefault="00742E44" w:rsidP="00692B60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N/A</w:t>
            </w:r>
          </w:p>
        </w:tc>
      </w:tr>
      <w:tr w:rsidR="00C618DB" w:rsidRPr="00D2449B" w14:paraId="4F8F279E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B67FE2F" w14:textId="77777777" w:rsidR="00C618DB" w:rsidRPr="005A3B5B" w:rsidRDefault="00C618DB">
            <w:pPr>
              <w:rPr>
                <w:rFonts w:asciiTheme="minorHAnsi" w:hAnsiTheme="minorHAnsi"/>
                <w:color w:val="FF0000"/>
                <w:szCs w:val="22"/>
              </w:rPr>
            </w:pPr>
          </w:p>
        </w:tc>
      </w:tr>
      <w:tr w:rsidR="00EC23C7" w:rsidRPr="00D2449B" w14:paraId="2267CD6A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1EFAA5F" w14:textId="77777777" w:rsidR="00EC23C7" w:rsidRPr="005A3B5B" w:rsidRDefault="00EC23C7">
            <w:pPr>
              <w:rPr>
                <w:rFonts w:asciiTheme="minorHAnsi" w:hAnsiTheme="minorHAnsi"/>
                <w:b/>
                <w:szCs w:val="22"/>
              </w:rPr>
            </w:pPr>
            <w:r w:rsidRPr="005A3B5B">
              <w:rPr>
                <w:rFonts w:asciiTheme="minorHAnsi" w:hAnsiTheme="minorHAnsi"/>
                <w:b/>
                <w:szCs w:val="22"/>
              </w:rPr>
              <w:t>RELEVANT POLICIES:</w:t>
            </w:r>
          </w:p>
        </w:tc>
      </w:tr>
      <w:tr w:rsidR="00C618DB" w:rsidRPr="00D2449B" w14:paraId="4D157980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3401941" w14:textId="77777777" w:rsidR="00D11007" w:rsidRPr="005A3B5B" w:rsidRDefault="00646ED7" w:rsidP="00CA78C0">
            <w:pPr>
              <w:rPr>
                <w:rFonts w:asciiTheme="minorHAnsi" w:hAnsiTheme="minorHAnsi"/>
                <w:b/>
                <w:szCs w:val="22"/>
              </w:rPr>
            </w:pPr>
            <w:r w:rsidRPr="005A3B5B">
              <w:rPr>
                <w:rFonts w:asciiTheme="minorHAnsi" w:hAnsiTheme="minorHAnsi"/>
                <w:bCs/>
                <w:szCs w:val="22"/>
              </w:rPr>
              <w:t xml:space="preserve">The proposal is assessed against the provisions </w:t>
            </w:r>
            <w:r w:rsidRPr="005A3B5B">
              <w:rPr>
                <w:rFonts w:asciiTheme="minorHAnsi" w:hAnsiTheme="minorHAnsi"/>
                <w:szCs w:val="22"/>
              </w:rPr>
              <w:t xml:space="preserve">of Schedule 2 Part 1 Class A of the Town and Country Planning (General Permitted Development) Order </w:t>
            </w:r>
            <w:r w:rsidR="00CA78C0" w:rsidRPr="005A3B5B">
              <w:rPr>
                <w:rFonts w:asciiTheme="minorHAnsi" w:hAnsiTheme="minorHAnsi"/>
                <w:szCs w:val="22"/>
              </w:rPr>
              <w:t>2015.</w:t>
            </w:r>
          </w:p>
        </w:tc>
      </w:tr>
      <w:tr w:rsidR="00EC23C7" w:rsidRPr="00D2449B" w14:paraId="5FAD694D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BE307C2" w14:textId="77777777" w:rsidR="00EC23C7" w:rsidRPr="005A3B5B" w:rsidRDefault="006C2BFA" w:rsidP="006C2BFA">
            <w:pPr>
              <w:rPr>
                <w:rFonts w:asciiTheme="minorHAnsi" w:hAnsiTheme="minorHAnsi"/>
                <w:b/>
                <w:szCs w:val="22"/>
              </w:rPr>
            </w:pPr>
            <w:r w:rsidRPr="005A3B5B">
              <w:rPr>
                <w:rFonts w:asciiTheme="minorHAnsi" w:hAnsiTheme="minorHAnsi"/>
                <w:b/>
                <w:bCs/>
                <w:szCs w:val="22"/>
              </w:rPr>
              <w:t>ASSESSMENT OF PROPOSED DEVELOPMENT:</w:t>
            </w:r>
          </w:p>
        </w:tc>
      </w:tr>
      <w:tr w:rsidR="006C2BFA" w:rsidRPr="00D2449B" w14:paraId="74CC4243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AADA849" w14:textId="77777777" w:rsidR="006C2BFA" w:rsidRPr="005A3B5B" w:rsidRDefault="00EA09F9" w:rsidP="006C2BF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  <w:r w:rsidRPr="005A3B5B">
              <w:rPr>
                <w:rFonts w:asciiTheme="minorHAnsi" w:hAnsiTheme="minorHAnsi"/>
                <w:b/>
                <w:szCs w:val="22"/>
              </w:rPr>
              <w:t>Proposed Development</w:t>
            </w:r>
            <w:r w:rsidR="00E71563" w:rsidRPr="005A3B5B">
              <w:rPr>
                <w:rFonts w:asciiTheme="minorHAnsi" w:hAnsiTheme="minorHAnsi"/>
                <w:b/>
                <w:szCs w:val="22"/>
              </w:rPr>
              <w:t xml:space="preserve"> for which consent is sought</w:t>
            </w:r>
            <w:r w:rsidR="006C2BFA" w:rsidRPr="005A3B5B">
              <w:rPr>
                <w:rFonts w:asciiTheme="minorHAnsi" w:hAnsiTheme="minorHAnsi"/>
                <w:b/>
                <w:szCs w:val="22"/>
              </w:rPr>
              <w:t>:</w:t>
            </w:r>
          </w:p>
          <w:p w14:paraId="131DAEEC" w14:textId="0F5196D0" w:rsidR="00692B60" w:rsidRPr="005A3B5B" w:rsidRDefault="00D064C4" w:rsidP="00BF6C8C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 w:rsidRPr="005A3B5B">
              <w:rPr>
                <w:rFonts w:asciiTheme="minorHAnsi" w:hAnsiTheme="minorHAnsi"/>
                <w:sz w:val="22"/>
                <w:szCs w:val="22"/>
              </w:rPr>
              <w:t xml:space="preserve">This application is for a Certificate of Lawfulness </w:t>
            </w:r>
            <w:r w:rsidR="006B06BE">
              <w:rPr>
                <w:rFonts w:asciiTheme="minorHAnsi" w:hAnsiTheme="minorHAnsi"/>
                <w:sz w:val="22"/>
                <w:szCs w:val="22"/>
              </w:rPr>
              <w:t>for</w:t>
            </w:r>
            <w:r w:rsidR="006B06BE" w:rsidRPr="006B06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B06BE" w:rsidRPr="006B06BE">
              <w:rPr>
                <w:rFonts w:ascii="Calibri" w:hAnsi="Calibri" w:cs="Calibri"/>
                <w:sz w:val="22"/>
                <w:szCs w:val="22"/>
              </w:rPr>
              <w:t xml:space="preserve">a proposed first floor </w:t>
            </w:r>
            <w:r w:rsidR="0026459B">
              <w:rPr>
                <w:rFonts w:ascii="Calibri" w:hAnsi="Calibri" w:cs="Calibri"/>
                <w:sz w:val="22"/>
                <w:szCs w:val="22"/>
              </w:rPr>
              <w:t>rear</w:t>
            </w:r>
            <w:r w:rsidR="006B06BE" w:rsidRPr="006B06BE">
              <w:rPr>
                <w:rFonts w:ascii="Calibri" w:hAnsi="Calibri" w:cs="Calibri"/>
                <w:sz w:val="22"/>
                <w:szCs w:val="22"/>
              </w:rPr>
              <w:t xml:space="preserve"> extension and single storey </w:t>
            </w:r>
            <w:r w:rsidR="0026459B">
              <w:rPr>
                <w:rFonts w:ascii="Calibri" w:hAnsi="Calibri" w:cs="Calibri"/>
                <w:sz w:val="22"/>
                <w:szCs w:val="22"/>
              </w:rPr>
              <w:t>side</w:t>
            </w:r>
            <w:r w:rsidR="006B06BE" w:rsidRPr="006B06BE">
              <w:rPr>
                <w:rFonts w:ascii="Calibri" w:hAnsi="Calibri" w:cs="Calibri"/>
                <w:sz w:val="22"/>
                <w:szCs w:val="22"/>
              </w:rPr>
              <w:t xml:space="preserve"> extension</w:t>
            </w:r>
            <w:r w:rsidR="00E913B0">
              <w:rPr>
                <w:rFonts w:ascii="Calibri" w:hAnsi="Calibri" w:cs="Calibri"/>
                <w:sz w:val="22"/>
                <w:szCs w:val="22"/>
              </w:rPr>
              <w:t xml:space="preserve"> (highlighted orange on the submitted plans).</w:t>
            </w:r>
          </w:p>
        </w:tc>
      </w:tr>
      <w:tr w:rsidR="00EA09F9" w:rsidRPr="00D2449B" w14:paraId="24414848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09A56F" w14:textId="77777777" w:rsidR="005C4317" w:rsidRPr="005A3B5B" w:rsidRDefault="005C4317" w:rsidP="00DE7092">
            <w:pPr>
              <w:contextualSpacing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5A3B5B">
              <w:rPr>
                <w:rFonts w:asciiTheme="minorHAnsi" w:hAnsiTheme="minorHAnsi"/>
                <w:b/>
                <w:bCs/>
                <w:szCs w:val="22"/>
              </w:rPr>
              <w:t>Observations/Consideration of Matters Raised/Conclusion:</w:t>
            </w:r>
          </w:p>
          <w:p w14:paraId="681BA0AA" w14:textId="77777777" w:rsidR="001935B0" w:rsidRDefault="001935B0" w:rsidP="00DE7092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The merits of the proposal are not under consideration as the application is seeking formal confirmation that the proposal is lawful under the terms of the Town &amp; Country Planning (General Permitted Development) Order 2015 (GPDO) as amended.</w:t>
            </w:r>
          </w:p>
          <w:p w14:paraId="06EF7E51" w14:textId="77777777" w:rsidR="001935B0" w:rsidRDefault="001935B0" w:rsidP="00DE7092">
            <w:pPr>
              <w:jc w:val="both"/>
              <w:rPr>
                <w:rFonts w:asciiTheme="minorHAnsi" w:hAnsiTheme="minorHAnsi"/>
                <w:szCs w:val="22"/>
              </w:rPr>
            </w:pPr>
          </w:p>
          <w:p w14:paraId="0106149D" w14:textId="4EA5F31F" w:rsidR="00ED3D2C" w:rsidRPr="0004745D" w:rsidRDefault="001935B0" w:rsidP="00ED3D2C">
            <w:pPr>
              <w:pStyle w:val="BodyText"/>
              <w:jc w:val="both"/>
              <w:rPr>
                <w:rStyle w:val="legamendingtext"/>
                <w:rFonts w:asciiTheme="minorHAnsi" w:hAnsiTheme="minorHAnsi" w:cstheme="minorHAnsi"/>
                <w:b/>
                <w:bCs/>
                <w:szCs w:val="22"/>
              </w:rPr>
            </w:pPr>
            <w:r w:rsidRPr="0004745D">
              <w:rPr>
                <w:rFonts w:asciiTheme="minorHAnsi" w:hAnsiTheme="minorHAnsi" w:cstheme="minorHAnsi"/>
                <w:szCs w:val="22"/>
              </w:rPr>
              <w:t xml:space="preserve">Extensions to dwellings fall under Schedule 2, Part 1, Class A of the GPDO which permits the enlargement, </w:t>
            </w:r>
            <w:r w:rsidR="00ED3D2C" w:rsidRPr="0004745D">
              <w:rPr>
                <w:rFonts w:asciiTheme="minorHAnsi" w:hAnsiTheme="minorHAnsi" w:cstheme="minorHAnsi"/>
                <w:szCs w:val="22"/>
              </w:rPr>
              <w:t>improvement,</w:t>
            </w:r>
            <w:r w:rsidRPr="0004745D">
              <w:rPr>
                <w:rFonts w:asciiTheme="minorHAnsi" w:hAnsiTheme="minorHAnsi" w:cstheme="minorHAnsi"/>
                <w:szCs w:val="22"/>
              </w:rPr>
              <w:t xml:space="preserve"> or other alteration of a dwellinghouse.</w:t>
            </w:r>
            <w:r w:rsidR="00ED3D2C" w:rsidRPr="0004745D">
              <w:rPr>
                <w:rFonts w:asciiTheme="minorHAnsi" w:hAnsiTheme="minorHAnsi" w:cstheme="minorHAnsi"/>
                <w:szCs w:val="22"/>
              </w:rPr>
              <w:t xml:space="preserve"> Schedule 2, Part 1, Class A </w:t>
            </w:r>
            <w:r w:rsidR="00ED3D2C">
              <w:rPr>
                <w:rFonts w:asciiTheme="minorHAnsi" w:hAnsiTheme="minorHAnsi" w:cstheme="minorHAnsi"/>
                <w:szCs w:val="22"/>
              </w:rPr>
              <w:t>defines</w:t>
            </w:r>
            <w:r w:rsidR="00ED3D2C" w:rsidRPr="0004745D">
              <w:rPr>
                <w:rFonts w:asciiTheme="minorHAnsi" w:hAnsiTheme="minorHAnsi" w:cstheme="minorHAnsi"/>
                <w:szCs w:val="22"/>
              </w:rPr>
              <w:t xml:space="preserve"> t</w:t>
            </w:r>
            <w:r w:rsidR="00ED3D2C" w:rsidRPr="0004745D">
              <w:rPr>
                <w:rFonts w:asciiTheme="minorHAnsi" w:hAnsiTheme="minorHAnsi" w:cstheme="minorHAnsi"/>
                <w:szCs w:val="22"/>
                <w:lang w:val="en"/>
              </w:rPr>
              <w:t>he term '</w:t>
            </w:r>
            <w:r w:rsidR="00ED3D2C" w:rsidRPr="0004745D">
              <w:rPr>
                <w:rStyle w:val="Strong"/>
                <w:rFonts w:asciiTheme="minorHAnsi" w:hAnsiTheme="minorHAnsi" w:cstheme="minorHAnsi"/>
                <w:b w:val="0"/>
                <w:bCs w:val="0"/>
                <w:szCs w:val="22"/>
                <w:lang w:val="en"/>
              </w:rPr>
              <w:t>original dwellinghouse</w:t>
            </w:r>
            <w:r w:rsidR="00ED3D2C" w:rsidRPr="0004745D">
              <w:rPr>
                <w:rFonts w:asciiTheme="minorHAnsi" w:hAnsiTheme="minorHAnsi" w:cstheme="minorHAnsi"/>
                <w:szCs w:val="22"/>
                <w:lang w:val="en"/>
              </w:rPr>
              <w:t>' which typically refers to a dwellinghouse as it was built or as it was on 1 July 1948 if it was built before then.</w:t>
            </w:r>
            <w:r w:rsidR="00ED3D2C">
              <w:rPr>
                <w:rFonts w:asciiTheme="minorHAnsi" w:hAnsiTheme="minorHAnsi" w:cstheme="minorHAnsi"/>
                <w:szCs w:val="22"/>
                <w:lang w:val="en"/>
              </w:rPr>
              <w:t xml:space="preserve"> In relation to Martin Top Farm</w:t>
            </w:r>
            <w:r w:rsidR="00D552C5">
              <w:rPr>
                <w:rFonts w:asciiTheme="minorHAnsi" w:hAnsiTheme="minorHAnsi" w:cstheme="minorHAnsi"/>
                <w:szCs w:val="22"/>
                <w:lang w:val="en"/>
              </w:rPr>
              <w:t xml:space="preserve">, a section of the original building to the rear is believed to have been demolished and re-built under application 3/78/0912/PB. However, </w:t>
            </w:r>
            <w:r w:rsidR="000F1F62">
              <w:rPr>
                <w:rFonts w:asciiTheme="minorHAnsi" w:hAnsiTheme="minorHAnsi" w:cstheme="minorHAnsi"/>
                <w:szCs w:val="22"/>
                <w:lang w:val="en"/>
              </w:rPr>
              <w:t xml:space="preserve">for </w:t>
            </w:r>
            <w:r w:rsidR="00D552C5">
              <w:rPr>
                <w:rFonts w:asciiTheme="minorHAnsi" w:hAnsiTheme="minorHAnsi" w:cstheme="minorHAnsi"/>
                <w:szCs w:val="22"/>
                <w:lang w:val="en"/>
              </w:rPr>
              <w:t>the purpose of the regulations it is considered that the re-built section would still be part of the original dwellinghouse.</w:t>
            </w:r>
          </w:p>
          <w:p w14:paraId="65AA6B5E" w14:textId="77777777" w:rsidR="001935B0" w:rsidRPr="0004745D" w:rsidRDefault="001935B0" w:rsidP="00DE7092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2DCA290" w14:textId="7D881971" w:rsidR="00ED3D2C" w:rsidRDefault="001935B0" w:rsidP="00DE7092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 w:rsidRPr="0004745D">
              <w:rPr>
                <w:rFonts w:asciiTheme="minorHAnsi" w:hAnsiTheme="minorHAnsi" w:cstheme="minorHAnsi"/>
                <w:szCs w:val="22"/>
              </w:rPr>
              <w:t xml:space="preserve">There are </w:t>
            </w:r>
            <w:r w:rsidR="0004745D" w:rsidRPr="0004745D">
              <w:rPr>
                <w:rFonts w:asciiTheme="minorHAnsi" w:hAnsiTheme="minorHAnsi" w:cstheme="minorHAnsi"/>
                <w:szCs w:val="22"/>
              </w:rPr>
              <w:t>several</w:t>
            </w:r>
            <w:r w:rsidRPr="0004745D">
              <w:rPr>
                <w:rFonts w:asciiTheme="minorHAnsi" w:hAnsiTheme="minorHAnsi" w:cstheme="minorHAnsi"/>
                <w:szCs w:val="22"/>
              </w:rPr>
              <w:t xml:space="preserve"> limitations to what can be built as stated below. As such, the development is assessed against each of these in turn.</w:t>
            </w:r>
            <w:r w:rsidR="0004745D" w:rsidRPr="0004745D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CCC8B5F" w14:textId="77777777" w:rsidR="001935B0" w:rsidRDefault="001935B0" w:rsidP="001935B0">
            <w:pPr>
              <w:pStyle w:val="PlainText"/>
              <w:rPr>
                <w:rFonts w:cs="Arial"/>
                <w:sz w:val="22"/>
              </w:rPr>
            </w:pPr>
          </w:p>
          <w:p w14:paraId="7E0BB544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A.1 Development is not permitted by Class A if –</w:t>
            </w:r>
          </w:p>
          <w:p w14:paraId="245D9875" w14:textId="77777777" w:rsidR="00ED282D" w:rsidRPr="00ED282D" w:rsidRDefault="001935B0" w:rsidP="00ED282D">
            <w:pPr>
              <w:overflowPunct/>
              <w:rPr>
                <w:rFonts w:asciiTheme="minorHAnsi" w:hAnsiTheme="minorHAnsi" w:cs="Times-Roman"/>
                <w:szCs w:val="22"/>
                <w:lang w:eastAsia="en-GB"/>
              </w:rPr>
            </w:pPr>
            <w:r w:rsidRPr="00ED282D">
              <w:rPr>
                <w:rFonts w:asciiTheme="minorHAnsi" w:hAnsiTheme="minorHAnsi" w:cs="Times-Roman"/>
                <w:szCs w:val="22"/>
                <w:lang w:eastAsia="en-GB"/>
              </w:rPr>
              <w:t xml:space="preserve">(a) </w:t>
            </w:r>
            <w:r w:rsidR="00ED282D" w:rsidRPr="00ED282D">
              <w:rPr>
                <w:rFonts w:asciiTheme="minorHAnsi" w:hAnsiTheme="minorHAnsi" w:cs="Times-Roman"/>
                <w:szCs w:val="22"/>
                <w:lang w:eastAsia="en-GB"/>
              </w:rPr>
              <w:t>permission to use the dwellinghouse as a dwellinghouse has been granted only by virtue of Class</w:t>
            </w:r>
          </w:p>
          <w:p w14:paraId="158A3680" w14:textId="0233C3E2" w:rsidR="001935B0" w:rsidRDefault="00ED282D" w:rsidP="00ED282D">
            <w:pPr>
              <w:pStyle w:val="PlainText"/>
              <w:rPr>
                <w:rFonts w:asciiTheme="minorHAnsi" w:hAnsiTheme="minorHAnsi" w:cs="Times-Roman"/>
                <w:szCs w:val="22"/>
                <w:lang w:eastAsia="en-GB"/>
              </w:rPr>
            </w:pPr>
            <w:r w:rsidRPr="00ED282D">
              <w:rPr>
                <w:rFonts w:asciiTheme="minorHAnsi" w:hAnsiTheme="minorHAnsi" w:cs="Times-Roman"/>
                <w:sz w:val="22"/>
                <w:szCs w:val="22"/>
                <w:lang w:eastAsia="en-GB"/>
              </w:rPr>
              <w:t>M, MA, N, P, PA or Q of Part 3 of this Schedule (changes of use)</w:t>
            </w:r>
          </w:p>
          <w:p w14:paraId="16EE6AC1" w14:textId="77777777" w:rsidR="00ED282D" w:rsidRDefault="00ED282D" w:rsidP="00ED282D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2599075" w14:textId="77777777" w:rsidR="001935B0" w:rsidRDefault="001935B0" w:rsidP="001935B0">
            <w:pPr>
              <w:pStyle w:val="PlainText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Permission for use as a dwellinghouse was not granted by virtue of Class M, N, P or Q of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Part 3.</w:t>
            </w:r>
          </w:p>
          <w:p w14:paraId="7107CF0A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39E9A42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(b) as a result of the works the total area of ground covered by buildings within the curtilage of the dwelling house (other than the original dwelling house) would exceed 50% of the total area of the curtilage (excluding the ground area of the original dwelling house);</w:t>
            </w:r>
          </w:p>
          <w:p w14:paraId="0690B7E9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78EC28A1" w14:textId="2934B77E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The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extension</w:t>
            </w:r>
            <w:r w:rsidR="00ED282D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>would not exceed 50% of the total area of curtilage of the property.</w:t>
            </w:r>
          </w:p>
          <w:p w14:paraId="16DF912A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D0C8A9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(c) the height of the part of the dwelling house enlarged, improved or altered would exceed the height of the highest part of the roof of the existing dwelling house;</w:t>
            </w:r>
          </w:p>
          <w:p w14:paraId="79AEAB0C" w14:textId="77777777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en"/>
              </w:rPr>
            </w:pPr>
          </w:p>
          <w:p w14:paraId="3CE4D948" w14:textId="762BE1E6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The height of the proposed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extension</w:t>
            </w:r>
            <w:r w:rsidR="00ED282D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>would not exceed the height of the existing dwelling.</w:t>
            </w:r>
          </w:p>
          <w:p w14:paraId="3270649E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CD0C37D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(d) the height of the eaves of the part of the dwelling house enlarged or improved or altered would exceed the height of the existing dwelling house;</w:t>
            </w:r>
          </w:p>
          <w:p w14:paraId="0FE84DD5" w14:textId="77777777" w:rsidR="001935B0" w:rsidRDefault="001935B0" w:rsidP="001935B0">
            <w:pPr>
              <w:pStyle w:val="ListParagraph"/>
              <w:rPr>
                <w:rStyle w:val="legamendingtext"/>
                <w:b/>
                <w:i/>
                <w:lang w:val="en"/>
              </w:rPr>
            </w:pPr>
          </w:p>
          <w:p w14:paraId="5DFE996D" w14:textId="12DF5105" w:rsidR="001935B0" w:rsidRDefault="001935B0" w:rsidP="001935B0">
            <w:pPr>
              <w:pStyle w:val="ListParagraph"/>
              <w:rPr>
                <w:rStyle w:val="legamendingtext"/>
                <w:rFonts w:asciiTheme="minorHAnsi" w:hAnsiTheme="minorHAnsi" w:cs="Arial"/>
                <w:b/>
                <w:szCs w:val="22"/>
                <w:lang w:val="en"/>
              </w:rPr>
            </w:pPr>
            <w:r>
              <w:rPr>
                <w:rStyle w:val="legamendingtext"/>
                <w:rFonts w:asciiTheme="minorHAnsi" w:hAnsiTheme="minorHAnsi" w:cs="Arial"/>
                <w:b/>
                <w:szCs w:val="22"/>
                <w:lang w:val="en"/>
              </w:rPr>
              <w:t xml:space="preserve">The eaves of the proposed </w:t>
            </w:r>
            <w:r>
              <w:rPr>
                <w:rFonts w:asciiTheme="minorHAnsi" w:hAnsiTheme="minorHAnsi" w:cs="Arial"/>
                <w:b/>
                <w:szCs w:val="22"/>
              </w:rPr>
              <w:t>extension</w:t>
            </w:r>
            <w:r w:rsidR="00ED282D">
              <w:rPr>
                <w:rFonts w:asciiTheme="minorHAnsi" w:hAnsiTheme="minorHAnsi" w:cs="Arial"/>
                <w:b/>
                <w:szCs w:val="22"/>
              </w:rPr>
              <w:t>s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  <w:lang w:val="en"/>
              </w:rPr>
              <w:t>would not exceed the height of the eaves of the existing dwelling.</w:t>
            </w:r>
          </w:p>
          <w:p w14:paraId="0B50DB85" w14:textId="77777777" w:rsidR="001935B0" w:rsidRDefault="001935B0" w:rsidP="001935B0">
            <w:pPr>
              <w:pStyle w:val="PlainText"/>
              <w:rPr>
                <w:sz w:val="22"/>
              </w:rPr>
            </w:pPr>
          </w:p>
          <w:p w14:paraId="38022687" w14:textId="458C1DCB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(e) the enlarged part of the dwelling house would extend beyond a wall </w:t>
            </w:r>
            <w:r w:rsidR="00ED282D">
              <w:rPr>
                <w:rFonts w:asciiTheme="minorHAnsi" w:hAnsiTheme="minorHAnsi" w:cs="Arial"/>
                <w:sz w:val="22"/>
                <w:szCs w:val="22"/>
              </w:rPr>
              <w:t>which -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(i) fronts a highway; and (ii) forms either the principal elevation or a side elevation of the original dwelling house;</w:t>
            </w:r>
          </w:p>
          <w:p w14:paraId="458CDF23" w14:textId="77777777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en"/>
              </w:rPr>
            </w:pPr>
          </w:p>
          <w:p w14:paraId="4859103D" w14:textId="3BE37CE7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The proposed </w:t>
            </w:r>
            <w:r w:rsidR="00ED282D">
              <w:rPr>
                <w:rFonts w:asciiTheme="minorHAnsi" w:hAnsiTheme="minorHAnsi" w:cs="Arial"/>
                <w:b/>
                <w:sz w:val="22"/>
                <w:szCs w:val="22"/>
              </w:rPr>
              <w:t>extensions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>would not extend beyond a wall which is considered to front a highway.</w:t>
            </w:r>
          </w:p>
          <w:p w14:paraId="1BD0DBCA" w14:textId="77777777" w:rsidR="001935B0" w:rsidRPr="00ED282D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368C8FE0" w14:textId="35CFB3A9" w:rsidR="001935B0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D282D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(f) subject to paragraph (g), the enlarged part of the dwelling house would have a single storey and – (i) extend beyond the rear wall of the original dwelling house by more than 4 metres in the case of a detached dwelling house or 3 metres in the case of any other dwelling house, or (ii) exceed 4 metres in </w:t>
            </w:r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height;</w:t>
            </w:r>
          </w:p>
          <w:p w14:paraId="7C2C1DFA" w14:textId="77777777" w:rsidR="00091CE9" w:rsidRPr="002D283E" w:rsidRDefault="00091CE9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39A8C085" w14:textId="32318E28" w:rsidR="00ED282D" w:rsidRPr="00091CE9" w:rsidRDefault="00091CE9" w:rsidP="00091CE9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"/>
              </w:rPr>
            </w:pPr>
            <w:r w:rsidRPr="00091CE9"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The proposed </w:t>
            </w:r>
            <w:r w:rsidRPr="00091CE9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extensions that are the subject of this application </w:t>
            </w:r>
            <w:r w:rsidRPr="00091CE9"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would not extend </w:t>
            </w:r>
            <w:r w:rsidRPr="00091CE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beyond the rear wall of the original dwelling house by more than 4 metres.</w:t>
            </w:r>
          </w:p>
          <w:p w14:paraId="497866C1" w14:textId="77777777" w:rsidR="001935B0" w:rsidRPr="00091CE9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2B0AE6E9" w14:textId="06C3A306" w:rsidR="001935B0" w:rsidRPr="002D283E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(g) </w:t>
            </w:r>
            <w:r w:rsidRPr="002D283E">
              <w:rPr>
                <w:rFonts w:asciiTheme="minorHAnsi" w:hAnsiTheme="minorHAnsi" w:cs="Times-Roman"/>
                <w:color w:val="000000" w:themeColor="text1"/>
                <w:sz w:val="22"/>
                <w:szCs w:val="22"/>
                <w:lang w:eastAsia="en-GB"/>
              </w:rPr>
              <w:t xml:space="preserve">for a dwellinghouse not on article 2(3) </w:t>
            </w:r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land nor on a site of special scientific interest, the enlarged part of the dwellinghouse would have a single storey and — (i) extend beyond the rear wall of the original dwellinghouse by more than 8 metres in the case of a detached dwellinghouse, or 6 metres in the case of any other dwellinghouse, or(ii) exceed 4 metres in height;”</w:t>
            </w:r>
          </w:p>
          <w:p w14:paraId="5C494897" w14:textId="77777777" w:rsidR="001935B0" w:rsidRPr="002D283E" w:rsidRDefault="001935B0" w:rsidP="001935B0">
            <w:pPr>
              <w:pStyle w:val="PlainText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</w:p>
          <w:p w14:paraId="5C9485E3" w14:textId="32502DA9" w:rsidR="002D283E" w:rsidRPr="00091CE9" w:rsidRDefault="002D283E" w:rsidP="002D283E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091CE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 xml:space="preserve">The proposed single storey rear extension </w:t>
            </w:r>
            <w:r w:rsidR="00091CE9" w:rsidRPr="00091CE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 xml:space="preserve">shown on the plans is the subject of </w:t>
            </w:r>
            <w:r w:rsidR="000F1F62">
              <w:rPr>
                <w:rFonts w:asciiTheme="minorHAnsi" w:hAnsiTheme="minorHAnsi" w:cstheme="minorHAnsi"/>
                <w:b/>
                <w:sz w:val="22"/>
                <w:szCs w:val="22"/>
                <w:lang w:val="en"/>
              </w:rPr>
              <w:t>p</w:t>
            </w:r>
            <w:r w:rsidR="00091CE9" w:rsidRPr="00091CE9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rior notification application (ref. 3/2021/0528).</w:t>
            </w:r>
          </w:p>
          <w:p w14:paraId="078142AB" w14:textId="77777777" w:rsidR="001935B0" w:rsidRPr="002D283E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04E75D43" w14:textId="147576D2" w:rsidR="001935B0" w:rsidRPr="002D283E" w:rsidRDefault="001935B0" w:rsidP="00CF7D36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(h) the enlarged part of the dwelling house would have more than one storey and – (i) extend beyond the rear wall of the original dwelling house by more than 3 metres, or </w:t>
            </w:r>
            <w:r w:rsidR="00CF7D36"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be within 7 metres of any boundary of the curtilage of the dwellinghouse being enlarged</w:t>
            </w:r>
            <w:r w:rsidR="00CF7D3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r w:rsidR="00CF7D36"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which is opposite the rear wall of that dwellinghouse;</w:t>
            </w:r>
          </w:p>
          <w:p w14:paraId="3AF19438" w14:textId="77777777" w:rsidR="001935B0" w:rsidRPr="002D283E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  <w:lang w:val="en"/>
              </w:rPr>
            </w:pPr>
          </w:p>
          <w:p w14:paraId="60CFFE76" w14:textId="48F47513" w:rsidR="001935B0" w:rsidRPr="002D283E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</w:pPr>
            <w:r w:rsidRPr="002D283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 xml:space="preserve">The proposed </w:t>
            </w:r>
            <w:r w:rsidR="002D283E" w:rsidRPr="002D283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 xml:space="preserve">first floor rear extension would not extend </w:t>
            </w:r>
            <w:r w:rsidR="002D283E" w:rsidRPr="002D283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beyond the rear wall of the original dwelling house by more than 3 metres or be within 7 metres of any boundary of the curtilage of the dwelling house opposite the rear wall of the dwelling house.</w:t>
            </w:r>
          </w:p>
          <w:p w14:paraId="2661F12D" w14:textId="77777777" w:rsidR="001935B0" w:rsidRPr="00ED282D" w:rsidRDefault="001935B0" w:rsidP="001935B0">
            <w:pPr>
              <w:pStyle w:val="Plain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166E0BF0" w14:textId="77777777" w:rsidR="001935B0" w:rsidRPr="002D283E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(i) the enlarged part of the dwelling house would be within 2 metres of the boundary of the curtilage of the dwelling house, and the height of the eaves of the enlarged part would exceed 3 metres;</w:t>
            </w:r>
          </w:p>
          <w:p w14:paraId="16CCBFB2" w14:textId="77777777" w:rsidR="001935B0" w:rsidRPr="002D283E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  <w:lang w:val="en"/>
              </w:rPr>
            </w:pPr>
          </w:p>
          <w:p w14:paraId="47E2CA68" w14:textId="7385CE94" w:rsidR="001935B0" w:rsidRPr="000F1F62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"/>
              </w:rPr>
            </w:pPr>
            <w:r w:rsidRPr="000F1F62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"/>
              </w:rPr>
              <w:t xml:space="preserve">The </w:t>
            </w:r>
            <w:r w:rsidR="000F1F62" w:rsidRPr="000F1F62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enlarged part of the dwelling house would not be within 2 metres of the boundary of </w:t>
            </w:r>
            <w:r w:rsidR="000F1F62" w:rsidRPr="000F1F62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lastRenderedPageBreak/>
              <w:t>the curtilage.</w:t>
            </w:r>
          </w:p>
          <w:p w14:paraId="627BE134" w14:textId="77777777" w:rsidR="001935B0" w:rsidRPr="00CF7D36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457B7789" w14:textId="77777777" w:rsidR="001935B0" w:rsidRPr="00CF7D36" w:rsidRDefault="001935B0" w:rsidP="001935B0">
            <w:pPr>
              <w:pStyle w:val="legclearfix2"/>
              <w:spacing w:line="240" w:lineRule="auto"/>
              <w:contextualSpacing/>
              <w:rPr>
                <w:rStyle w:val="legamendingtext"/>
                <w:color w:val="000000" w:themeColor="text1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(j) the enlarged part of the dwellinghouse would extend beyond a wall forming a side elevation of the original dwellinghouse, and would – </w:t>
            </w:r>
          </w:p>
          <w:p w14:paraId="2CA58EF9" w14:textId="77777777" w:rsidR="001935B0" w:rsidRPr="00CF7D36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color w:val="000000" w:themeColor="text1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(i)          exceed 4 metres in height,</w:t>
            </w:r>
            <w:r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</w:p>
          <w:p w14:paraId="4593889A" w14:textId="77777777" w:rsidR="00CF7D36" w:rsidRDefault="001935B0" w:rsidP="00CF7D36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(ii)         have more than one storey, or</w:t>
            </w:r>
            <w:r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</w:p>
          <w:p w14:paraId="26D06742" w14:textId="04259209" w:rsidR="001935B0" w:rsidRPr="00CF7D36" w:rsidRDefault="00CF7D36" w:rsidP="00CF7D36">
            <w:pPr>
              <w:pStyle w:val="legclearfix2"/>
              <w:spacing w:after="0" w:line="240" w:lineRule="auto"/>
              <w:ind w:left="720"/>
              <w:contextualSpacing/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theme="minorHAnsi"/>
                <w:color w:val="000000" w:themeColor="text1"/>
                <w:sz w:val="22"/>
                <w:szCs w:val="22"/>
                <w:lang w:val="en"/>
              </w:rPr>
              <w:t>(</w:t>
            </w:r>
            <w:r w:rsidRPr="00CF7D36">
              <w:rPr>
                <w:rStyle w:val="legamendingtext"/>
                <w:rFonts w:asciiTheme="minorHAnsi" w:hAnsiTheme="minorHAnsi" w:cstheme="minorHAnsi"/>
                <w:sz w:val="22"/>
                <w:szCs w:val="22"/>
              </w:rPr>
              <w:t>iii)</w:t>
            </w:r>
            <w:r>
              <w:rPr>
                <w:rStyle w:val="legamendingtext"/>
              </w:rPr>
              <w:t xml:space="preserve">        </w:t>
            </w:r>
            <w:r w:rsidR="001935B0"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have a width greater than half the width of the original dwellinghouse;</w:t>
            </w:r>
          </w:p>
          <w:p w14:paraId="22DB4E2C" w14:textId="77777777" w:rsidR="002D283E" w:rsidRPr="00CF7D36" w:rsidRDefault="002D283E" w:rsidP="002D283E">
            <w:pPr>
              <w:pStyle w:val="legclearfix2"/>
              <w:spacing w:after="0" w:line="240" w:lineRule="auto"/>
              <w:ind w:left="1440"/>
              <w:contextualSpacing/>
              <w:rPr>
                <w:rStyle w:val="legamendingtext"/>
                <w:color w:val="000000" w:themeColor="text1"/>
              </w:rPr>
            </w:pPr>
          </w:p>
          <w:p w14:paraId="63E2B0E7" w14:textId="0733F2D5" w:rsidR="002D283E" w:rsidRPr="00CF7D36" w:rsidRDefault="002D283E" w:rsidP="002D283E">
            <w:pPr>
              <w:pStyle w:val="BodyText"/>
              <w:ind w:left="720"/>
              <w:contextualSpacing/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</w:pPr>
            <w:r w:rsidRPr="00CF7D36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 xml:space="preserve">The proposed single storey side extension would extend beyond a wall forming the side elevation of the dwellinghouse by no </w:t>
            </w:r>
            <w:r w:rsidRPr="00CF7D36">
              <w:rPr>
                <w:rStyle w:val="legamendingtext"/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 xml:space="preserve">greater than half the width of the original dwellinghouse and </w:t>
            </w:r>
            <w:r w:rsidR="00CF7D36" w:rsidRPr="00CF7D36">
              <w:rPr>
                <w:rStyle w:val="legamendingtext"/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>would not exceed 4 metres in height.</w:t>
            </w:r>
          </w:p>
          <w:p w14:paraId="1D3171BC" w14:textId="77777777" w:rsidR="002D283E" w:rsidRPr="00ED282D" w:rsidRDefault="002D283E" w:rsidP="002D283E">
            <w:pPr>
              <w:pStyle w:val="legclearfix2"/>
              <w:spacing w:after="0" w:line="240" w:lineRule="auto"/>
              <w:contextualSpacing/>
              <w:rPr>
                <w:rStyle w:val="legamendingtext"/>
                <w:color w:val="FF0000"/>
              </w:rPr>
            </w:pPr>
          </w:p>
          <w:p w14:paraId="241625BF" w14:textId="77777777" w:rsidR="001935B0" w:rsidRPr="00CF7D36" w:rsidRDefault="001935B0" w:rsidP="001935B0">
            <w:pPr>
              <w:pStyle w:val="legclearfix2"/>
              <w:spacing w:line="240" w:lineRule="auto"/>
              <w:contextualSpacing/>
              <w:rPr>
                <w:color w:val="000000" w:themeColor="text1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(k) it would consist of or include—</w:t>
            </w:r>
            <w:r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</w:p>
          <w:p w14:paraId="00B2D0E7" w14:textId="77777777" w:rsidR="001935B0" w:rsidRPr="00CF7D36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(i)          the construction or provision of a veranda, balcony or raised platform,</w:t>
            </w:r>
            <w:r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</w:p>
          <w:p w14:paraId="6704F074" w14:textId="77777777" w:rsidR="001935B0" w:rsidRPr="00CF7D36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(ii)         the installation, alteration or replacement of a microwave antenna,</w:t>
            </w:r>
          </w:p>
          <w:p w14:paraId="38C4E10D" w14:textId="77777777" w:rsidR="00CF7D36" w:rsidRDefault="001935B0" w:rsidP="00CF7D36">
            <w:pPr>
              <w:pStyle w:val="legclearfix2"/>
              <w:spacing w:after="0" w:line="240" w:lineRule="auto"/>
              <w:ind w:left="720"/>
              <w:contextualSpacing/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(iii)        the installation, alteration or replacement of a chimney, flue or soil and vent pipe, or</w:t>
            </w:r>
          </w:p>
          <w:p w14:paraId="0BB545AA" w14:textId="204FF8E4" w:rsidR="001935B0" w:rsidRPr="00CF7D36" w:rsidRDefault="00CF7D36" w:rsidP="00CF7D36">
            <w:pPr>
              <w:pStyle w:val="legclearfix2"/>
              <w:spacing w:after="0" w:line="240" w:lineRule="auto"/>
              <w:ind w:left="720"/>
              <w:contextualSpacing/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theme="minorHAnsi"/>
                <w:sz w:val="22"/>
                <w:szCs w:val="22"/>
              </w:rPr>
              <w:t>(iv)</w:t>
            </w:r>
            <w:r>
              <w:rPr>
                <w:rStyle w:val="legamendingtext"/>
              </w:rPr>
              <w:t xml:space="preserve">        </w:t>
            </w:r>
            <w:r w:rsidR="001935B0"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an alteration to any part of the roof of the dwellinghouse.</w:t>
            </w:r>
          </w:p>
          <w:p w14:paraId="443E4F8B" w14:textId="77777777" w:rsidR="001935B0" w:rsidRPr="00CF7D36" w:rsidRDefault="001935B0" w:rsidP="001935B0">
            <w:pPr>
              <w:pStyle w:val="legclearfix2"/>
              <w:spacing w:after="0" w:line="240" w:lineRule="auto"/>
              <w:ind w:left="1440"/>
              <w:contextualSpacing/>
              <w:rPr>
                <w:color w:val="000000" w:themeColor="text1"/>
              </w:rPr>
            </w:pPr>
          </w:p>
          <w:p w14:paraId="257E5799" w14:textId="176BD326" w:rsidR="001935B0" w:rsidRPr="00CF7D36" w:rsidRDefault="001935B0" w:rsidP="001935B0">
            <w:pPr>
              <w:pStyle w:val="BodyText"/>
              <w:ind w:left="720"/>
              <w:contextualSpacing/>
              <w:rPr>
                <w:rFonts w:asciiTheme="minorHAnsi" w:hAnsiTheme="minorHAnsi"/>
                <w:color w:val="000000" w:themeColor="text1"/>
                <w:szCs w:val="22"/>
              </w:rPr>
            </w:pPr>
            <w:r w:rsidRPr="00CF7D36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>The propos</w:t>
            </w:r>
            <w:r w:rsidR="00CF7D36" w:rsidRPr="00CF7D36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 xml:space="preserve">als </w:t>
            </w:r>
            <w:r w:rsidRPr="00CF7D36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>would not consist of or include any of the above criteria</w:t>
            </w:r>
            <w:r w:rsidRPr="00CF7D36">
              <w:rPr>
                <w:rFonts w:asciiTheme="minorHAnsi" w:hAnsiTheme="minorHAnsi"/>
                <w:color w:val="000000" w:themeColor="text1"/>
                <w:szCs w:val="22"/>
                <w:lang w:val="en"/>
              </w:rPr>
              <w:t>.</w:t>
            </w:r>
          </w:p>
          <w:p w14:paraId="7AF342B9" w14:textId="77777777" w:rsidR="001935B0" w:rsidRPr="00ED282D" w:rsidRDefault="001935B0" w:rsidP="001935B0">
            <w:pPr>
              <w:pStyle w:val="Plain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153B19C" w14:textId="77777777" w:rsidR="001935B0" w:rsidRPr="00CF7D36" w:rsidRDefault="001935B0" w:rsidP="001935B0">
            <w:pPr>
              <w:rPr>
                <w:rFonts w:asciiTheme="minorHAnsi" w:hAnsiTheme="minorHAnsi"/>
                <w:color w:val="000000" w:themeColor="text1"/>
                <w:szCs w:val="22"/>
              </w:rPr>
            </w:pPr>
            <w:r w:rsidRPr="00CF7D36">
              <w:rPr>
                <w:rFonts w:asciiTheme="minorHAnsi" w:hAnsiTheme="minorHAnsi"/>
                <w:color w:val="000000" w:themeColor="text1"/>
                <w:szCs w:val="22"/>
              </w:rPr>
              <w:t>The building is not within a World Heritage Site, a National Park, an area of outstanding natural beauty or the Broads.</w:t>
            </w:r>
          </w:p>
          <w:p w14:paraId="708AB83C" w14:textId="77777777" w:rsidR="006B4008" w:rsidRDefault="006B4008" w:rsidP="00CF7D36">
            <w:pPr>
              <w:rPr>
                <w:rFonts w:asciiTheme="minorHAnsi" w:hAnsiTheme="minorHAnsi"/>
                <w:szCs w:val="22"/>
              </w:rPr>
            </w:pPr>
          </w:p>
          <w:p w14:paraId="70AFEF24" w14:textId="40D5D8CF" w:rsidR="00DD7DDB" w:rsidRDefault="00DD7DDB" w:rsidP="00CF7D3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Consideration </w:t>
            </w:r>
            <w:r w:rsidR="004C41F7">
              <w:rPr>
                <w:rFonts w:asciiTheme="minorHAnsi" w:hAnsiTheme="minorHAnsi"/>
                <w:szCs w:val="22"/>
              </w:rPr>
              <w:t>has been</w:t>
            </w:r>
            <w:r>
              <w:rPr>
                <w:rFonts w:asciiTheme="minorHAnsi" w:hAnsiTheme="minorHAnsi"/>
                <w:szCs w:val="22"/>
              </w:rPr>
              <w:t xml:space="preserve"> given to the extent of residential curtilage associated with Martin Top Farm. For the purposes of this application, I am satisfied that the area between the dwellinghouse (Martin Top Farm) and barn forms part of the </w:t>
            </w:r>
            <w:r w:rsidR="007E63B9">
              <w:rPr>
                <w:rFonts w:asciiTheme="minorHAnsi" w:hAnsiTheme="minorHAnsi"/>
                <w:szCs w:val="22"/>
              </w:rPr>
              <w:t xml:space="preserve">residential </w:t>
            </w:r>
            <w:r>
              <w:rPr>
                <w:rFonts w:asciiTheme="minorHAnsi" w:hAnsiTheme="minorHAnsi"/>
                <w:szCs w:val="22"/>
              </w:rPr>
              <w:t>curtilage area and therefore</w:t>
            </w:r>
            <w:r w:rsidR="007E63B9">
              <w:rPr>
                <w:rFonts w:asciiTheme="minorHAnsi" w:hAnsiTheme="minorHAnsi"/>
                <w:szCs w:val="22"/>
              </w:rPr>
              <w:t>, in accordance with the submitted ‘Proposed Site Plan’,</w:t>
            </w:r>
            <w:r>
              <w:rPr>
                <w:rFonts w:asciiTheme="minorHAnsi" w:hAnsiTheme="minorHAnsi"/>
                <w:szCs w:val="22"/>
              </w:rPr>
              <w:t xml:space="preserve"> the proposals are greater than 2m from the boundary of the curtilage</w:t>
            </w:r>
            <w:r w:rsidR="007E63B9">
              <w:rPr>
                <w:rFonts w:asciiTheme="minorHAnsi" w:hAnsiTheme="minorHAnsi"/>
                <w:szCs w:val="22"/>
              </w:rPr>
              <w:t>.</w:t>
            </w:r>
          </w:p>
          <w:p w14:paraId="564682C6" w14:textId="77777777" w:rsidR="00DD7DDB" w:rsidRDefault="00DD7DDB" w:rsidP="00CF7D36">
            <w:pPr>
              <w:rPr>
                <w:rFonts w:asciiTheme="minorHAnsi" w:hAnsiTheme="minorHAnsi"/>
                <w:szCs w:val="22"/>
              </w:rPr>
            </w:pPr>
          </w:p>
          <w:p w14:paraId="7238A880" w14:textId="6E71010D" w:rsidR="00DD7DDB" w:rsidRDefault="00DD7DDB" w:rsidP="00CF7D3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Whilst the applicant has sought to demonstrate that the barn itself and land beyond</w:t>
            </w:r>
            <w:r w:rsidR="004C41F7">
              <w:rPr>
                <w:rFonts w:asciiTheme="minorHAnsi" w:hAnsiTheme="minorHAnsi"/>
                <w:szCs w:val="22"/>
              </w:rPr>
              <w:t xml:space="preserve"> it are part of the residential curtilage of Martin Top Farm, it is not necessary to make a determination on this point for the purpose of determining whether the proposed extensions are lawful. Should the applicant seek clarification o</w:t>
            </w:r>
            <w:r w:rsidR="007E63B9">
              <w:rPr>
                <w:rFonts w:asciiTheme="minorHAnsi" w:hAnsiTheme="minorHAnsi"/>
                <w:szCs w:val="22"/>
              </w:rPr>
              <w:t>n</w:t>
            </w:r>
            <w:r w:rsidR="004C41F7">
              <w:rPr>
                <w:rFonts w:asciiTheme="minorHAnsi" w:hAnsiTheme="minorHAnsi"/>
                <w:szCs w:val="22"/>
              </w:rPr>
              <w:t xml:space="preserve"> this point, a separate certificate of lawfulness application should be submitted to the Council in relation to this matter.</w:t>
            </w:r>
          </w:p>
          <w:p w14:paraId="64C2E7BE" w14:textId="02A53236" w:rsidR="004C41F7" w:rsidRPr="005A3B5B" w:rsidRDefault="004C41F7" w:rsidP="00CF7D36">
            <w:pPr>
              <w:rPr>
                <w:rFonts w:asciiTheme="minorHAnsi" w:hAnsiTheme="minorHAnsi"/>
                <w:szCs w:val="22"/>
              </w:rPr>
            </w:pPr>
          </w:p>
        </w:tc>
      </w:tr>
      <w:tr w:rsidR="00EC23C7" w:rsidRPr="00D2449B" w14:paraId="275EA51A" w14:textId="77777777" w:rsidTr="001D4F7A">
        <w:trPr>
          <w:jc w:val="center"/>
        </w:trPr>
        <w:tc>
          <w:tcPr>
            <w:tcW w:w="26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77EA6FA" w14:textId="77777777" w:rsidR="00EC23C7" w:rsidRPr="005A3B5B" w:rsidRDefault="00EC23C7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5A3B5B">
              <w:rPr>
                <w:rFonts w:asciiTheme="minorHAnsi" w:hAnsiTheme="minorHAnsi"/>
                <w:b/>
                <w:szCs w:val="22"/>
              </w:rPr>
              <w:lastRenderedPageBreak/>
              <w:t>RECOMMENDATION</w:t>
            </w:r>
            <w:r w:rsidRPr="005A3B5B">
              <w:rPr>
                <w:rFonts w:asciiTheme="minorHAnsi" w:hAnsiTheme="minorHAnsi"/>
                <w:szCs w:val="22"/>
              </w:rPr>
              <w:t>:</w:t>
            </w:r>
          </w:p>
        </w:tc>
        <w:tc>
          <w:tcPr>
            <w:tcW w:w="658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8C732" w14:textId="77777777" w:rsidR="00EC23C7" w:rsidRPr="005A3B5B" w:rsidRDefault="001B79B9" w:rsidP="00FD14AC">
            <w:pPr>
              <w:rPr>
                <w:rFonts w:asciiTheme="minorHAnsi" w:hAnsiTheme="minorHAnsi"/>
                <w:bCs/>
                <w:szCs w:val="22"/>
              </w:rPr>
            </w:pPr>
            <w:r w:rsidRPr="005A3B5B">
              <w:rPr>
                <w:rFonts w:asciiTheme="minorHAnsi" w:hAnsiTheme="minorHAnsi"/>
                <w:szCs w:val="22"/>
              </w:rPr>
              <w:t>Approve</w:t>
            </w:r>
            <w:r w:rsidR="001E5D68" w:rsidRPr="005A3B5B">
              <w:rPr>
                <w:rFonts w:asciiTheme="minorHAnsi" w:hAnsiTheme="minorHAnsi"/>
                <w:szCs w:val="22"/>
              </w:rPr>
              <w:t xml:space="preserve"> Certificate of Lawfulness</w:t>
            </w:r>
          </w:p>
        </w:tc>
      </w:tr>
    </w:tbl>
    <w:p w14:paraId="74F0AB69" w14:textId="77777777" w:rsidR="0031197A" w:rsidRPr="00D2449B" w:rsidRDefault="00B83D8E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DB6"/>
    <w:multiLevelType w:val="hybridMultilevel"/>
    <w:tmpl w:val="49B6201E"/>
    <w:lvl w:ilvl="0" w:tplc="0C881AAA">
      <w:start w:val="1"/>
      <w:numFmt w:val="lowerRoman"/>
      <w:lvlText w:val="(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EF8287F"/>
    <w:multiLevelType w:val="hybridMultilevel"/>
    <w:tmpl w:val="6DE45CEE"/>
    <w:lvl w:ilvl="0" w:tplc="616E3DFC">
      <w:start w:val="8"/>
      <w:numFmt w:val="lowerLetter"/>
      <w:lvlText w:val="(%1)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EA9"/>
    <w:rsid w:val="00011FB3"/>
    <w:rsid w:val="0004745D"/>
    <w:rsid w:val="00091CE9"/>
    <w:rsid w:val="000F1F62"/>
    <w:rsid w:val="0010471A"/>
    <w:rsid w:val="001935B0"/>
    <w:rsid w:val="001B2B3B"/>
    <w:rsid w:val="001B79B9"/>
    <w:rsid w:val="001D4F7A"/>
    <w:rsid w:val="001E5D68"/>
    <w:rsid w:val="001E716D"/>
    <w:rsid w:val="0025023C"/>
    <w:rsid w:val="00250879"/>
    <w:rsid w:val="0026459B"/>
    <w:rsid w:val="002A01CF"/>
    <w:rsid w:val="002D283E"/>
    <w:rsid w:val="003078EE"/>
    <w:rsid w:val="003D381F"/>
    <w:rsid w:val="003F3F7B"/>
    <w:rsid w:val="003F4508"/>
    <w:rsid w:val="004A5EA9"/>
    <w:rsid w:val="004C41F7"/>
    <w:rsid w:val="004F0649"/>
    <w:rsid w:val="00536D08"/>
    <w:rsid w:val="005A3B5B"/>
    <w:rsid w:val="005B5D3D"/>
    <w:rsid w:val="005C4317"/>
    <w:rsid w:val="006346B3"/>
    <w:rsid w:val="00642F53"/>
    <w:rsid w:val="00646ED7"/>
    <w:rsid w:val="00692B60"/>
    <w:rsid w:val="006B06BE"/>
    <w:rsid w:val="006B4008"/>
    <w:rsid w:val="006B6C75"/>
    <w:rsid w:val="006C2BFA"/>
    <w:rsid w:val="0070054B"/>
    <w:rsid w:val="00722FE0"/>
    <w:rsid w:val="007255F1"/>
    <w:rsid w:val="007428C6"/>
    <w:rsid w:val="00742E44"/>
    <w:rsid w:val="007600F4"/>
    <w:rsid w:val="00776AE2"/>
    <w:rsid w:val="007D0D74"/>
    <w:rsid w:val="007E0D23"/>
    <w:rsid w:val="007E63B9"/>
    <w:rsid w:val="008021D7"/>
    <w:rsid w:val="00875753"/>
    <w:rsid w:val="008A28C8"/>
    <w:rsid w:val="00915D16"/>
    <w:rsid w:val="009D6A60"/>
    <w:rsid w:val="009E5977"/>
    <w:rsid w:val="00A579BB"/>
    <w:rsid w:val="00A63D55"/>
    <w:rsid w:val="00A95D89"/>
    <w:rsid w:val="00AC2E6B"/>
    <w:rsid w:val="00B83D8E"/>
    <w:rsid w:val="00BD3F03"/>
    <w:rsid w:val="00BF6C8C"/>
    <w:rsid w:val="00C618DB"/>
    <w:rsid w:val="00CA78C0"/>
    <w:rsid w:val="00CF7D36"/>
    <w:rsid w:val="00D064C4"/>
    <w:rsid w:val="00D11007"/>
    <w:rsid w:val="00D2449B"/>
    <w:rsid w:val="00D33ACD"/>
    <w:rsid w:val="00D552C5"/>
    <w:rsid w:val="00D721B3"/>
    <w:rsid w:val="00DC4B41"/>
    <w:rsid w:val="00DD62F6"/>
    <w:rsid w:val="00DD7DDB"/>
    <w:rsid w:val="00DE7092"/>
    <w:rsid w:val="00E224AB"/>
    <w:rsid w:val="00E66534"/>
    <w:rsid w:val="00E668EB"/>
    <w:rsid w:val="00E71563"/>
    <w:rsid w:val="00E913B0"/>
    <w:rsid w:val="00EA09F9"/>
    <w:rsid w:val="00EC23C7"/>
    <w:rsid w:val="00ED282D"/>
    <w:rsid w:val="00ED3D2C"/>
    <w:rsid w:val="00F30CCB"/>
    <w:rsid w:val="00F44E85"/>
    <w:rsid w:val="00F92DE4"/>
    <w:rsid w:val="00FA6E12"/>
    <w:rsid w:val="00FD14AC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5434"/>
  <w15:docId w15:val="{A7772A05-6158-4052-B773-22ED4907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46ED7"/>
    <w:pPr>
      <w:overflowPunct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46ED7"/>
    <w:rPr>
      <w:rFonts w:ascii="Courier New" w:eastAsia="Times New Roman" w:hAnsi="Courier New" w:cs="Courier New"/>
      <w:sz w:val="20"/>
      <w:szCs w:val="20"/>
    </w:rPr>
  </w:style>
  <w:style w:type="character" w:customStyle="1" w:styleId="FootnoteCharacters">
    <w:name w:val="Footnote Characters"/>
    <w:rsid w:val="00646ED7"/>
  </w:style>
  <w:style w:type="paragraph" w:styleId="BodyText">
    <w:name w:val="Body Text"/>
    <w:basedOn w:val="Normal"/>
    <w:link w:val="BodyTextChar"/>
    <w:rsid w:val="00646ED7"/>
    <w:pPr>
      <w:suppressAutoHyphens/>
      <w:overflowPunct/>
      <w:autoSpaceDE/>
      <w:autoSpaceDN/>
      <w:adjustRightInd/>
      <w:textAlignment w:val="auto"/>
    </w:pPr>
    <w:rPr>
      <w:rFonts w:cs="Arial"/>
      <w:color w:val="000000"/>
      <w:lang w:eastAsia="ar-SA"/>
    </w:rPr>
  </w:style>
  <w:style w:type="character" w:customStyle="1" w:styleId="BodyTextChar">
    <w:name w:val="Body Text Char"/>
    <w:basedOn w:val="DefaultParagraphFont"/>
    <w:link w:val="BodyText"/>
    <w:rsid w:val="00646ED7"/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Default">
    <w:name w:val="Default"/>
    <w:rsid w:val="00646E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egclearfix2">
    <w:name w:val="legclearfix2"/>
    <w:basedOn w:val="Normal"/>
    <w:rsid w:val="00646ED7"/>
    <w:pPr>
      <w:shd w:val="clear" w:color="auto" w:fill="FFFFFF"/>
      <w:overflowPunct/>
      <w:autoSpaceDE/>
      <w:autoSpaceDN/>
      <w:adjustRightInd/>
      <w:spacing w:after="120" w:line="360" w:lineRule="atLeast"/>
      <w:textAlignment w:val="auto"/>
    </w:pPr>
    <w:rPr>
      <w:rFonts w:ascii="Times New Roman" w:hAnsi="Times New Roman"/>
      <w:color w:val="000000"/>
      <w:sz w:val="19"/>
      <w:szCs w:val="19"/>
      <w:lang w:eastAsia="en-GB"/>
    </w:rPr>
  </w:style>
  <w:style w:type="character" w:customStyle="1" w:styleId="legamendingtext">
    <w:name w:val="legamendingtext"/>
    <w:rsid w:val="00646ED7"/>
  </w:style>
  <w:style w:type="character" w:styleId="Hyperlink">
    <w:name w:val="Hyperlink"/>
    <w:basedOn w:val="DefaultParagraphFont"/>
    <w:uiPriority w:val="99"/>
    <w:semiHidden/>
    <w:unhideWhenUsed/>
    <w:rsid w:val="0004745D"/>
    <w:rPr>
      <w:strike w:val="0"/>
      <w:dstrike w:val="0"/>
      <w:color w:val="1A0DAB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4745D"/>
    <w:rPr>
      <w:rFonts w:ascii="Arial" w:hAnsi="Arial" w:cs="Arial" w:hint="default"/>
      <w:b/>
      <w:bCs/>
      <w:i w:val="0"/>
      <w:iCs w:val="0"/>
      <w:cap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C09D7-65EE-40B2-AFFE-C0BC6C1B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6305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Jane Tucker</cp:lastModifiedBy>
  <cp:revision>2</cp:revision>
  <cp:lastPrinted>2016-03-10T16:55:00Z</cp:lastPrinted>
  <dcterms:created xsi:type="dcterms:W3CDTF">2021-09-22T14:57:00Z</dcterms:created>
  <dcterms:modified xsi:type="dcterms:W3CDTF">2021-09-22T14:57:00Z</dcterms:modified>
</cp:coreProperties>
</file>