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E398" w14:textId="77777777" w:rsidR="001A7136" w:rsidRDefault="00B05E7A">
      <w:r>
        <w:t xml:space="preserve">Report to be read in conjunction with the Decision Notice. </w:t>
      </w:r>
    </w:p>
    <w:p w14:paraId="637C1DD3" w14:textId="77777777" w:rsidR="001A7136" w:rsidRDefault="00B05E7A">
      <w:pPr>
        <w:pBdr>
          <w:top w:val="none" w:sz="0" w:space="0" w:color="auto"/>
          <w:left w:val="none" w:sz="0" w:space="0" w:color="auto"/>
          <w:bottom w:val="none" w:sz="0" w:space="0" w:color="auto"/>
          <w:right w:val="none" w:sz="0" w:space="0" w:color="auto"/>
        </w:pBdr>
        <w:spacing w:after="0"/>
        <w:ind w:left="2383"/>
        <w:jc w:val="center"/>
      </w:pPr>
      <w:r>
        <w:t xml:space="preserve"> </w:t>
      </w:r>
    </w:p>
    <w:tbl>
      <w:tblPr>
        <w:tblStyle w:val="TableGrid"/>
        <w:tblW w:w="9244" w:type="dxa"/>
        <w:tblInd w:w="368" w:type="dxa"/>
        <w:tblCellMar>
          <w:top w:w="78" w:type="dxa"/>
          <w:left w:w="106" w:type="dxa"/>
          <w:right w:w="78" w:type="dxa"/>
        </w:tblCellMar>
        <w:tblLook w:val="04A0" w:firstRow="1" w:lastRow="0" w:firstColumn="1" w:lastColumn="0" w:noHBand="0" w:noVBand="1"/>
      </w:tblPr>
      <w:tblGrid>
        <w:gridCol w:w="2237"/>
        <w:gridCol w:w="3402"/>
        <w:gridCol w:w="3605"/>
      </w:tblGrid>
      <w:tr w:rsidR="001A7136" w14:paraId="3612C36F" w14:textId="77777777">
        <w:trPr>
          <w:trHeight w:val="392"/>
        </w:trPr>
        <w:tc>
          <w:tcPr>
            <w:tcW w:w="2237" w:type="dxa"/>
            <w:tcBorders>
              <w:top w:val="single" w:sz="4" w:space="0" w:color="A6A6A6"/>
              <w:left w:val="single" w:sz="4" w:space="0" w:color="A6A6A6"/>
              <w:bottom w:val="single" w:sz="4" w:space="0" w:color="A6A6A6"/>
              <w:right w:val="single" w:sz="4" w:space="0" w:color="A6A6A6"/>
            </w:tcBorders>
          </w:tcPr>
          <w:p w14:paraId="2B911F2A"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t xml:space="preserve">Application Ref: </w:t>
            </w:r>
          </w:p>
        </w:tc>
        <w:tc>
          <w:tcPr>
            <w:tcW w:w="3402" w:type="dxa"/>
            <w:tcBorders>
              <w:top w:val="single" w:sz="4" w:space="0" w:color="A6A6A6"/>
              <w:left w:val="single" w:sz="4" w:space="0" w:color="A6A6A6"/>
              <w:bottom w:val="single" w:sz="4" w:space="0" w:color="A6A6A6"/>
              <w:right w:val="single" w:sz="4" w:space="0" w:color="A6A6A6"/>
            </w:tcBorders>
          </w:tcPr>
          <w:p w14:paraId="79655D3B" w14:textId="12895B11" w:rsidR="001A7136" w:rsidRDefault="00B05E7A">
            <w:pPr>
              <w:pBdr>
                <w:top w:val="none" w:sz="0" w:space="0" w:color="auto"/>
                <w:left w:val="none" w:sz="0" w:space="0" w:color="auto"/>
                <w:bottom w:val="none" w:sz="0" w:space="0" w:color="auto"/>
                <w:right w:val="none" w:sz="0" w:space="0" w:color="auto"/>
              </w:pBdr>
              <w:spacing w:after="0"/>
              <w:jc w:val="left"/>
            </w:pPr>
            <w:r>
              <w:rPr>
                <w:b w:val="0"/>
              </w:rPr>
              <w:t>3/2021/0836</w:t>
            </w:r>
          </w:p>
        </w:tc>
        <w:tc>
          <w:tcPr>
            <w:tcW w:w="3605" w:type="dxa"/>
            <w:vMerge w:val="restart"/>
            <w:tcBorders>
              <w:top w:val="single" w:sz="4" w:space="0" w:color="A6A6A6"/>
              <w:left w:val="single" w:sz="4" w:space="0" w:color="A6A6A6"/>
              <w:bottom w:val="single" w:sz="4" w:space="0" w:color="A6A6A6"/>
              <w:right w:val="single" w:sz="4" w:space="0" w:color="A6A6A6"/>
            </w:tcBorders>
          </w:tcPr>
          <w:p w14:paraId="40B68B82"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rPr>
                <w:b w:val="0"/>
              </w:rPr>
              <w:t xml:space="preserve"> </w:t>
            </w:r>
            <w:r>
              <w:rPr>
                <w:noProof/>
              </w:rPr>
              <w:drawing>
                <wp:inline distT="0" distB="0" distL="0" distR="0" wp14:anchorId="6EDAA561" wp14:editId="55077E43">
                  <wp:extent cx="2155445" cy="649605"/>
                  <wp:effectExtent l="0" t="0" r="0" b="0"/>
                  <wp:docPr id="378" name="Picture 378"/>
                  <wp:cNvGraphicFramePr/>
                  <a:graphic xmlns:a="http://schemas.openxmlformats.org/drawingml/2006/main">
                    <a:graphicData uri="http://schemas.openxmlformats.org/drawingml/2006/picture">
                      <pic:pic xmlns:pic="http://schemas.openxmlformats.org/drawingml/2006/picture">
                        <pic:nvPicPr>
                          <pic:cNvPr id="378" name="Picture 378"/>
                          <pic:cNvPicPr/>
                        </pic:nvPicPr>
                        <pic:blipFill>
                          <a:blip r:embed="rId4"/>
                          <a:stretch>
                            <a:fillRect/>
                          </a:stretch>
                        </pic:blipFill>
                        <pic:spPr>
                          <a:xfrm>
                            <a:off x="0" y="0"/>
                            <a:ext cx="2155445" cy="649605"/>
                          </a:xfrm>
                          <a:prstGeom prst="rect">
                            <a:avLst/>
                          </a:prstGeom>
                        </pic:spPr>
                      </pic:pic>
                    </a:graphicData>
                  </a:graphic>
                </wp:inline>
              </w:drawing>
            </w:r>
          </w:p>
        </w:tc>
      </w:tr>
      <w:tr w:rsidR="001A7136" w14:paraId="3C2B83A9" w14:textId="77777777">
        <w:trPr>
          <w:trHeight w:val="394"/>
        </w:trPr>
        <w:tc>
          <w:tcPr>
            <w:tcW w:w="2237" w:type="dxa"/>
            <w:tcBorders>
              <w:top w:val="single" w:sz="4" w:space="0" w:color="A6A6A6"/>
              <w:left w:val="single" w:sz="4" w:space="0" w:color="A6A6A6"/>
              <w:bottom w:val="single" w:sz="4" w:space="0" w:color="A6A6A6"/>
              <w:right w:val="single" w:sz="4" w:space="0" w:color="A6A6A6"/>
            </w:tcBorders>
          </w:tcPr>
          <w:p w14:paraId="08E03E90"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t xml:space="preserve">Date Inspected: </w:t>
            </w:r>
          </w:p>
        </w:tc>
        <w:tc>
          <w:tcPr>
            <w:tcW w:w="3402" w:type="dxa"/>
            <w:tcBorders>
              <w:top w:val="single" w:sz="4" w:space="0" w:color="A6A6A6"/>
              <w:left w:val="single" w:sz="4" w:space="0" w:color="A6A6A6"/>
              <w:bottom w:val="single" w:sz="4" w:space="0" w:color="A6A6A6"/>
              <w:right w:val="single" w:sz="4" w:space="0" w:color="A6A6A6"/>
            </w:tcBorders>
          </w:tcPr>
          <w:p w14:paraId="1DCCC77F"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 </w:t>
            </w:r>
          </w:p>
        </w:tc>
        <w:tc>
          <w:tcPr>
            <w:tcW w:w="0" w:type="auto"/>
            <w:vMerge/>
            <w:tcBorders>
              <w:top w:val="nil"/>
              <w:left w:val="single" w:sz="4" w:space="0" w:color="A6A6A6"/>
              <w:bottom w:val="nil"/>
              <w:right w:val="single" w:sz="4" w:space="0" w:color="A6A6A6"/>
            </w:tcBorders>
          </w:tcPr>
          <w:p w14:paraId="540E1AEB" w14:textId="77777777" w:rsidR="001A7136" w:rsidRDefault="001A7136">
            <w:pPr>
              <w:spacing w:after="160"/>
              <w:jc w:val="left"/>
            </w:pPr>
          </w:p>
        </w:tc>
      </w:tr>
      <w:tr w:rsidR="001A7136" w14:paraId="7B2D13DD" w14:textId="77777777">
        <w:trPr>
          <w:trHeight w:val="391"/>
        </w:trPr>
        <w:tc>
          <w:tcPr>
            <w:tcW w:w="2237" w:type="dxa"/>
            <w:tcBorders>
              <w:top w:val="single" w:sz="4" w:space="0" w:color="A6A6A6"/>
              <w:left w:val="single" w:sz="4" w:space="0" w:color="A6A6A6"/>
              <w:bottom w:val="single" w:sz="4" w:space="0" w:color="A6A6A6"/>
              <w:right w:val="single" w:sz="4" w:space="0" w:color="A6A6A6"/>
            </w:tcBorders>
          </w:tcPr>
          <w:p w14:paraId="6C66BF83"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t xml:space="preserve">Officer: </w:t>
            </w:r>
          </w:p>
        </w:tc>
        <w:tc>
          <w:tcPr>
            <w:tcW w:w="3402" w:type="dxa"/>
            <w:tcBorders>
              <w:top w:val="single" w:sz="4" w:space="0" w:color="A6A6A6"/>
              <w:left w:val="single" w:sz="4" w:space="0" w:color="A6A6A6"/>
              <w:bottom w:val="single" w:sz="4" w:space="0" w:color="A6A6A6"/>
              <w:right w:val="single" w:sz="4" w:space="0" w:color="A6A6A6"/>
            </w:tcBorders>
          </w:tcPr>
          <w:p w14:paraId="3CCDEB9E"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AB </w:t>
            </w:r>
          </w:p>
        </w:tc>
        <w:tc>
          <w:tcPr>
            <w:tcW w:w="0" w:type="auto"/>
            <w:vMerge/>
            <w:tcBorders>
              <w:top w:val="nil"/>
              <w:left w:val="single" w:sz="4" w:space="0" w:color="A6A6A6"/>
              <w:bottom w:val="single" w:sz="4" w:space="0" w:color="A6A6A6"/>
              <w:right w:val="single" w:sz="4" w:space="0" w:color="A6A6A6"/>
            </w:tcBorders>
          </w:tcPr>
          <w:p w14:paraId="42D4DCF2" w14:textId="77777777" w:rsidR="001A7136" w:rsidRDefault="001A7136">
            <w:pPr>
              <w:spacing w:after="160"/>
              <w:jc w:val="left"/>
            </w:pPr>
          </w:p>
        </w:tc>
      </w:tr>
      <w:tr w:rsidR="001A7136" w14:paraId="41015F9D" w14:textId="77777777">
        <w:trPr>
          <w:trHeight w:val="394"/>
        </w:trPr>
        <w:tc>
          <w:tcPr>
            <w:tcW w:w="5639" w:type="dxa"/>
            <w:gridSpan w:val="2"/>
            <w:tcBorders>
              <w:top w:val="single" w:sz="4" w:space="0" w:color="A6A6A6"/>
              <w:left w:val="single" w:sz="4" w:space="0" w:color="A6A6A6"/>
              <w:bottom w:val="single" w:sz="4" w:space="0" w:color="A6A6A6"/>
              <w:right w:val="single" w:sz="4" w:space="0" w:color="A6A6A6"/>
            </w:tcBorders>
          </w:tcPr>
          <w:p w14:paraId="0B601154"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t xml:space="preserve">DELEGATED ITEM FILE REPORT:  </w:t>
            </w:r>
          </w:p>
        </w:tc>
        <w:tc>
          <w:tcPr>
            <w:tcW w:w="3605" w:type="dxa"/>
            <w:tcBorders>
              <w:top w:val="single" w:sz="4" w:space="0" w:color="A6A6A6"/>
              <w:left w:val="single" w:sz="4" w:space="0" w:color="A6A6A6"/>
              <w:bottom w:val="single" w:sz="4" w:space="0" w:color="A6A6A6"/>
              <w:right w:val="single" w:sz="4" w:space="0" w:color="A6A6A6"/>
            </w:tcBorders>
          </w:tcPr>
          <w:p w14:paraId="7F8589B8" w14:textId="77777777" w:rsidR="001A7136" w:rsidRDefault="00B05E7A">
            <w:pPr>
              <w:pBdr>
                <w:top w:val="none" w:sz="0" w:space="0" w:color="auto"/>
                <w:left w:val="none" w:sz="0" w:space="0" w:color="auto"/>
                <w:bottom w:val="none" w:sz="0" w:space="0" w:color="auto"/>
                <w:right w:val="none" w:sz="0" w:space="0" w:color="auto"/>
              </w:pBdr>
              <w:spacing w:after="0"/>
              <w:ind w:right="30"/>
              <w:jc w:val="center"/>
            </w:pPr>
            <w:r>
              <w:t xml:space="preserve">NON MATERIAL AMENDMENT </w:t>
            </w:r>
          </w:p>
        </w:tc>
      </w:tr>
    </w:tbl>
    <w:p w14:paraId="6CBDE8F8" w14:textId="77777777" w:rsidR="001A7136" w:rsidRDefault="00B05E7A">
      <w:pPr>
        <w:pBdr>
          <w:top w:val="none" w:sz="0" w:space="0" w:color="auto"/>
          <w:left w:val="none" w:sz="0" w:space="0" w:color="auto"/>
          <w:bottom w:val="none" w:sz="0" w:space="0" w:color="auto"/>
          <w:right w:val="none" w:sz="0" w:space="0" w:color="auto"/>
        </w:pBdr>
        <w:spacing w:after="0"/>
        <w:ind w:left="476"/>
        <w:jc w:val="left"/>
      </w:pPr>
      <w:r>
        <w:t xml:space="preserve"> </w:t>
      </w:r>
      <w:r>
        <w:tab/>
        <w:t xml:space="preserve"> </w:t>
      </w:r>
    </w:p>
    <w:tbl>
      <w:tblPr>
        <w:tblStyle w:val="TableGrid"/>
        <w:tblW w:w="9244" w:type="dxa"/>
        <w:tblInd w:w="368" w:type="dxa"/>
        <w:tblCellMar>
          <w:top w:w="103" w:type="dxa"/>
          <w:left w:w="106" w:type="dxa"/>
          <w:right w:w="70" w:type="dxa"/>
        </w:tblCellMar>
        <w:tblLook w:val="04A0" w:firstRow="1" w:lastRow="0" w:firstColumn="1" w:lastColumn="0" w:noHBand="0" w:noVBand="1"/>
      </w:tblPr>
      <w:tblGrid>
        <w:gridCol w:w="2895"/>
        <w:gridCol w:w="6349"/>
      </w:tblGrid>
      <w:tr w:rsidR="001A7136" w14:paraId="01D4BC82" w14:textId="77777777">
        <w:trPr>
          <w:trHeight w:val="660"/>
        </w:trPr>
        <w:tc>
          <w:tcPr>
            <w:tcW w:w="2895" w:type="dxa"/>
            <w:tcBorders>
              <w:top w:val="single" w:sz="4" w:space="0" w:color="A6A6A6"/>
              <w:left w:val="single" w:sz="4" w:space="0" w:color="A6A6A6"/>
              <w:bottom w:val="single" w:sz="4" w:space="0" w:color="A6A6A6"/>
              <w:right w:val="single" w:sz="4" w:space="0" w:color="A6A6A6"/>
            </w:tcBorders>
          </w:tcPr>
          <w:p w14:paraId="4C9F5141"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t xml:space="preserve">Application Description: </w:t>
            </w:r>
          </w:p>
        </w:tc>
        <w:tc>
          <w:tcPr>
            <w:tcW w:w="6349" w:type="dxa"/>
            <w:tcBorders>
              <w:top w:val="single" w:sz="4" w:space="0" w:color="A6A6A6"/>
              <w:left w:val="single" w:sz="4" w:space="0" w:color="A6A6A6"/>
              <w:bottom w:val="single" w:sz="4" w:space="0" w:color="A6A6A6"/>
              <w:right w:val="single" w:sz="4" w:space="0" w:color="A6A6A6"/>
            </w:tcBorders>
          </w:tcPr>
          <w:p w14:paraId="16FCF877" w14:textId="77777777" w:rsidR="001A7136" w:rsidRDefault="00B05E7A">
            <w:pPr>
              <w:pBdr>
                <w:top w:val="none" w:sz="0" w:space="0" w:color="auto"/>
                <w:left w:val="none" w:sz="0" w:space="0" w:color="auto"/>
                <w:bottom w:val="none" w:sz="0" w:space="0" w:color="auto"/>
                <w:right w:val="none" w:sz="0" w:space="0" w:color="auto"/>
              </w:pBdr>
              <w:spacing w:after="0"/>
              <w:jc w:val="left"/>
            </w:pPr>
            <w:r>
              <w:t xml:space="preserve">Replacement of 1 and 2 bedroom lodges with a single lodge type. Non material amendment of application 3/2020/0544. </w:t>
            </w:r>
          </w:p>
        </w:tc>
      </w:tr>
      <w:tr w:rsidR="001A7136" w14:paraId="35A9195E" w14:textId="77777777">
        <w:trPr>
          <w:trHeight w:val="394"/>
        </w:trPr>
        <w:tc>
          <w:tcPr>
            <w:tcW w:w="2895" w:type="dxa"/>
            <w:tcBorders>
              <w:top w:val="single" w:sz="4" w:space="0" w:color="A6A6A6"/>
              <w:left w:val="single" w:sz="4" w:space="0" w:color="A6A6A6"/>
              <w:bottom w:val="single" w:sz="4" w:space="0" w:color="A6A6A6"/>
              <w:right w:val="single" w:sz="4" w:space="0" w:color="A6A6A6"/>
            </w:tcBorders>
          </w:tcPr>
          <w:p w14:paraId="59508172"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t xml:space="preserve">Site Address/Location: </w:t>
            </w:r>
          </w:p>
        </w:tc>
        <w:tc>
          <w:tcPr>
            <w:tcW w:w="6349" w:type="dxa"/>
            <w:tcBorders>
              <w:top w:val="single" w:sz="4" w:space="0" w:color="A6A6A6"/>
              <w:left w:val="single" w:sz="4" w:space="0" w:color="A6A6A6"/>
              <w:bottom w:val="single" w:sz="4" w:space="0" w:color="A6A6A6"/>
              <w:right w:val="single" w:sz="4" w:space="0" w:color="A6A6A6"/>
            </w:tcBorders>
          </w:tcPr>
          <w:p w14:paraId="0082D16E" w14:textId="77777777" w:rsidR="001A7136" w:rsidRDefault="00B05E7A">
            <w:pPr>
              <w:pBdr>
                <w:top w:val="none" w:sz="0" w:space="0" w:color="auto"/>
                <w:left w:val="none" w:sz="0" w:space="0" w:color="auto"/>
                <w:bottom w:val="none" w:sz="0" w:space="0" w:color="auto"/>
                <w:right w:val="none" w:sz="0" w:space="0" w:color="auto"/>
              </w:pBdr>
              <w:spacing w:after="0"/>
              <w:jc w:val="left"/>
            </w:pPr>
            <w:r>
              <w:t xml:space="preserve">Eaves Hall Moor Lane West Bradford BB7 3JG </w:t>
            </w:r>
          </w:p>
        </w:tc>
      </w:tr>
      <w:tr w:rsidR="001A7136" w14:paraId="2B813DB0" w14:textId="77777777">
        <w:trPr>
          <w:trHeight w:val="226"/>
        </w:trPr>
        <w:tc>
          <w:tcPr>
            <w:tcW w:w="2895" w:type="dxa"/>
            <w:tcBorders>
              <w:top w:val="single" w:sz="4" w:space="0" w:color="A6A6A6"/>
              <w:left w:val="nil"/>
              <w:bottom w:val="single" w:sz="4" w:space="0" w:color="A6A6A6"/>
              <w:right w:val="nil"/>
            </w:tcBorders>
            <w:vAlign w:val="bottom"/>
          </w:tcPr>
          <w:p w14:paraId="333EEBAA" w14:textId="77777777" w:rsidR="001A7136" w:rsidRDefault="00B05E7A">
            <w:pPr>
              <w:pBdr>
                <w:top w:val="none" w:sz="0" w:space="0" w:color="auto"/>
                <w:left w:val="none" w:sz="0" w:space="0" w:color="auto"/>
                <w:bottom w:val="none" w:sz="0" w:space="0" w:color="auto"/>
                <w:right w:val="none" w:sz="0" w:space="0" w:color="auto"/>
              </w:pBdr>
              <w:spacing w:after="0"/>
              <w:ind w:left="2"/>
              <w:jc w:val="center"/>
            </w:pPr>
            <w:r>
              <w:t xml:space="preserve"> </w:t>
            </w:r>
            <w:r>
              <w:tab/>
              <w:t xml:space="preserve"> </w:t>
            </w:r>
          </w:p>
        </w:tc>
        <w:tc>
          <w:tcPr>
            <w:tcW w:w="6349" w:type="dxa"/>
            <w:tcBorders>
              <w:top w:val="single" w:sz="4" w:space="0" w:color="A6A6A6"/>
              <w:left w:val="nil"/>
              <w:bottom w:val="single" w:sz="4" w:space="0" w:color="A6A6A6"/>
              <w:right w:val="nil"/>
            </w:tcBorders>
          </w:tcPr>
          <w:p w14:paraId="0FE3A6C3" w14:textId="77777777" w:rsidR="001A7136" w:rsidRDefault="001A7136">
            <w:pPr>
              <w:spacing w:after="160"/>
              <w:jc w:val="left"/>
            </w:pPr>
          </w:p>
        </w:tc>
      </w:tr>
      <w:tr w:rsidR="001A7136" w14:paraId="166FC04F" w14:textId="77777777">
        <w:trPr>
          <w:trHeight w:val="394"/>
        </w:trPr>
        <w:tc>
          <w:tcPr>
            <w:tcW w:w="2895" w:type="dxa"/>
            <w:tcBorders>
              <w:top w:val="single" w:sz="4" w:space="0" w:color="A6A6A6"/>
              <w:left w:val="single" w:sz="4" w:space="0" w:color="A6A6A6"/>
              <w:bottom w:val="single" w:sz="4" w:space="0" w:color="A6A6A6"/>
              <w:right w:val="single" w:sz="4" w:space="0" w:color="A6A6A6"/>
            </w:tcBorders>
          </w:tcPr>
          <w:p w14:paraId="18286148"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t xml:space="preserve">CONSULTATIONS:  </w:t>
            </w:r>
          </w:p>
        </w:tc>
        <w:tc>
          <w:tcPr>
            <w:tcW w:w="6349" w:type="dxa"/>
            <w:tcBorders>
              <w:top w:val="single" w:sz="4" w:space="0" w:color="A6A6A6"/>
              <w:left w:val="single" w:sz="4" w:space="0" w:color="A6A6A6"/>
              <w:bottom w:val="single" w:sz="4" w:space="0" w:color="A6A6A6"/>
              <w:right w:val="single" w:sz="4" w:space="0" w:color="A6A6A6"/>
            </w:tcBorders>
          </w:tcPr>
          <w:p w14:paraId="6028C08D" w14:textId="77777777" w:rsidR="001A7136" w:rsidRDefault="00B05E7A">
            <w:pPr>
              <w:pBdr>
                <w:top w:val="none" w:sz="0" w:space="0" w:color="auto"/>
                <w:left w:val="none" w:sz="0" w:space="0" w:color="auto"/>
                <w:bottom w:val="none" w:sz="0" w:space="0" w:color="auto"/>
                <w:right w:val="none" w:sz="0" w:space="0" w:color="auto"/>
              </w:pBdr>
              <w:spacing w:after="0"/>
              <w:jc w:val="left"/>
            </w:pPr>
            <w:r>
              <w:t xml:space="preserve">Parish/Town Council </w:t>
            </w:r>
          </w:p>
        </w:tc>
      </w:tr>
      <w:tr w:rsidR="001A7136" w14:paraId="658E511B" w14:textId="77777777">
        <w:trPr>
          <w:trHeight w:val="392"/>
        </w:trPr>
        <w:tc>
          <w:tcPr>
            <w:tcW w:w="2895" w:type="dxa"/>
            <w:tcBorders>
              <w:top w:val="single" w:sz="4" w:space="0" w:color="A6A6A6"/>
              <w:left w:val="single" w:sz="4" w:space="0" w:color="A6A6A6"/>
              <w:bottom w:val="single" w:sz="4" w:space="0" w:color="A6A6A6"/>
              <w:right w:val="nil"/>
            </w:tcBorders>
          </w:tcPr>
          <w:p w14:paraId="58315D6E"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rPr>
                <w:b w:val="0"/>
              </w:rPr>
              <w:t>N/A</w:t>
            </w:r>
            <w:r>
              <w:t xml:space="preserve"> </w:t>
            </w:r>
          </w:p>
        </w:tc>
        <w:tc>
          <w:tcPr>
            <w:tcW w:w="6349" w:type="dxa"/>
            <w:tcBorders>
              <w:top w:val="single" w:sz="4" w:space="0" w:color="A6A6A6"/>
              <w:left w:val="nil"/>
              <w:bottom w:val="single" w:sz="4" w:space="0" w:color="A6A6A6"/>
              <w:right w:val="single" w:sz="4" w:space="0" w:color="A6A6A6"/>
            </w:tcBorders>
          </w:tcPr>
          <w:p w14:paraId="78DA30C8" w14:textId="77777777" w:rsidR="001A7136" w:rsidRDefault="001A7136">
            <w:pPr>
              <w:spacing w:after="160"/>
              <w:jc w:val="left"/>
            </w:pPr>
          </w:p>
        </w:tc>
      </w:tr>
    </w:tbl>
    <w:p w14:paraId="1FCA5ABE" w14:textId="77777777" w:rsidR="001A7136" w:rsidRDefault="00B05E7A">
      <w:pPr>
        <w:pBdr>
          <w:top w:val="none" w:sz="0" w:space="0" w:color="auto"/>
          <w:left w:val="none" w:sz="0" w:space="0" w:color="auto"/>
          <w:bottom w:val="none" w:sz="0" w:space="0" w:color="auto"/>
          <w:right w:val="none" w:sz="0" w:space="0" w:color="auto"/>
        </w:pBdr>
        <w:spacing w:after="0"/>
        <w:ind w:left="476"/>
        <w:jc w:val="left"/>
      </w:pPr>
      <w:r>
        <w:rPr>
          <w:b w:val="0"/>
        </w:rPr>
        <w:t xml:space="preserve"> </w:t>
      </w:r>
    </w:p>
    <w:tbl>
      <w:tblPr>
        <w:tblStyle w:val="TableGrid"/>
        <w:tblW w:w="9244" w:type="dxa"/>
        <w:tblInd w:w="368" w:type="dxa"/>
        <w:tblCellMar>
          <w:top w:w="103" w:type="dxa"/>
          <w:left w:w="106" w:type="dxa"/>
          <w:right w:w="115" w:type="dxa"/>
        </w:tblCellMar>
        <w:tblLook w:val="04A0" w:firstRow="1" w:lastRow="0" w:firstColumn="1" w:lastColumn="0" w:noHBand="0" w:noVBand="1"/>
      </w:tblPr>
      <w:tblGrid>
        <w:gridCol w:w="2895"/>
        <w:gridCol w:w="6349"/>
      </w:tblGrid>
      <w:tr w:rsidR="001A7136" w14:paraId="50B65EBE" w14:textId="77777777">
        <w:trPr>
          <w:trHeight w:val="394"/>
        </w:trPr>
        <w:tc>
          <w:tcPr>
            <w:tcW w:w="2895" w:type="dxa"/>
            <w:tcBorders>
              <w:top w:val="single" w:sz="4" w:space="0" w:color="A6A6A6"/>
              <w:left w:val="single" w:sz="4" w:space="0" w:color="A6A6A6"/>
              <w:bottom w:val="single" w:sz="4" w:space="0" w:color="A6A6A6"/>
              <w:right w:val="single" w:sz="4" w:space="0" w:color="A6A6A6"/>
            </w:tcBorders>
          </w:tcPr>
          <w:p w14:paraId="3107EE03"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t xml:space="preserve">CONSULTATIONS:  </w:t>
            </w:r>
          </w:p>
        </w:tc>
        <w:tc>
          <w:tcPr>
            <w:tcW w:w="6349" w:type="dxa"/>
            <w:tcBorders>
              <w:top w:val="single" w:sz="4" w:space="0" w:color="A6A6A6"/>
              <w:left w:val="single" w:sz="4" w:space="0" w:color="A6A6A6"/>
              <w:bottom w:val="single" w:sz="4" w:space="0" w:color="A6A6A6"/>
              <w:right w:val="single" w:sz="4" w:space="0" w:color="A6A6A6"/>
            </w:tcBorders>
          </w:tcPr>
          <w:p w14:paraId="1842AB67" w14:textId="77777777" w:rsidR="001A7136" w:rsidRDefault="00B05E7A">
            <w:pPr>
              <w:pBdr>
                <w:top w:val="none" w:sz="0" w:space="0" w:color="auto"/>
                <w:left w:val="none" w:sz="0" w:space="0" w:color="auto"/>
                <w:bottom w:val="none" w:sz="0" w:space="0" w:color="auto"/>
                <w:right w:val="none" w:sz="0" w:space="0" w:color="auto"/>
              </w:pBdr>
              <w:spacing w:after="0"/>
              <w:jc w:val="left"/>
            </w:pPr>
            <w:r>
              <w:t xml:space="preserve">Highways/Water Authority/Other Bodies </w:t>
            </w:r>
          </w:p>
        </w:tc>
      </w:tr>
      <w:tr w:rsidR="001A7136" w14:paraId="4EBB0B4A" w14:textId="77777777">
        <w:trPr>
          <w:trHeight w:val="391"/>
        </w:trPr>
        <w:tc>
          <w:tcPr>
            <w:tcW w:w="2895" w:type="dxa"/>
            <w:tcBorders>
              <w:top w:val="single" w:sz="4" w:space="0" w:color="A6A6A6"/>
              <w:left w:val="single" w:sz="4" w:space="0" w:color="A6A6A6"/>
              <w:bottom w:val="single" w:sz="4" w:space="0" w:color="A6A6A6"/>
              <w:right w:val="nil"/>
            </w:tcBorders>
          </w:tcPr>
          <w:p w14:paraId="7F5D6E12"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rPr>
                <w:b w:val="0"/>
              </w:rPr>
              <w:t>N/A</w:t>
            </w:r>
            <w:r>
              <w:t xml:space="preserve"> </w:t>
            </w:r>
          </w:p>
        </w:tc>
        <w:tc>
          <w:tcPr>
            <w:tcW w:w="6349" w:type="dxa"/>
            <w:tcBorders>
              <w:top w:val="single" w:sz="4" w:space="0" w:color="A6A6A6"/>
              <w:left w:val="nil"/>
              <w:bottom w:val="single" w:sz="4" w:space="0" w:color="A6A6A6"/>
              <w:right w:val="single" w:sz="4" w:space="0" w:color="A6A6A6"/>
            </w:tcBorders>
          </w:tcPr>
          <w:p w14:paraId="3E549A95" w14:textId="77777777" w:rsidR="001A7136" w:rsidRDefault="001A7136">
            <w:pPr>
              <w:spacing w:after="160"/>
              <w:jc w:val="left"/>
            </w:pPr>
          </w:p>
        </w:tc>
      </w:tr>
      <w:tr w:rsidR="001A7136" w14:paraId="7BF0238D" w14:textId="77777777">
        <w:trPr>
          <w:trHeight w:val="394"/>
        </w:trPr>
        <w:tc>
          <w:tcPr>
            <w:tcW w:w="2895" w:type="dxa"/>
            <w:tcBorders>
              <w:top w:val="single" w:sz="4" w:space="0" w:color="A6A6A6"/>
              <w:left w:val="single" w:sz="4" w:space="0" w:color="A6A6A6"/>
              <w:bottom w:val="single" w:sz="4" w:space="0" w:color="A6A6A6"/>
              <w:right w:val="single" w:sz="4" w:space="0" w:color="A6A6A6"/>
            </w:tcBorders>
          </w:tcPr>
          <w:p w14:paraId="78ACE275"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t xml:space="preserve">CONSULTATIONS:  </w:t>
            </w:r>
          </w:p>
        </w:tc>
        <w:tc>
          <w:tcPr>
            <w:tcW w:w="6349" w:type="dxa"/>
            <w:tcBorders>
              <w:top w:val="single" w:sz="4" w:space="0" w:color="A6A6A6"/>
              <w:left w:val="single" w:sz="4" w:space="0" w:color="A6A6A6"/>
              <w:bottom w:val="single" w:sz="4" w:space="0" w:color="A6A6A6"/>
              <w:right w:val="single" w:sz="4" w:space="0" w:color="A6A6A6"/>
            </w:tcBorders>
          </w:tcPr>
          <w:p w14:paraId="1B7894C6" w14:textId="77777777" w:rsidR="001A7136" w:rsidRDefault="00B05E7A">
            <w:pPr>
              <w:pBdr>
                <w:top w:val="none" w:sz="0" w:space="0" w:color="auto"/>
                <w:left w:val="none" w:sz="0" w:space="0" w:color="auto"/>
                <w:bottom w:val="none" w:sz="0" w:space="0" w:color="auto"/>
                <w:right w:val="none" w:sz="0" w:space="0" w:color="auto"/>
              </w:pBdr>
              <w:spacing w:after="0"/>
              <w:jc w:val="left"/>
            </w:pPr>
            <w:r>
              <w:t xml:space="preserve">Additional Representations. </w:t>
            </w:r>
          </w:p>
        </w:tc>
      </w:tr>
      <w:tr w:rsidR="001A7136" w14:paraId="72D7CD09" w14:textId="77777777">
        <w:trPr>
          <w:trHeight w:val="391"/>
        </w:trPr>
        <w:tc>
          <w:tcPr>
            <w:tcW w:w="2895" w:type="dxa"/>
            <w:tcBorders>
              <w:top w:val="single" w:sz="4" w:space="0" w:color="A6A6A6"/>
              <w:left w:val="single" w:sz="4" w:space="0" w:color="A6A6A6"/>
              <w:bottom w:val="single" w:sz="4" w:space="0" w:color="A6A6A6"/>
              <w:right w:val="nil"/>
            </w:tcBorders>
          </w:tcPr>
          <w:p w14:paraId="4690DE32"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rPr>
                <w:b w:val="0"/>
              </w:rPr>
              <w:t xml:space="preserve">N/A </w:t>
            </w:r>
          </w:p>
        </w:tc>
        <w:tc>
          <w:tcPr>
            <w:tcW w:w="6349" w:type="dxa"/>
            <w:tcBorders>
              <w:top w:val="single" w:sz="4" w:space="0" w:color="A6A6A6"/>
              <w:left w:val="nil"/>
              <w:bottom w:val="single" w:sz="4" w:space="0" w:color="A6A6A6"/>
              <w:right w:val="single" w:sz="4" w:space="0" w:color="A6A6A6"/>
            </w:tcBorders>
          </w:tcPr>
          <w:p w14:paraId="3EA8F550" w14:textId="77777777" w:rsidR="001A7136" w:rsidRDefault="001A7136">
            <w:pPr>
              <w:spacing w:after="160"/>
              <w:jc w:val="left"/>
            </w:pPr>
          </w:p>
        </w:tc>
      </w:tr>
    </w:tbl>
    <w:p w14:paraId="5BE1BD57" w14:textId="77777777" w:rsidR="001A7136" w:rsidRDefault="00B05E7A">
      <w:pPr>
        <w:pBdr>
          <w:top w:val="none" w:sz="0" w:space="0" w:color="auto"/>
          <w:left w:val="none" w:sz="0" w:space="0" w:color="auto"/>
          <w:bottom w:val="none" w:sz="0" w:space="0" w:color="auto"/>
          <w:right w:val="none" w:sz="0" w:space="0" w:color="auto"/>
        </w:pBdr>
        <w:spacing w:after="0"/>
        <w:ind w:left="476"/>
        <w:jc w:val="left"/>
      </w:pPr>
      <w:r>
        <w:rPr>
          <w:b w:val="0"/>
          <w:color w:val="FF0000"/>
        </w:rPr>
        <w:t xml:space="preserve"> </w:t>
      </w:r>
    </w:p>
    <w:tbl>
      <w:tblPr>
        <w:tblStyle w:val="TableGrid"/>
        <w:tblW w:w="9244" w:type="dxa"/>
        <w:tblInd w:w="368" w:type="dxa"/>
        <w:tblCellMar>
          <w:top w:w="103" w:type="dxa"/>
          <w:left w:w="106" w:type="dxa"/>
          <w:right w:w="58" w:type="dxa"/>
        </w:tblCellMar>
        <w:tblLook w:val="04A0" w:firstRow="1" w:lastRow="0" w:firstColumn="1" w:lastColumn="0" w:noHBand="0" w:noVBand="1"/>
      </w:tblPr>
      <w:tblGrid>
        <w:gridCol w:w="2662"/>
        <w:gridCol w:w="6582"/>
      </w:tblGrid>
      <w:tr w:rsidR="001A7136" w14:paraId="1E3F5D95" w14:textId="77777777">
        <w:trPr>
          <w:trHeight w:val="391"/>
        </w:trPr>
        <w:tc>
          <w:tcPr>
            <w:tcW w:w="9244" w:type="dxa"/>
            <w:gridSpan w:val="2"/>
            <w:tcBorders>
              <w:top w:val="single" w:sz="4" w:space="0" w:color="A6A6A6"/>
              <w:left w:val="single" w:sz="4" w:space="0" w:color="A6A6A6"/>
              <w:bottom w:val="single" w:sz="4" w:space="0" w:color="A6A6A6"/>
              <w:right w:val="single" w:sz="4" w:space="0" w:color="A6A6A6"/>
            </w:tcBorders>
          </w:tcPr>
          <w:p w14:paraId="7E29A22C" w14:textId="77777777" w:rsidR="001A7136" w:rsidRDefault="00B05E7A">
            <w:pPr>
              <w:pBdr>
                <w:top w:val="none" w:sz="0" w:space="0" w:color="auto"/>
                <w:left w:val="none" w:sz="0" w:space="0" w:color="auto"/>
                <w:bottom w:val="none" w:sz="0" w:space="0" w:color="auto"/>
                <w:right w:val="none" w:sz="0" w:space="0" w:color="auto"/>
              </w:pBdr>
              <w:spacing w:after="0"/>
              <w:jc w:val="left"/>
            </w:pPr>
            <w:r>
              <w:t xml:space="preserve">RELEVANT POLICIES: </w:t>
            </w:r>
          </w:p>
        </w:tc>
      </w:tr>
      <w:tr w:rsidR="001A7136" w14:paraId="7023A3E8" w14:textId="77777777">
        <w:trPr>
          <w:trHeight w:val="5497"/>
        </w:trPr>
        <w:tc>
          <w:tcPr>
            <w:tcW w:w="9244" w:type="dxa"/>
            <w:gridSpan w:val="2"/>
            <w:tcBorders>
              <w:top w:val="single" w:sz="4" w:space="0" w:color="A6A6A6"/>
              <w:left w:val="single" w:sz="4" w:space="0" w:color="A6A6A6"/>
              <w:bottom w:val="single" w:sz="4" w:space="0" w:color="A6A6A6"/>
              <w:right w:val="single" w:sz="4" w:space="0" w:color="A6A6A6"/>
            </w:tcBorders>
          </w:tcPr>
          <w:p w14:paraId="7FF5F0AC" w14:textId="77777777" w:rsidR="001A7136" w:rsidRDefault="00B05E7A">
            <w:pPr>
              <w:pBdr>
                <w:top w:val="none" w:sz="0" w:space="0" w:color="auto"/>
                <w:left w:val="none" w:sz="0" w:space="0" w:color="auto"/>
                <w:bottom w:val="none" w:sz="0" w:space="0" w:color="auto"/>
                <w:right w:val="none" w:sz="0" w:space="0" w:color="auto"/>
              </w:pBdr>
              <w:spacing w:after="0"/>
              <w:jc w:val="left"/>
            </w:pPr>
            <w:r>
              <w:lastRenderedPageBreak/>
              <w:t>Ribble Valley Core Strategy:</w:t>
            </w:r>
            <w:r>
              <w:rPr>
                <w:b w:val="0"/>
                <w:i/>
              </w:rPr>
              <w:t xml:space="preserve"> </w:t>
            </w:r>
            <w:r>
              <w:rPr>
                <w:b w:val="0"/>
              </w:rPr>
              <w:t xml:space="preserve"> </w:t>
            </w:r>
          </w:p>
          <w:p w14:paraId="191EE4A2"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Key Statement DS1 – Development Strategy </w:t>
            </w:r>
          </w:p>
          <w:p w14:paraId="5135CEED"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Key Statement DS2 –Sustainable Development </w:t>
            </w:r>
          </w:p>
          <w:p w14:paraId="18503D28"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Key Statement EN2 – Landscape </w:t>
            </w:r>
          </w:p>
          <w:p w14:paraId="5946DFF3"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Key Statement EN5 – Heritage Assets </w:t>
            </w:r>
          </w:p>
          <w:p w14:paraId="0F0A64DE"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Key Statement EC1 – Business and Employment Development </w:t>
            </w:r>
          </w:p>
          <w:p w14:paraId="1CCC483B"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Key Statement EC3 – Visitor Economy </w:t>
            </w:r>
          </w:p>
          <w:p w14:paraId="63FBC005"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Key Statement DMI2 – Transport Considerations </w:t>
            </w:r>
          </w:p>
          <w:p w14:paraId="4C026FAF"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Policy DMG1 – General Considerations </w:t>
            </w:r>
          </w:p>
          <w:p w14:paraId="14836DAF"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Policy DMG2 – Strategic Considerations </w:t>
            </w:r>
          </w:p>
          <w:p w14:paraId="111395A3"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Policy DMG3 – Transport and Mobility </w:t>
            </w:r>
          </w:p>
          <w:p w14:paraId="3760577F"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Policy DME1 – Protecting Trees and Woodlands </w:t>
            </w:r>
          </w:p>
          <w:p w14:paraId="06096F58"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Policy DME2 – Landscape and Townscape Protection </w:t>
            </w:r>
          </w:p>
          <w:p w14:paraId="33012C08"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Policy DME3 - Site and Species Protection and Conservation </w:t>
            </w:r>
          </w:p>
          <w:p w14:paraId="4F02F710"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Policy DME4 – Protecting Heritage Assets </w:t>
            </w:r>
          </w:p>
          <w:p w14:paraId="3FCCF794"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Policy DME6 – Water Management </w:t>
            </w:r>
          </w:p>
          <w:p w14:paraId="3542CFA5" w14:textId="77777777" w:rsidR="001A7136" w:rsidRDefault="00B05E7A">
            <w:pPr>
              <w:pBdr>
                <w:top w:val="none" w:sz="0" w:space="0" w:color="auto"/>
                <w:left w:val="none" w:sz="0" w:space="0" w:color="auto"/>
                <w:bottom w:val="none" w:sz="0" w:space="0" w:color="auto"/>
                <w:right w:val="none" w:sz="0" w:space="0" w:color="auto"/>
              </w:pBdr>
              <w:spacing w:after="3" w:line="237" w:lineRule="auto"/>
              <w:ind w:right="2519"/>
              <w:jc w:val="left"/>
            </w:pPr>
            <w:r>
              <w:rPr>
                <w:b w:val="0"/>
              </w:rPr>
              <w:t xml:space="preserve">Policy DMB1 – Supporting Business Growth and the Local Economy Policy DMB3 – Recreation and Tourism Development </w:t>
            </w:r>
          </w:p>
          <w:p w14:paraId="5F24AF7A"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 </w:t>
            </w:r>
          </w:p>
          <w:p w14:paraId="1D6CC08D" w14:textId="77777777" w:rsidR="001A7136" w:rsidRDefault="00B05E7A">
            <w:pPr>
              <w:pBdr>
                <w:top w:val="none" w:sz="0" w:space="0" w:color="auto"/>
                <w:left w:val="none" w:sz="0" w:space="0" w:color="auto"/>
                <w:bottom w:val="none" w:sz="0" w:space="0" w:color="auto"/>
                <w:right w:val="none" w:sz="0" w:space="0" w:color="auto"/>
              </w:pBdr>
              <w:spacing w:after="0"/>
              <w:jc w:val="left"/>
            </w:pPr>
            <w:r>
              <w:t xml:space="preserve">National Planning Policy Framework </w:t>
            </w:r>
          </w:p>
        </w:tc>
      </w:tr>
      <w:tr w:rsidR="001A7136" w14:paraId="08EF6C4D" w14:textId="77777777">
        <w:trPr>
          <w:trHeight w:val="394"/>
        </w:trPr>
        <w:tc>
          <w:tcPr>
            <w:tcW w:w="9244" w:type="dxa"/>
            <w:gridSpan w:val="2"/>
            <w:tcBorders>
              <w:top w:val="single" w:sz="4" w:space="0" w:color="A6A6A6"/>
              <w:left w:val="single" w:sz="4" w:space="0" w:color="A6A6A6"/>
              <w:bottom w:val="single" w:sz="4" w:space="0" w:color="A6A6A6"/>
              <w:right w:val="single" w:sz="4" w:space="0" w:color="A6A6A6"/>
            </w:tcBorders>
          </w:tcPr>
          <w:p w14:paraId="2253EE73" w14:textId="77777777" w:rsidR="001A7136" w:rsidRDefault="00B05E7A">
            <w:pPr>
              <w:pBdr>
                <w:top w:val="none" w:sz="0" w:space="0" w:color="auto"/>
                <w:left w:val="none" w:sz="0" w:space="0" w:color="auto"/>
                <w:bottom w:val="none" w:sz="0" w:space="0" w:color="auto"/>
                <w:right w:val="none" w:sz="0" w:space="0" w:color="auto"/>
              </w:pBdr>
              <w:spacing w:after="0"/>
              <w:jc w:val="left"/>
            </w:pPr>
            <w:r>
              <w:t xml:space="preserve">ASSESSMENT OF PROPOSED DEVELOPMENT: </w:t>
            </w:r>
          </w:p>
        </w:tc>
      </w:tr>
      <w:tr w:rsidR="001A7136" w14:paraId="0D323474" w14:textId="77777777">
        <w:trPr>
          <w:trHeight w:val="1735"/>
        </w:trPr>
        <w:tc>
          <w:tcPr>
            <w:tcW w:w="9244" w:type="dxa"/>
            <w:gridSpan w:val="2"/>
            <w:tcBorders>
              <w:top w:val="single" w:sz="4" w:space="0" w:color="A6A6A6"/>
              <w:left w:val="single" w:sz="4" w:space="0" w:color="A6A6A6"/>
              <w:bottom w:val="single" w:sz="4" w:space="0" w:color="A6A6A6"/>
              <w:right w:val="single" w:sz="4" w:space="0" w:color="A6A6A6"/>
            </w:tcBorders>
          </w:tcPr>
          <w:p w14:paraId="641A7420" w14:textId="77777777" w:rsidR="001A7136" w:rsidRDefault="00B05E7A">
            <w:pPr>
              <w:pBdr>
                <w:top w:val="none" w:sz="0" w:space="0" w:color="auto"/>
                <w:left w:val="none" w:sz="0" w:space="0" w:color="auto"/>
                <w:bottom w:val="none" w:sz="0" w:space="0" w:color="auto"/>
                <w:right w:val="none" w:sz="0" w:space="0" w:color="auto"/>
              </w:pBdr>
              <w:spacing w:after="0"/>
              <w:jc w:val="left"/>
            </w:pPr>
            <w:r>
              <w:t xml:space="preserve">Nature of Non-Material Amendment: </w:t>
            </w:r>
          </w:p>
          <w:p w14:paraId="65E5EBA1" w14:textId="77777777" w:rsidR="001A7136" w:rsidRDefault="00B05E7A">
            <w:pPr>
              <w:pBdr>
                <w:top w:val="none" w:sz="0" w:space="0" w:color="auto"/>
                <w:left w:val="none" w:sz="0" w:space="0" w:color="auto"/>
                <w:bottom w:val="none" w:sz="0" w:space="0" w:color="auto"/>
                <w:right w:val="none" w:sz="0" w:space="0" w:color="auto"/>
              </w:pBdr>
              <w:spacing w:after="0" w:line="239" w:lineRule="auto"/>
              <w:ind w:right="47"/>
              <w:jc w:val="both"/>
            </w:pPr>
            <w:r>
              <w:rPr>
                <w:b w:val="0"/>
              </w:rPr>
              <w:t>Consent is sought for a non-material amendment to application 3/2020/0544 to allow replacement of the approved lodges at the site. Planning permission was approved under application 3/2020/0544 for the construction of 15 eco lodges and infrastructure to provide additional accommodation for Eaves Hall, Moor Lane, West Bradford.</w:t>
            </w:r>
            <w:r>
              <w:t xml:space="preserve"> </w:t>
            </w:r>
          </w:p>
          <w:p w14:paraId="408D70EE"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color w:val="FF0000"/>
              </w:rPr>
              <w:t xml:space="preserve"> </w:t>
            </w:r>
          </w:p>
        </w:tc>
      </w:tr>
      <w:tr w:rsidR="001A7136" w14:paraId="1D61721B" w14:textId="77777777">
        <w:trPr>
          <w:trHeight w:val="2540"/>
        </w:trPr>
        <w:tc>
          <w:tcPr>
            <w:tcW w:w="9244" w:type="dxa"/>
            <w:gridSpan w:val="2"/>
            <w:tcBorders>
              <w:top w:val="single" w:sz="4" w:space="0" w:color="A6A6A6"/>
              <w:left w:val="single" w:sz="4" w:space="0" w:color="A6A6A6"/>
              <w:bottom w:val="single" w:sz="4" w:space="0" w:color="A6A6A6"/>
              <w:right w:val="single" w:sz="4" w:space="0" w:color="A6A6A6"/>
            </w:tcBorders>
          </w:tcPr>
          <w:p w14:paraId="5A12FF62" w14:textId="77777777" w:rsidR="001A7136" w:rsidRDefault="00B05E7A">
            <w:pPr>
              <w:pBdr>
                <w:top w:val="none" w:sz="0" w:space="0" w:color="auto"/>
                <w:left w:val="none" w:sz="0" w:space="0" w:color="auto"/>
                <w:bottom w:val="none" w:sz="0" w:space="0" w:color="auto"/>
                <w:right w:val="none" w:sz="0" w:space="0" w:color="auto"/>
              </w:pBdr>
              <w:spacing w:after="0"/>
              <w:ind w:left="2" w:right="47"/>
              <w:jc w:val="both"/>
            </w:pPr>
            <w:r>
              <w:rPr>
                <w:b w:val="0"/>
              </w:rPr>
              <w:t xml:space="preserve">Criteria contained within the Development Control Procedure Note that went to Planning and Development Committee on the 14 January 2011 explains in detail what criteria the Local Planning Authority considers must be met for an amendment to be considered non-material.  </w:t>
            </w:r>
          </w:p>
          <w:p w14:paraId="25DC4A1D"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rPr>
                <w:b w:val="0"/>
              </w:rPr>
              <w:t xml:space="preserve"> </w:t>
            </w:r>
          </w:p>
          <w:p w14:paraId="0F140983" w14:textId="77777777" w:rsidR="001A7136" w:rsidRDefault="00B05E7A">
            <w:pPr>
              <w:pBdr>
                <w:top w:val="none" w:sz="0" w:space="0" w:color="auto"/>
                <w:left w:val="none" w:sz="0" w:space="0" w:color="auto"/>
                <w:bottom w:val="none" w:sz="0" w:space="0" w:color="auto"/>
                <w:right w:val="none" w:sz="0" w:space="0" w:color="auto"/>
              </w:pBdr>
              <w:spacing w:after="0" w:line="239" w:lineRule="auto"/>
              <w:ind w:left="2" w:right="47"/>
              <w:jc w:val="both"/>
            </w:pPr>
            <w:r>
              <w:rPr>
                <w:b w:val="0"/>
              </w:rPr>
              <w:t xml:space="preserve">It states that if, in the opinion of officers, a proposed amendment warrants re-consultation, it will not be regarded as minor and therefore will not be considered without a fresh application. It also states that for amendments to be considered non-material they should not result in fundamental change in the design of the building(s). </w:t>
            </w:r>
          </w:p>
          <w:p w14:paraId="0EBDAB4D"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rPr>
                <w:b w:val="0"/>
              </w:rPr>
              <w:t xml:space="preserve"> </w:t>
            </w:r>
          </w:p>
        </w:tc>
      </w:tr>
      <w:tr w:rsidR="001A7136" w14:paraId="26C233B1" w14:textId="77777777">
        <w:trPr>
          <w:trHeight w:val="4690"/>
        </w:trPr>
        <w:tc>
          <w:tcPr>
            <w:tcW w:w="9244" w:type="dxa"/>
            <w:gridSpan w:val="2"/>
            <w:tcBorders>
              <w:top w:val="single" w:sz="4" w:space="0" w:color="A6A6A6"/>
              <w:left w:val="single" w:sz="4" w:space="0" w:color="A6A6A6"/>
              <w:bottom w:val="single" w:sz="4" w:space="0" w:color="A6A6A6"/>
              <w:right w:val="single" w:sz="4" w:space="0" w:color="A6A6A6"/>
            </w:tcBorders>
          </w:tcPr>
          <w:p w14:paraId="3E633413"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lastRenderedPageBreak/>
              <w:t xml:space="preserve">Observations/Assessment/Conclusion: </w:t>
            </w:r>
          </w:p>
          <w:p w14:paraId="7ED19491" w14:textId="77777777" w:rsidR="001A7136" w:rsidRDefault="00B05E7A">
            <w:pPr>
              <w:pBdr>
                <w:top w:val="none" w:sz="0" w:space="0" w:color="auto"/>
                <w:left w:val="none" w:sz="0" w:space="0" w:color="auto"/>
                <w:bottom w:val="none" w:sz="0" w:space="0" w:color="auto"/>
                <w:right w:val="none" w:sz="0" w:space="0" w:color="auto"/>
              </w:pBdr>
              <w:spacing w:after="1" w:line="239" w:lineRule="auto"/>
              <w:ind w:left="2" w:right="48"/>
              <w:jc w:val="both"/>
            </w:pPr>
            <w:r>
              <w:rPr>
                <w:b w:val="0"/>
              </w:rPr>
              <w:t xml:space="preserve">An amendment is sought to replace the 15 eco lodges approved under planning application 3/2020/0544 with an alternative lodge design. The approved eco lodges are prefabricated cylindrical timber frame eco-lodge pods that would be a mix of timber cladding or lime render finish and a green sedum roof and included a mix of one and two bed units. The approved units are considered to be a high-quality product and their design and external materials aided assimilation into the surrounding countryside which is designated as an Area of Outstanding Natural Beauty. </w:t>
            </w:r>
          </w:p>
          <w:p w14:paraId="493D6C72"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rPr>
                <w:b w:val="0"/>
              </w:rPr>
              <w:t xml:space="preserve"> </w:t>
            </w:r>
          </w:p>
          <w:p w14:paraId="54762F4C" w14:textId="77777777" w:rsidR="001A7136" w:rsidRDefault="00B05E7A">
            <w:pPr>
              <w:pBdr>
                <w:top w:val="none" w:sz="0" w:space="0" w:color="auto"/>
                <w:left w:val="none" w:sz="0" w:space="0" w:color="auto"/>
                <w:bottom w:val="none" w:sz="0" w:space="0" w:color="auto"/>
                <w:right w:val="none" w:sz="0" w:space="0" w:color="auto"/>
              </w:pBdr>
              <w:spacing w:after="0" w:line="239" w:lineRule="auto"/>
              <w:ind w:left="2" w:right="53"/>
              <w:jc w:val="both"/>
            </w:pPr>
            <w:r>
              <w:rPr>
                <w:b w:val="0"/>
              </w:rPr>
              <w:t xml:space="preserve">The proposed replacement lodge type would be faced with spruce shingles. The units would be smaller than the already approved lodges and therefore the overall volume of built development at the site would be reduced. However, the new lodge type is considered to be fundamentally different in design and appearance when compared with the previously approved units. </w:t>
            </w:r>
          </w:p>
          <w:p w14:paraId="5501674D"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rPr>
                <w:b w:val="0"/>
              </w:rPr>
              <w:t xml:space="preserve"> </w:t>
            </w:r>
          </w:p>
          <w:p w14:paraId="31E4D602" w14:textId="77777777" w:rsidR="001A7136" w:rsidRDefault="00B05E7A">
            <w:pPr>
              <w:pBdr>
                <w:top w:val="none" w:sz="0" w:space="0" w:color="auto"/>
                <w:left w:val="none" w:sz="0" w:space="0" w:color="auto"/>
                <w:bottom w:val="none" w:sz="0" w:space="0" w:color="auto"/>
                <w:right w:val="none" w:sz="0" w:space="0" w:color="auto"/>
              </w:pBdr>
              <w:spacing w:after="0" w:line="239" w:lineRule="auto"/>
              <w:ind w:left="2" w:right="48"/>
              <w:jc w:val="both"/>
            </w:pPr>
            <w:r>
              <w:rPr>
                <w:b w:val="0"/>
              </w:rPr>
              <w:t xml:space="preserve">Taking the above into account, it is considered that the changes proposed are material. The applicant should seek to submit a fresh application or vary plans under Section 73 of The Town and Country Planning Act 1990. </w:t>
            </w:r>
          </w:p>
          <w:p w14:paraId="32F2C6D2"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rPr>
                <w:b w:val="0"/>
              </w:rPr>
              <w:t xml:space="preserve"> </w:t>
            </w:r>
          </w:p>
        </w:tc>
      </w:tr>
      <w:tr w:rsidR="001A7136" w14:paraId="1DC94297" w14:textId="77777777">
        <w:trPr>
          <w:trHeight w:val="394"/>
        </w:trPr>
        <w:tc>
          <w:tcPr>
            <w:tcW w:w="2662" w:type="dxa"/>
            <w:tcBorders>
              <w:top w:val="single" w:sz="4" w:space="0" w:color="A6A6A6"/>
              <w:left w:val="single" w:sz="4" w:space="0" w:color="A6A6A6"/>
              <w:bottom w:val="single" w:sz="4" w:space="0" w:color="A6A6A6"/>
              <w:right w:val="single" w:sz="4" w:space="0" w:color="A6A6A6"/>
            </w:tcBorders>
          </w:tcPr>
          <w:p w14:paraId="0345D922" w14:textId="77777777" w:rsidR="001A7136" w:rsidRDefault="00B05E7A">
            <w:pPr>
              <w:pBdr>
                <w:top w:val="none" w:sz="0" w:space="0" w:color="auto"/>
                <w:left w:val="none" w:sz="0" w:space="0" w:color="auto"/>
                <w:bottom w:val="none" w:sz="0" w:space="0" w:color="auto"/>
                <w:right w:val="none" w:sz="0" w:space="0" w:color="auto"/>
              </w:pBdr>
              <w:spacing w:after="0"/>
              <w:ind w:left="2"/>
              <w:jc w:val="left"/>
            </w:pPr>
            <w:r>
              <w:t>RECOMMENDATION</w:t>
            </w:r>
            <w:r>
              <w:rPr>
                <w:b w:val="0"/>
              </w:rPr>
              <w:t>:</w:t>
            </w:r>
            <w:r>
              <w:t xml:space="preserve"> </w:t>
            </w:r>
          </w:p>
        </w:tc>
        <w:tc>
          <w:tcPr>
            <w:tcW w:w="6582" w:type="dxa"/>
            <w:tcBorders>
              <w:top w:val="single" w:sz="4" w:space="0" w:color="A6A6A6"/>
              <w:left w:val="single" w:sz="4" w:space="0" w:color="A6A6A6"/>
              <w:bottom w:val="single" w:sz="4" w:space="0" w:color="A6A6A6"/>
              <w:right w:val="single" w:sz="4" w:space="0" w:color="A6A6A6"/>
            </w:tcBorders>
          </w:tcPr>
          <w:p w14:paraId="29A799F0" w14:textId="77777777" w:rsidR="001A7136" w:rsidRDefault="00B05E7A">
            <w:pPr>
              <w:pBdr>
                <w:top w:val="none" w:sz="0" w:space="0" w:color="auto"/>
                <w:left w:val="none" w:sz="0" w:space="0" w:color="auto"/>
                <w:bottom w:val="none" w:sz="0" w:space="0" w:color="auto"/>
                <w:right w:val="none" w:sz="0" w:space="0" w:color="auto"/>
              </w:pBdr>
              <w:spacing w:after="0"/>
              <w:jc w:val="left"/>
            </w:pPr>
            <w:r>
              <w:rPr>
                <w:b w:val="0"/>
              </w:rPr>
              <w:t xml:space="preserve">Refuse non-material amendment </w:t>
            </w:r>
          </w:p>
        </w:tc>
      </w:tr>
    </w:tbl>
    <w:p w14:paraId="4D0C6063" w14:textId="77777777" w:rsidR="001A7136" w:rsidRDefault="00B05E7A">
      <w:pPr>
        <w:pBdr>
          <w:top w:val="none" w:sz="0" w:space="0" w:color="auto"/>
          <w:left w:val="none" w:sz="0" w:space="0" w:color="auto"/>
          <w:bottom w:val="none" w:sz="0" w:space="0" w:color="auto"/>
          <w:right w:val="none" w:sz="0" w:space="0" w:color="auto"/>
        </w:pBdr>
        <w:spacing w:after="0"/>
        <w:jc w:val="both"/>
      </w:pPr>
      <w:r>
        <w:rPr>
          <w:b w:val="0"/>
        </w:rPr>
        <w:t xml:space="preserve"> </w:t>
      </w:r>
    </w:p>
    <w:sectPr w:rsidR="001A7136">
      <w:pgSz w:w="11906" w:h="16838"/>
      <w:pgMar w:top="970" w:right="3298" w:bottom="1179"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136"/>
    <w:rsid w:val="001A7136"/>
    <w:rsid w:val="00B05E7A"/>
    <w:rsid w:val="00FA1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F4C3"/>
  <w15:docId w15:val="{AB721F72-37BF-4497-8A33-33532FCA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A6A6A6"/>
        <w:left w:val="single" w:sz="4" w:space="0" w:color="A6A6A6"/>
        <w:bottom w:val="single" w:sz="4" w:space="0" w:color="A6A6A6"/>
        <w:right w:val="single" w:sz="4" w:space="0" w:color="A6A6A6"/>
      </w:pBdr>
      <w:spacing w:after="103"/>
      <w:jc w:val="right"/>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cp:lastModifiedBy>Lesley Lund</cp:lastModifiedBy>
  <cp:revision>2</cp:revision>
  <dcterms:created xsi:type="dcterms:W3CDTF">2021-09-02T16:09:00Z</dcterms:created>
  <dcterms:modified xsi:type="dcterms:W3CDTF">2021-09-02T16:09:00Z</dcterms:modified>
</cp:coreProperties>
</file>