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14:paraId="709AA99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3098E09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43EDFBF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867DF49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5AB09286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E803BB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3DDF9" w14:textId="29CE1B2A" w:rsidR="004A5EA9" w:rsidRPr="00646ED7" w:rsidRDefault="00BF6C8C" w:rsidP="0025087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BF6C8C">
              <w:rPr>
                <w:rFonts w:ascii="Calibri" w:hAnsi="Calibri"/>
                <w:color w:val="000000" w:themeColor="text1"/>
                <w:szCs w:val="22"/>
              </w:rPr>
              <w:t>3/</w:t>
            </w:r>
            <w:r w:rsidR="006B06BE">
              <w:rPr>
                <w:rFonts w:ascii="Calibri" w:hAnsi="Calibri"/>
                <w:color w:val="000000" w:themeColor="text1"/>
                <w:szCs w:val="22"/>
              </w:rPr>
              <w:t>2021/0</w:t>
            </w:r>
            <w:r w:rsidR="00531C81">
              <w:rPr>
                <w:rFonts w:ascii="Calibri" w:hAnsi="Calibri"/>
                <w:color w:val="000000" w:themeColor="text1"/>
                <w:szCs w:val="22"/>
              </w:rPr>
              <w:t>528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6C76668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FECDA99" wp14:editId="4C8AF85F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58392E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2F20A80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9B8F3" w14:textId="7ADF233F" w:rsidR="004A5EA9" w:rsidRPr="00646ED7" w:rsidRDefault="00D9337E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02/07/2021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9240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1ACB8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C79ED7" w14:textId="77777777" w:rsidR="004A5EA9" w:rsidRPr="00646ED7" w:rsidRDefault="00D2449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Officer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56DAF" w14:textId="77777777" w:rsidR="004A5EA9" w:rsidRPr="00646ED7" w:rsidRDefault="00646ED7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color w:val="000000" w:themeColor="text1"/>
                <w:szCs w:val="22"/>
              </w:rPr>
              <w:t>AB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D82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62E6C9BB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3CB78D" w14:textId="77777777" w:rsidR="004A5EA9" w:rsidRPr="00646ED7" w:rsidRDefault="004A5EA9" w:rsidP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A57CA" w14:textId="5CD0D808" w:rsidR="004A5EA9" w:rsidRPr="00D2449B" w:rsidRDefault="00671C4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REFUSED</w:t>
            </w:r>
          </w:p>
        </w:tc>
      </w:tr>
      <w:tr w:rsidR="004A5EA9" w:rsidRPr="00D2449B" w14:paraId="0CEF780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AD5F39C" w14:textId="77777777" w:rsidR="004A5EA9" w:rsidRPr="00646ED7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4A5EA9" w:rsidRPr="00D2449B" w14:paraId="74265168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9DB40AF" w14:textId="77777777" w:rsidR="004A5EA9" w:rsidRPr="00646ED7" w:rsidRDefault="00011FB3" w:rsidP="00A95D8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Development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 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Description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D6B9D" w14:textId="0C42886E" w:rsidR="004A5EA9" w:rsidRPr="006B06BE" w:rsidRDefault="00531C81" w:rsidP="006B06B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531C81">
              <w:rPr>
                <w:rFonts w:ascii="Calibri" w:hAnsi="Calibri" w:cs="Calibri"/>
                <w:b/>
                <w:bCs/>
                <w:szCs w:val="22"/>
              </w:rPr>
              <w:t>Prior Notification for a larger home extension.  Proposed single storey rear extension to accommodate a larger kitchen.</w:t>
            </w:r>
          </w:p>
        </w:tc>
      </w:tr>
      <w:tr w:rsidR="002A01CF" w:rsidRPr="00D2449B" w14:paraId="2634CA80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0DE7C8" w14:textId="77777777" w:rsidR="002A01CF" w:rsidRPr="00646ED7" w:rsidRDefault="002A01CF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Site Address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/Location</w:t>
            </w: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1DE2B" w14:textId="6435CC64" w:rsidR="002A01CF" w:rsidRPr="00646ED7" w:rsidRDefault="006B06BE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Martin Top Farm Martin Top Lane Rimington BB7 4EG</w:t>
            </w:r>
          </w:p>
        </w:tc>
      </w:tr>
      <w:tr w:rsidR="00A95D89" w:rsidRPr="00D2449B" w14:paraId="61AD296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4950CA" w14:textId="77777777" w:rsidR="00A95D89" w:rsidRPr="00646ED7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C618DB" w:rsidRPr="00D2449B" w14:paraId="222E3FE6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193977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E7228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Parish/Town Council</w:t>
            </w:r>
          </w:p>
        </w:tc>
      </w:tr>
      <w:tr w:rsidR="002A01CF" w:rsidRPr="00D2449B" w14:paraId="7BF42612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562C73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2D70F428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06568C3" w14:textId="77777777" w:rsidR="00C618DB" w:rsidRPr="005A3B5B" w:rsidRDefault="00C618DB">
            <w:pPr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</w:p>
        </w:tc>
      </w:tr>
      <w:tr w:rsidR="00C618DB" w:rsidRPr="00D2449B" w14:paraId="2AFDF5F1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536AE9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95851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Highways/Water Authority/Other Bodies</w:t>
            </w:r>
          </w:p>
        </w:tc>
      </w:tr>
      <w:tr w:rsidR="002A01CF" w:rsidRPr="00D2449B" w14:paraId="47830C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BD0E235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0AF322E7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97AF7E8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53946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Additional Representations.</w:t>
            </w:r>
          </w:p>
        </w:tc>
      </w:tr>
      <w:tr w:rsidR="00EC23C7" w:rsidRPr="00D2449B" w14:paraId="76440B0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C8E9DAF" w14:textId="77777777" w:rsidR="00250879" w:rsidRPr="005A3B5B" w:rsidRDefault="00742E44" w:rsidP="00692B60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4F8F279E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B67FE2F" w14:textId="77777777" w:rsidR="00C618DB" w:rsidRPr="005A3B5B" w:rsidRDefault="00C618DB">
            <w:pPr>
              <w:rPr>
                <w:rFonts w:asciiTheme="minorHAnsi" w:hAnsiTheme="minorHAnsi"/>
                <w:color w:val="FF0000"/>
                <w:szCs w:val="22"/>
              </w:rPr>
            </w:pPr>
          </w:p>
        </w:tc>
      </w:tr>
      <w:tr w:rsidR="00EC23C7" w:rsidRPr="00D2449B" w14:paraId="2267CD6A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1EFAA5F" w14:textId="77777777" w:rsidR="00EC23C7" w:rsidRPr="005A3B5B" w:rsidRDefault="00EC23C7">
            <w:pPr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t>RELEVANT POLICIES:</w:t>
            </w:r>
          </w:p>
        </w:tc>
      </w:tr>
      <w:tr w:rsidR="00C618DB" w:rsidRPr="00D2449B" w14:paraId="4D15798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7F893C8" w14:textId="77777777" w:rsidR="00D11007" w:rsidRDefault="00646ED7" w:rsidP="00CA78C0">
            <w:pPr>
              <w:rPr>
                <w:rFonts w:asciiTheme="minorHAnsi" w:hAnsiTheme="minorHAnsi"/>
                <w:szCs w:val="22"/>
              </w:rPr>
            </w:pPr>
            <w:r w:rsidRPr="00531C81">
              <w:rPr>
                <w:rFonts w:asciiTheme="minorHAnsi" w:hAnsiTheme="minorHAnsi"/>
                <w:bCs/>
                <w:szCs w:val="22"/>
              </w:rPr>
              <w:t xml:space="preserve">The proposal is assessed against the provisions </w:t>
            </w:r>
            <w:r w:rsidRPr="00531C81">
              <w:rPr>
                <w:rFonts w:asciiTheme="minorHAnsi" w:hAnsiTheme="minorHAnsi"/>
                <w:szCs w:val="22"/>
              </w:rPr>
              <w:t xml:space="preserve">of Schedule 2 Part 1 Class A of the Town and Country Planning (General Permitted Development) Order </w:t>
            </w:r>
            <w:r w:rsidR="00CA78C0" w:rsidRPr="00531C81">
              <w:rPr>
                <w:rFonts w:asciiTheme="minorHAnsi" w:hAnsiTheme="minorHAnsi"/>
                <w:szCs w:val="22"/>
              </w:rPr>
              <w:t>2015.</w:t>
            </w:r>
          </w:p>
          <w:p w14:paraId="03401941" w14:textId="17537693" w:rsidR="00531C81" w:rsidRPr="00531C81" w:rsidRDefault="00531C81" w:rsidP="00CA78C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EC23C7" w:rsidRPr="00D2449B" w14:paraId="5FAD694D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307C2" w14:textId="77777777" w:rsidR="00EC23C7" w:rsidRPr="00531C81" w:rsidRDefault="006C2BFA" w:rsidP="006C2BFA">
            <w:pPr>
              <w:rPr>
                <w:rFonts w:asciiTheme="minorHAnsi" w:hAnsiTheme="minorHAnsi"/>
                <w:b/>
                <w:szCs w:val="22"/>
              </w:rPr>
            </w:pPr>
            <w:r w:rsidRPr="00531C81">
              <w:rPr>
                <w:rFonts w:asciiTheme="minorHAnsi" w:hAnsiTheme="minorHAns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14:paraId="74CC424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AADA849" w14:textId="77777777" w:rsidR="006C2BFA" w:rsidRPr="00531C81" w:rsidRDefault="00EA09F9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531C81">
              <w:rPr>
                <w:rFonts w:asciiTheme="minorHAnsi" w:hAnsiTheme="minorHAnsi"/>
                <w:b/>
                <w:szCs w:val="22"/>
              </w:rPr>
              <w:t>Proposed Development</w:t>
            </w:r>
            <w:r w:rsidR="00E71563" w:rsidRPr="00531C81">
              <w:rPr>
                <w:rFonts w:asciiTheme="minorHAnsi" w:hAnsiTheme="minorHAnsi"/>
                <w:b/>
                <w:szCs w:val="22"/>
              </w:rPr>
              <w:t xml:space="preserve"> for which consent is sought</w:t>
            </w:r>
            <w:r w:rsidR="006C2BFA" w:rsidRPr="00531C81">
              <w:rPr>
                <w:rFonts w:asciiTheme="minorHAnsi" w:hAnsiTheme="minorHAnsi"/>
                <w:b/>
                <w:szCs w:val="22"/>
              </w:rPr>
              <w:t>:</w:t>
            </w:r>
          </w:p>
          <w:p w14:paraId="6E3091C8" w14:textId="54AB5115" w:rsidR="00692B60" w:rsidRDefault="00531C81" w:rsidP="00BF6C8C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531C81">
              <w:rPr>
                <w:rFonts w:asciiTheme="minorHAnsi" w:hAnsiTheme="minorHAnsi"/>
                <w:sz w:val="22"/>
                <w:szCs w:val="22"/>
              </w:rPr>
              <w:t>This is a prior notification</w:t>
            </w:r>
            <w:r w:rsidR="00D7232C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proposed works </w:t>
            </w:r>
            <w:r w:rsidR="00D03313">
              <w:rPr>
                <w:rFonts w:asciiTheme="minorHAnsi" w:hAnsiTheme="minorHAnsi"/>
                <w:sz w:val="22"/>
                <w:szCs w:val="22"/>
              </w:rPr>
              <w:t xml:space="preserve">(item G (ii) only) 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>at Martin Top Farm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Martin Top Lane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Rimington.</w:t>
            </w:r>
            <w:r w:rsidR="00D7232C">
              <w:rPr>
                <w:rFonts w:asciiTheme="minorHAnsi" w:hAnsiTheme="minorHAnsi"/>
                <w:sz w:val="22"/>
                <w:szCs w:val="22"/>
              </w:rPr>
              <w:t xml:space="preserve"> The proposed single storey rear extension would extend 7.95 metres from the rear wall of the original dwellinghouse</w:t>
            </w:r>
            <w:r w:rsidR="00F079B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1DAEEC" w14:textId="5768E546" w:rsidR="00531C81" w:rsidRPr="00531C81" w:rsidRDefault="00531C81" w:rsidP="00BF6C8C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A09F9" w:rsidRPr="00D2449B" w14:paraId="244148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09A56F" w14:textId="77777777" w:rsidR="005C4317" w:rsidRPr="00531C81" w:rsidRDefault="005C4317" w:rsidP="00DE709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31C81">
              <w:rPr>
                <w:rFonts w:asciiTheme="minorHAnsi" w:hAnsiTheme="minorHAnsi" w:cstheme="minorHAnsi"/>
                <w:b/>
                <w:bCs/>
                <w:szCs w:val="22"/>
              </w:rPr>
              <w:t>Observations/Consideration of Matters Raised/Conclusion:</w:t>
            </w:r>
          </w:p>
          <w:p w14:paraId="06EF7E51" w14:textId="309DC634" w:rsidR="001935B0" w:rsidRPr="00531C81" w:rsidRDefault="00531C81" w:rsidP="00DE709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31C81">
              <w:rPr>
                <w:rFonts w:asciiTheme="minorHAnsi" w:hAnsiTheme="minorHAnsi" w:cstheme="minorHAnsi"/>
                <w:color w:val="0B0C0C"/>
                <w:szCs w:val="22"/>
                <w:shd w:val="clear" w:color="auto" w:fill="FFFFFF"/>
              </w:rPr>
              <w:t>Legislation allowing larger single-storey rear extensions to be built under permitted development rules came into force on 30 May 2013.</w:t>
            </w:r>
            <w:r w:rsidRPr="00531C81">
              <w:rPr>
                <w:rFonts w:asciiTheme="minorHAnsi" w:hAnsiTheme="minorHAnsi" w:cstheme="minorHAnsi"/>
                <w:color w:val="000000"/>
                <w:szCs w:val="22"/>
              </w:rPr>
              <w:t xml:space="preserve"> The ‘prior approval’ process only applies to larger single-storey rear extensions.</w:t>
            </w:r>
            <w:r w:rsidRPr="00531C81">
              <w:rPr>
                <w:rFonts w:asciiTheme="minorHAnsi" w:hAnsiTheme="minorHAnsi" w:cstheme="minorHAnsi"/>
                <w:szCs w:val="22"/>
              </w:rPr>
              <w:t xml:space="preserve"> The proposal is assessed against all the relevant criteria of Class A below.</w:t>
            </w:r>
          </w:p>
          <w:p w14:paraId="6CCC8B5F" w14:textId="77777777" w:rsidR="001935B0" w:rsidRDefault="001935B0" w:rsidP="001935B0">
            <w:pPr>
              <w:pStyle w:val="PlainText"/>
              <w:rPr>
                <w:rFonts w:cs="Arial"/>
                <w:sz w:val="22"/>
              </w:rPr>
            </w:pPr>
          </w:p>
          <w:p w14:paraId="7E0BB544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A.1 Development is not permitted by Class A if –</w:t>
            </w:r>
          </w:p>
          <w:p w14:paraId="245D9875" w14:textId="77777777" w:rsidR="00ED282D" w:rsidRPr="00ED282D" w:rsidRDefault="001935B0" w:rsidP="00ED282D">
            <w:pPr>
              <w:overflowPunct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(a) </w:t>
            </w:r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>permission to use the dwellinghouse as a dwellinghouse has been granted only by virtue of Class</w:t>
            </w:r>
          </w:p>
          <w:p w14:paraId="158A3680" w14:textId="0233C3E2" w:rsidR="001935B0" w:rsidRDefault="00ED282D" w:rsidP="00ED282D">
            <w:pPr>
              <w:pStyle w:val="PlainText"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 w:val="22"/>
                <w:szCs w:val="22"/>
                <w:lang w:eastAsia="en-GB"/>
              </w:rPr>
              <w:t>M, MA, N, P, PA or Q of Part 3 of this Schedule (changes of use)</w:t>
            </w:r>
          </w:p>
          <w:p w14:paraId="16EE6AC1" w14:textId="77777777" w:rsidR="00ED282D" w:rsidRDefault="00ED282D" w:rsidP="00ED282D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599075" w14:textId="77777777" w:rsidR="001935B0" w:rsidRDefault="001935B0" w:rsidP="001935B0">
            <w:pPr>
              <w:pStyle w:val="PlainText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Permission for use as a dwellinghouse was not granted by virtue of Class M, N, P or Q of Part 3.</w:t>
            </w:r>
          </w:p>
          <w:p w14:paraId="7107CF0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9E9A42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0690B7E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8EC28A1" w14:textId="77A64356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50% of the total area of curtilage of the property.</w:t>
            </w:r>
          </w:p>
          <w:p w14:paraId="16DF912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D0C8A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(c) the height of the part of the dwelling house enlarged, improved or altered would exceed the height of the highest part of the roof of the existing dwelling house;</w:t>
            </w:r>
          </w:p>
          <w:p w14:paraId="79AEAB0C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3CE4D948" w14:textId="1C7F0F1A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height of the proposed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the height of the existing dwelling.</w:t>
            </w:r>
          </w:p>
          <w:p w14:paraId="3270649E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D0C37D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(d) the height of the eaves of the part of the dwelling house enlarged or improved or altered would exceed the height of the existing dwelling house;</w:t>
            </w:r>
          </w:p>
          <w:p w14:paraId="0FE84DD5" w14:textId="77777777" w:rsidR="001935B0" w:rsidRDefault="001935B0" w:rsidP="001935B0">
            <w:pPr>
              <w:pStyle w:val="ListParagraph"/>
              <w:rPr>
                <w:rStyle w:val="legamendingtext"/>
                <w:b/>
                <w:i/>
                <w:lang w:val="en"/>
              </w:rPr>
            </w:pPr>
          </w:p>
          <w:p w14:paraId="5DFE996D" w14:textId="40722A09" w:rsidR="001935B0" w:rsidRDefault="001935B0" w:rsidP="001935B0">
            <w:pPr>
              <w:pStyle w:val="ListParagraph"/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</w:pPr>
            <w:r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  <w:t xml:space="preserve">The eaves of the proposed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Cs w:val="22"/>
                <w:lang w:val="en"/>
              </w:rPr>
              <w:t>would not exceed the height of the eaves of the existing dwelling.</w:t>
            </w:r>
          </w:p>
          <w:p w14:paraId="0B50DB85" w14:textId="77777777" w:rsidR="001935B0" w:rsidRDefault="001935B0" w:rsidP="001935B0">
            <w:pPr>
              <w:pStyle w:val="PlainText"/>
              <w:rPr>
                <w:sz w:val="22"/>
              </w:rPr>
            </w:pPr>
          </w:p>
          <w:p w14:paraId="38022687" w14:textId="458C1DCB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(e) the enlarged part of the dwelling house would extend beyond a wall </w:t>
            </w:r>
            <w:r w:rsidR="00ED282D">
              <w:rPr>
                <w:rFonts w:asciiTheme="minorHAnsi" w:hAnsiTheme="minorHAnsi" w:cs="Arial"/>
                <w:sz w:val="22"/>
                <w:szCs w:val="22"/>
              </w:rPr>
              <w:t>which 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(i) fronts a highway; and (ii) forms either the principal elevation or a side elevation of the original dwelling house;</w:t>
            </w:r>
          </w:p>
          <w:p w14:paraId="458CDF23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4859103D" w14:textId="76C37568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="00ED282D"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extend beyond a wall which is considered to front a highway.</w:t>
            </w:r>
          </w:p>
          <w:p w14:paraId="1BD0DBCA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68C8FE0" w14:textId="35CFB3A9" w:rsidR="001935B0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D28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(f) subject to paragraph (g), the enlarged part of the dwelling house would have a single storey and – (i) extend beyond the rear wall of the original dwelling house by more than 4 metres in the case of a detached dwelling house or 3 metres in the case of any other dwelling house, or (ii) exceed 4 metres in </w:t>
            </w: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height;</w:t>
            </w:r>
          </w:p>
          <w:p w14:paraId="7C2C1DFA" w14:textId="77777777" w:rsidR="00091CE9" w:rsidRPr="002D283E" w:rsidRDefault="00091CE9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9A8C085" w14:textId="3EC765B3" w:rsidR="00ED282D" w:rsidRPr="00091CE9" w:rsidRDefault="00091CE9" w:rsidP="00091CE9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would extend </w:t>
            </w:r>
            <w:r w:rsidRPr="00091C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beyond the rear wall of the original dwelling house by more than 4 metres.</w:t>
            </w:r>
          </w:p>
          <w:p w14:paraId="497866C1" w14:textId="77777777" w:rsidR="001935B0" w:rsidRPr="00091CE9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2B0AE6E9" w14:textId="06C3A306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(g) </w:t>
            </w:r>
            <w:r w:rsidRPr="002D283E">
              <w:rPr>
                <w:rFonts w:asciiTheme="minorHAnsi" w:hAnsiTheme="minorHAnsi" w:cs="Times-Roman"/>
                <w:color w:val="000000" w:themeColor="text1"/>
                <w:sz w:val="22"/>
                <w:szCs w:val="22"/>
                <w:lang w:eastAsia="en-GB"/>
              </w:rPr>
              <w:t xml:space="preserve">for a dwellinghouse not on article 2(3) </w:t>
            </w: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land nor on a site of special scientific interest, the enlarged part of the dwellinghouse would have a single storey and — (i)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5C494897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  <w:p w14:paraId="0B38D7CF" w14:textId="2D3868F2" w:rsidR="009C7336" w:rsidRDefault="002D283E" w:rsidP="002D283E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The proposed single storey rear extension </w:t>
            </w:r>
            <w:r w:rsidR="00D03313"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would not </w:t>
            </w:r>
            <w:r w:rsidR="00D03313" w:rsidRP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extend beyond the rear wall of the original dwellinghouse by more than 8 metres</w:t>
            </w:r>
            <w:r w:rsidR="009C733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. However, it </w:t>
            </w:r>
            <w:r w:rsidR="00671C4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would </w:t>
            </w:r>
            <w:r w:rsidR="009C733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exceed 4m in height</w:t>
            </w:r>
            <w:r w:rsidR="00DC01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when measured from ground level</w:t>
            </w:r>
            <w:r w:rsidR="009C733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078142AB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04E75D43" w14:textId="147576D2" w:rsidR="001935B0" w:rsidRPr="002D283E" w:rsidRDefault="001935B0" w:rsidP="00CF7D36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(h) the enlarged part of the dwelling house would have more than one storey and – (i) extend beyond the rear wall of the original dwelling house by more than 3 metres, or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be within 7 metres of any boundary of the curtilage of the dwellinghouse being enlarged</w:t>
            </w:r>
            <w:r w:rsid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which is opposite the rear wall of that dwellinghouse;</w:t>
            </w:r>
          </w:p>
          <w:p w14:paraId="3AF19438" w14:textId="77777777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60CFFE76" w14:textId="369906AC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2D28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The proposed </w:t>
            </w:r>
            <w:r w:rsid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>extension would be single storey.</w:t>
            </w:r>
          </w:p>
          <w:p w14:paraId="2661F12D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166E0BF0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(i) the enlarged part of the dwelling house would be within 2 metres of the boundary of the curtilage of the dwelling house, and the height of the eaves of the enlarged part would exceed 3 metres;</w:t>
            </w:r>
          </w:p>
          <w:p w14:paraId="16CCBFB2" w14:textId="6FD08EDA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2F0540F3" w14:textId="479587C7" w:rsidR="009C7336" w:rsidRPr="00B1363E" w:rsidRDefault="00DC013C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B136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>The enlarged part of the dwelling house</w:t>
            </w:r>
            <w:r w:rsidR="00B1363E" w:rsidRPr="00B136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00B1363E" w:rsidRPr="00B1363E"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  <w:t>may</w:t>
            </w:r>
            <w:r w:rsidR="00B1363E" w:rsidRPr="00B136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 be within </w:t>
            </w:r>
            <w:r w:rsidR="00B1363E" w:rsidRPr="00B136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2 metres of the boundary of the curtilage of the dwelling house, and the height of the eaves of the enlarged part would exceed 3 metres.</w:t>
            </w:r>
          </w:p>
          <w:p w14:paraId="627BE134" w14:textId="77777777" w:rsidR="001935B0" w:rsidRPr="00CF7D36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457B7789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rStyle w:val="legamendingtext"/>
                <w:color w:val="000000" w:themeColor="text1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(j) the enlarged part of the dwellinghouse would extend beyond a wall forming a side elevation of the original dwellinghouse, and would – </w:t>
            </w:r>
          </w:p>
          <w:p w14:paraId="2CA58EF9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(i)          exceed 4 metres in height,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4593889A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(ii)         have more than one storey, or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26D06742" w14:textId="04259209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color w:val="000000" w:themeColor="text1"/>
                <w:sz w:val="22"/>
                <w:szCs w:val="22"/>
                <w:lang w:val="en"/>
              </w:rPr>
              <w:t>(</w:t>
            </w: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iii)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have a width greater than half the width of the original dwellinghouse;</w:t>
            </w:r>
          </w:p>
          <w:p w14:paraId="22DB4E2C" w14:textId="77777777" w:rsidR="002D283E" w:rsidRPr="00CF7D36" w:rsidRDefault="002D283E" w:rsidP="002D283E">
            <w:pPr>
              <w:pStyle w:val="legclearfix2"/>
              <w:spacing w:after="0" w:line="240" w:lineRule="auto"/>
              <w:ind w:left="1440"/>
              <w:contextualSpacing/>
              <w:rPr>
                <w:rStyle w:val="legamendingtext"/>
                <w:color w:val="000000" w:themeColor="text1"/>
              </w:rPr>
            </w:pPr>
          </w:p>
          <w:p w14:paraId="63E2B0E7" w14:textId="7A718CE2" w:rsidR="002D283E" w:rsidRPr="00D03313" w:rsidRDefault="002D283E" w:rsidP="002D283E">
            <w:pPr>
              <w:pStyle w:val="BodyText"/>
              <w:ind w:left="720"/>
              <w:contextualSpacing/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</w:pPr>
            <w:r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lastRenderedPageBreak/>
              <w:t>The proposed</w:t>
            </w:r>
            <w:r w:rsidR="00D03313"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 extension</w:t>
            </w:r>
            <w:r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 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szCs w:val="22"/>
                <w:lang w:val="en"/>
              </w:rPr>
              <w:t xml:space="preserve">ot 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extend beyond a wall forming a side elevation of the original dwellinghouse.</w:t>
            </w:r>
          </w:p>
          <w:p w14:paraId="1D3171BC" w14:textId="77777777" w:rsidR="002D283E" w:rsidRPr="00ED282D" w:rsidRDefault="002D283E" w:rsidP="002D283E">
            <w:pPr>
              <w:pStyle w:val="legclearfix2"/>
              <w:spacing w:after="0" w:line="240" w:lineRule="auto"/>
              <w:contextualSpacing/>
              <w:rPr>
                <w:rStyle w:val="legamendingtext"/>
                <w:color w:val="FF0000"/>
              </w:rPr>
            </w:pPr>
          </w:p>
          <w:p w14:paraId="241625BF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(k) it would consist of or include—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00B2D0E7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(i)          the construction or provision of a veranda, balcony or raised platform,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6704F074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(ii)         the installation, alteration or replacement of a microwave antenna,</w:t>
            </w:r>
          </w:p>
          <w:p w14:paraId="38C4E10D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(iii)        the installation, alteration or replacement of a chimney, flue or soil and vent pipe, or</w:t>
            </w:r>
          </w:p>
          <w:p w14:paraId="0BB545AA" w14:textId="204FF8E4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(iv)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an alteration to any part of the roof of the dwellinghouse.</w:t>
            </w:r>
          </w:p>
          <w:p w14:paraId="443E4F8B" w14:textId="77777777" w:rsidR="001935B0" w:rsidRPr="00CF7D36" w:rsidRDefault="001935B0" w:rsidP="001935B0">
            <w:pPr>
              <w:pStyle w:val="legclearfix2"/>
              <w:spacing w:after="0" w:line="240" w:lineRule="auto"/>
              <w:ind w:left="1440"/>
              <w:contextualSpacing/>
              <w:rPr>
                <w:color w:val="000000" w:themeColor="text1"/>
              </w:rPr>
            </w:pPr>
          </w:p>
          <w:p w14:paraId="257E5799" w14:textId="176BD326" w:rsidR="001935B0" w:rsidRPr="00CF7D36" w:rsidRDefault="001935B0" w:rsidP="001935B0">
            <w:pPr>
              <w:pStyle w:val="BodyText"/>
              <w:ind w:left="720"/>
              <w:contextualSpacing/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The propos</w:t>
            </w:r>
            <w:r w:rsidR="00CF7D36"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als </w:t>
            </w: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not consist of or include any of the above criteria</w:t>
            </w:r>
            <w:r w:rsidRPr="00CF7D36">
              <w:rPr>
                <w:rFonts w:asciiTheme="minorHAnsi" w:hAnsiTheme="minorHAnsi"/>
                <w:color w:val="000000" w:themeColor="text1"/>
                <w:szCs w:val="22"/>
                <w:lang w:val="en"/>
              </w:rPr>
              <w:t>.</w:t>
            </w:r>
          </w:p>
          <w:p w14:paraId="7AF342B9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47FD265" w14:textId="2F4FFF9B" w:rsidR="00D03313" w:rsidRPr="009C7336" w:rsidRDefault="001935B0" w:rsidP="009C7336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color w:val="000000" w:themeColor="text1"/>
                <w:szCs w:val="22"/>
              </w:rPr>
              <w:t>The building is not within a World Heritage Site, a National Park, an area of outstanding natural beauty or the Broads.</w:t>
            </w:r>
          </w:p>
          <w:p w14:paraId="26B7336D" w14:textId="77777777" w:rsidR="00D03313" w:rsidRPr="00F32D77" w:rsidRDefault="00D03313" w:rsidP="00D03313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5A83440" w14:textId="21FDEF98" w:rsidR="00D03313" w:rsidRDefault="00D03313" w:rsidP="00DC013C">
            <w:pPr>
              <w:jc w:val="both"/>
              <w:rPr>
                <w:rFonts w:asciiTheme="minorHAnsi" w:hAnsiTheme="minorHAnsi"/>
                <w:szCs w:val="22"/>
              </w:rPr>
            </w:pPr>
            <w:r w:rsidRPr="00F32D77">
              <w:rPr>
                <w:rFonts w:ascii="Calibri" w:hAnsi="Calibri"/>
                <w:szCs w:val="22"/>
              </w:rPr>
              <w:t xml:space="preserve">On the basis of the above, </w:t>
            </w:r>
            <w:r w:rsidR="009C7336">
              <w:rPr>
                <w:rFonts w:ascii="Calibri" w:hAnsi="Calibri"/>
                <w:szCs w:val="22"/>
              </w:rPr>
              <w:t xml:space="preserve">the proposed extension would fail to meet the requirements of A.1(g) of Schedule 2 </w:t>
            </w:r>
            <w:r w:rsidR="009C7336" w:rsidRPr="00531C81">
              <w:rPr>
                <w:rFonts w:asciiTheme="minorHAnsi" w:hAnsiTheme="minorHAnsi"/>
                <w:szCs w:val="22"/>
              </w:rPr>
              <w:t>Part 1 Class A of the Town and Country Planning (General Permitted Development) Order 2015</w:t>
            </w:r>
            <w:r w:rsidR="009C7336">
              <w:rPr>
                <w:rFonts w:asciiTheme="minorHAnsi" w:hAnsiTheme="minorHAnsi"/>
                <w:szCs w:val="22"/>
              </w:rPr>
              <w:t xml:space="preserve"> as the proposed extension would exceed 4 metres in height</w:t>
            </w:r>
            <w:r w:rsidR="00DC013C">
              <w:rPr>
                <w:rFonts w:asciiTheme="minorHAnsi" w:hAnsiTheme="minorHAnsi"/>
                <w:szCs w:val="22"/>
              </w:rPr>
              <w:t xml:space="preserve"> when measure</w:t>
            </w:r>
            <w:r w:rsidR="00992927">
              <w:rPr>
                <w:rFonts w:asciiTheme="minorHAnsi" w:hAnsiTheme="minorHAnsi"/>
                <w:szCs w:val="22"/>
              </w:rPr>
              <w:t>d</w:t>
            </w:r>
            <w:r w:rsidR="00DC013C">
              <w:rPr>
                <w:rFonts w:asciiTheme="minorHAnsi" w:hAnsiTheme="minorHAnsi"/>
                <w:szCs w:val="22"/>
              </w:rPr>
              <w:t xml:space="preserve"> from the natural ground level.</w:t>
            </w:r>
            <w:r w:rsidR="00992927">
              <w:rPr>
                <w:rFonts w:asciiTheme="minorHAnsi" w:hAnsiTheme="minorHAnsi"/>
                <w:szCs w:val="22"/>
              </w:rPr>
              <w:t xml:space="preserve"> In addition, the applicant has failed to adequately define the curtilage of the propert</w:t>
            </w:r>
            <w:r w:rsidR="00671C4C">
              <w:rPr>
                <w:rFonts w:asciiTheme="minorHAnsi" w:hAnsiTheme="minorHAnsi"/>
                <w:szCs w:val="22"/>
              </w:rPr>
              <w:t xml:space="preserve">y such that the local planning authority </w:t>
            </w:r>
            <w:r w:rsidR="003453A2">
              <w:rPr>
                <w:rFonts w:asciiTheme="minorHAnsi" w:hAnsiTheme="minorHAnsi"/>
                <w:szCs w:val="22"/>
              </w:rPr>
              <w:t>can</w:t>
            </w:r>
            <w:r w:rsidR="00671C4C">
              <w:rPr>
                <w:rFonts w:asciiTheme="minorHAnsi" w:hAnsiTheme="minorHAnsi"/>
                <w:szCs w:val="22"/>
              </w:rPr>
              <w:t xml:space="preserve"> assess compliance with </w:t>
            </w:r>
            <w:r w:rsidR="00671C4C">
              <w:rPr>
                <w:rFonts w:ascii="Calibri" w:hAnsi="Calibri"/>
                <w:szCs w:val="22"/>
              </w:rPr>
              <w:t>A.1(</w:t>
            </w:r>
            <w:r w:rsidR="00005824">
              <w:rPr>
                <w:rFonts w:ascii="Calibri" w:hAnsi="Calibri"/>
                <w:szCs w:val="22"/>
              </w:rPr>
              <w:t>i</w:t>
            </w:r>
            <w:r w:rsidR="00671C4C">
              <w:rPr>
                <w:rFonts w:ascii="Calibri" w:hAnsi="Calibri"/>
                <w:szCs w:val="22"/>
              </w:rPr>
              <w:t xml:space="preserve">) of Schedule 2 </w:t>
            </w:r>
            <w:r w:rsidR="00671C4C" w:rsidRPr="00531C81">
              <w:rPr>
                <w:rFonts w:asciiTheme="minorHAnsi" w:hAnsiTheme="minorHAnsi"/>
                <w:szCs w:val="22"/>
              </w:rPr>
              <w:t>Part 1 Class A</w:t>
            </w:r>
            <w:r w:rsidR="00671C4C">
              <w:rPr>
                <w:rFonts w:asciiTheme="minorHAnsi" w:hAnsiTheme="minorHAnsi"/>
                <w:szCs w:val="22"/>
              </w:rPr>
              <w:t>.</w:t>
            </w:r>
          </w:p>
          <w:p w14:paraId="64C2E7BE" w14:textId="3DDEC13E" w:rsidR="00DC013C" w:rsidRPr="005A3B5B" w:rsidRDefault="00DC013C" w:rsidP="00DC013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C23C7" w:rsidRPr="00D2449B" w14:paraId="275EA51A" w14:textId="77777777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77EA6FA" w14:textId="77777777" w:rsidR="00EC23C7" w:rsidRPr="005A3B5B" w:rsidRDefault="00EC23C7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lastRenderedPageBreak/>
              <w:t>RECOMMENDATION</w:t>
            </w:r>
            <w:r w:rsidRPr="005A3B5B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8C732" w14:textId="479C28FE" w:rsidR="00EC23C7" w:rsidRPr="005A3B5B" w:rsidRDefault="00992927" w:rsidP="00FD14AC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Planning permission is required.</w:t>
            </w:r>
          </w:p>
        </w:tc>
      </w:tr>
    </w:tbl>
    <w:p w14:paraId="74F0AB69" w14:textId="77777777" w:rsidR="0031197A" w:rsidRPr="00D2449B" w:rsidRDefault="00830314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B6"/>
    <w:multiLevelType w:val="hybridMultilevel"/>
    <w:tmpl w:val="49B6201E"/>
    <w:lvl w:ilvl="0" w:tplc="0C881AAA">
      <w:start w:val="1"/>
      <w:numFmt w:val="lowerRoman"/>
      <w:lvlText w:val="(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EF8287F"/>
    <w:multiLevelType w:val="hybridMultilevel"/>
    <w:tmpl w:val="6DE45CEE"/>
    <w:lvl w:ilvl="0" w:tplc="616E3DFC">
      <w:start w:val="8"/>
      <w:numFmt w:val="lowerLetter"/>
      <w:lvlText w:val="(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EA9"/>
    <w:rsid w:val="00005824"/>
    <w:rsid w:val="00011FB3"/>
    <w:rsid w:val="0004745D"/>
    <w:rsid w:val="00091CE9"/>
    <w:rsid w:val="000F1F62"/>
    <w:rsid w:val="0010471A"/>
    <w:rsid w:val="001935B0"/>
    <w:rsid w:val="001B2B3B"/>
    <w:rsid w:val="001B79B9"/>
    <w:rsid w:val="001D4F7A"/>
    <w:rsid w:val="001E5D68"/>
    <w:rsid w:val="001E716D"/>
    <w:rsid w:val="00250879"/>
    <w:rsid w:val="002A01CF"/>
    <w:rsid w:val="002D283E"/>
    <w:rsid w:val="003078EE"/>
    <w:rsid w:val="003453A2"/>
    <w:rsid w:val="003F3F7B"/>
    <w:rsid w:val="003F4508"/>
    <w:rsid w:val="00446AB2"/>
    <w:rsid w:val="004A5EA9"/>
    <w:rsid w:val="004F0649"/>
    <w:rsid w:val="00531C81"/>
    <w:rsid w:val="005A3B5B"/>
    <w:rsid w:val="005B5D3D"/>
    <w:rsid w:val="005C4317"/>
    <w:rsid w:val="00642F53"/>
    <w:rsid w:val="00646ED7"/>
    <w:rsid w:val="00671C4C"/>
    <w:rsid w:val="00692B60"/>
    <w:rsid w:val="006B06BE"/>
    <w:rsid w:val="006B4008"/>
    <w:rsid w:val="006B6C75"/>
    <w:rsid w:val="006C2BFA"/>
    <w:rsid w:val="006D5D58"/>
    <w:rsid w:val="0070054B"/>
    <w:rsid w:val="00722FE0"/>
    <w:rsid w:val="007255F1"/>
    <w:rsid w:val="007428C6"/>
    <w:rsid w:val="00742E44"/>
    <w:rsid w:val="007600F4"/>
    <w:rsid w:val="00776AE2"/>
    <w:rsid w:val="007C346A"/>
    <w:rsid w:val="007D0D74"/>
    <w:rsid w:val="007E0D23"/>
    <w:rsid w:val="008021D7"/>
    <w:rsid w:val="00830314"/>
    <w:rsid w:val="00875753"/>
    <w:rsid w:val="008A28C8"/>
    <w:rsid w:val="00915D16"/>
    <w:rsid w:val="00992927"/>
    <w:rsid w:val="009C7336"/>
    <w:rsid w:val="009D6A60"/>
    <w:rsid w:val="009E5977"/>
    <w:rsid w:val="00A579BB"/>
    <w:rsid w:val="00A63D55"/>
    <w:rsid w:val="00A95D89"/>
    <w:rsid w:val="00AC2E6B"/>
    <w:rsid w:val="00B1363E"/>
    <w:rsid w:val="00BD3F03"/>
    <w:rsid w:val="00BF6C8C"/>
    <w:rsid w:val="00C618DB"/>
    <w:rsid w:val="00CA78C0"/>
    <w:rsid w:val="00CF7D36"/>
    <w:rsid w:val="00D03313"/>
    <w:rsid w:val="00D064C4"/>
    <w:rsid w:val="00D11007"/>
    <w:rsid w:val="00D2449B"/>
    <w:rsid w:val="00D33ACD"/>
    <w:rsid w:val="00D552C5"/>
    <w:rsid w:val="00D721B3"/>
    <w:rsid w:val="00D7232C"/>
    <w:rsid w:val="00D9337E"/>
    <w:rsid w:val="00DC013C"/>
    <w:rsid w:val="00DC4B41"/>
    <w:rsid w:val="00DD62F6"/>
    <w:rsid w:val="00DE7092"/>
    <w:rsid w:val="00E66534"/>
    <w:rsid w:val="00E668EB"/>
    <w:rsid w:val="00E71563"/>
    <w:rsid w:val="00EA09F9"/>
    <w:rsid w:val="00EC23C7"/>
    <w:rsid w:val="00ED282D"/>
    <w:rsid w:val="00ED3D2C"/>
    <w:rsid w:val="00F079B6"/>
    <w:rsid w:val="00F30CCB"/>
    <w:rsid w:val="00F44E85"/>
    <w:rsid w:val="00F92DE4"/>
    <w:rsid w:val="00FA6E12"/>
    <w:rsid w:val="00FD14AC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434"/>
  <w15:docId w15:val="{A7772A05-6158-4052-B773-22ED4907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46ED7"/>
    <w:pPr>
      <w:overflowPunct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46ED7"/>
    <w:rPr>
      <w:rFonts w:ascii="Courier New" w:eastAsia="Times New Roman" w:hAnsi="Courier New" w:cs="Courier New"/>
      <w:sz w:val="20"/>
      <w:szCs w:val="20"/>
    </w:rPr>
  </w:style>
  <w:style w:type="character" w:customStyle="1" w:styleId="FootnoteCharacters">
    <w:name w:val="Footnote Characters"/>
    <w:rsid w:val="00646ED7"/>
  </w:style>
  <w:style w:type="paragraph" w:styleId="BodyText">
    <w:name w:val="Body Text"/>
    <w:basedOn w:val="Normal"/>
    <w:link w:val="BodyTextChar"/>
    <w:rsid w:val="00646ED7"/>
    <w:pPr>
      <w:suppressAutoHyphens/>
      <w:overflowPunct/>
      <w:autoSpaceDE/>
      <w:autoSpaceDN/>
      <w:adjustRightInd/>
      <w:textAlignment w:val="auto"/>
    </w:pPr>
    <w:rPr>
      <w:rFonts w:cs="Arial"/>
      <w:color w:val="000000"/>
      <w:lang w:eastAsia="ar-SA"/>
    </w:rPr>
  </w:style>
  <w:style w:type="character" w:customStyle="1" w:styleId="BodyTextChar">
    <w:name w:val="Body Text Char"/>
    <w:basedOn w:val="DefaultParagraphFont"/>
    <w:link w:val="BodyText"/>
    <w:rsid w:val="00646ED7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Default">
    <w:name w:val="Default"/>
    <w:rsid w:val="00646E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egclearfix2">
    <w:name w:val="legclearfix2"/>
    <w:basedOn w:val="Normal"/>
    <w:rsid w:val="00646ED7"/>
    <w:pPr>
      <w:shd w:val="clear" w:color="auto" w:fill="FFFFFF"/>
      <w:overflowPunct/>
      <w:autoSpaceDE/>
      <w:autoSpaceDN/>
      <w:adjustRightInd/>
      <w:spacing w:after="120" w:line="360" w:lineRule="atLeast"/>
      <w:textAlignment w:val="auto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rsid w:val="00646ED7"/>
  </w:style>
  <w:style w:type="character" w:styleId="Hyperlink">
    <w:name w:val="Hyperlink"/>
    <w:basedOn w:val="DefaultParagraphFont"/>
    <w:uiPriority w:val="99"/>
    <w:semiHidden/>
    <w:unhideWhenUsed/>
    <w:rsid w:val="0004745D"/>
    <w:rPr>
      <w:strike w:val="0"/>
      <w:dstrike w:val="0"/>
      <w:color w:val="1A0DA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4745D"/>
    <w:rPr>
      <w:rFonts w:ascii="Arial" w:hAnsi="Arial" w:cs="Arial" w:hint="default"/>
      <w:b/>
      <w:bCs/>
      <w:i w:val="0"/>
      <w:iCs w:val="0"/>
      <w:cap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8AE6-DDC3-42D7-ABF6-AE78E2D9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2016-03-10T16:55:00Z</cp:lastPrinted>
  <dcterms:created xsi:type="dcterms:W3CDTF">2021-07-16T14:25:00Z</dcterms:created>
  <dcterms:modified xsi:type="dcterms:W3CDTF">2021-07-16T14:25:00Z</dcterms:modified>
</cp:coreProperties>
</file>