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DB67D9" w:rsidRPr="00DB67D9" w14:paraId="63184A8E"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EEAAB8" w14:textId="77777777" w:rsidR="004A5EA9" w:rsidRPr="00DB67D9" w:rsidRDefault="00D2449B" w:rsidP="00D2449B">
            <w:pPr>
              <w:jc w:val="center"/>
              <w:rPr>
                <w:rFonts w:ascii="Calibri" w:hAnsi="Calibri"/>
                <w:b/>
                <w:szCs w:val="22"/>
              </w:rPr>
            </w:pPr>
            <w:r w:rsidRPr="00DB67D9">
              <w:rPr>
                <w:rFonts w:ascii="Calibri" w:hAnsi="Calibri"/>
                <w:b/>
                <w:szCs w:val="22"/>
              </w:rPr>
              <w:t>R</w:t>
            </w:r>
            <w:r w:rsidR="004A5EA9" w:rsidRPr="00DB67D9">
              <w:rPr>
                <w:rFonts w:ascii="Calibri" w:hAnsi="Calibri"/>
                <w:b/>
                <w:szCs w:val="22"/>
              </w:rPr>
              <w:t>eport to be read in conjunction with the Decision Notice.</w:t>
            </w:r>
          </w:p>
        </w:tc>
      </w:tr>
      <w:tr w:rsidR="00DB67D9" w:rsidRPr="00DB67D9" w14:paraId="7C2B4699" w14:textId="77777777" w:rsidTr="000B6986">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5F11123" w14:textId="77777777" w:rsidR="004A5EA9" w:rsidRPr="00DB67D9" w:rsidRDefault="004A5EA9" w:rsidP="004A5EA9">
            <w:pPr>
              <w:jc w:val="center"/>
              <w:rPr>
                <w:rFonts w:ascii="Calibri" w:hAnsi="Calibri"/>
                <w:b/>
                <w:szCs w:val="22"/>
              </w:rPr>
            </w:pPr>
          </w:p>
        </w:tc>
      </w:tr>
      <w:tr w:rsidR="00DB67D9" w:rsidRPr="00DB67D9" w14:paraId="0E3000F2" w14:textId="77777777" w:rsidTr="000B6986">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406873" w14:textId="77777777" w:rsidR="004A5EA9" w:rsidRPr="00DB67D9" w:rsidRDefault="004A5EA9">
            <w:pPr>
              <w:rPr>
                <w:rFonts w:ascii="Calibri" w:hAnsi="Calibri"/>
                <w:b/>
                <w:szCs w:val="22"/>
              </w:rPr>
            </w:pPr>
            <w:r w:rsidRPr="00DB67D9">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F3C9D5" w14:textId="2E87D8A8" w:rsidR="004A5EA9" w:rsidRPr="00DB67D9" w:rsidRDefault="004A5EA9" w:rsidP="00487C87">
            <w:pPr>
              <w:rPr>
                <w:rFonts w:ascii="Calibri" w:hAnsi="Calibri"/>
                <w:szCs w:val="22"/>
              </w:rPr>
            </w:pPr>
            <w:r w:rsidRPr="00DB67D9">
              <w:rPr>
                <w:rFonts w:ascii="Calibri" w:hAnsi="Calibri"/>
                <w:szCs w:val="22"/>
              </w:rPr>
              <w:t>3/20</w:t>
            </w:r>
            <w:r w:rsidR="006E5B16">
              <w:rPr>
                <w:rFonts w:ascii="Calibri" w:hAnsi="Calibri"/>
                <w:szCs w:val="22"/>
              </w:rPr>
              <w:t>2</w:t>
            </w:r>
            <w:r w:rsidR="00EE3C49">
              <w:rPr>
                <w:rFonts w:ascii="Calibri" w:hAnsi="Calibri"/>
                <w:szCs w:val="22"/>
              </w:rPr>
              <w:t>1/0</w:t>
            </w:r>
            <w:r w:rsidR="00F13F84">
              <w:rPr>
                <w:rFonts w:ascii="Calibri" w:hAnsi="Calibri"/>
                <w:szCs w:val="22"/>
              </w:rPr>
              <w:t>554</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92EA37" w14:textId="77777777" w:rsidR="004A5EA9" w:rsidRPr="00DB67D9" w:rsidRDefault="004A5EA9">
            <w:pPr>
              <w:rPr>
                <w:rFonts w:ascii="Calibri" w:hAnsi="Calibri"/>
                <w:szCs w:val="22"/>
              </w:rPr>
            </w:pPr>
            <w:r w:rsidRPr="00DB67D9">
              <w:rPr>
                <w:rFonts w:ascii="Calibri" w:hAnsi="Calibri"/>
                <w:noProof/>
                <w:szCs w:val="22"/>
                <w:lang w:eastAsia="en-GB"/>
              </w:rPr>
              <w:drawing>
                <wp:anchor distT="0" distB="0" distL="114300" distR="114300" simplePos="0" relativeHeight="251658240" behindDoc="0" locked="0" layoutInCell="1" allowOverlap="1" wp14:anchorId="0F0A49F1" wp14:editId="18C3699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67D9" w:rsidRPr="00DB67D9" w14:paraId="4AA592A3" w14:textId="77777777" w:rsidTr="000B6986">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A109E5" w14:textId="77777777" w:rsidR="004A5EA9" w:rsidRPr="00DB67D9" w:rsidRDefault="004A5EA9">
            <w:pPr>
              <w:rPr>
                <w:rFonts w:ascii="Calibri" w:hAnsi="Calibri"/>
                <w:b/>
                <w:szCs w:val="22"/>
              </w:rPr>
            </w:pPr>
            <w:r w:rsidRPr="00DB67D9">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05890E" w14:textId="3BA27B81" w:rsidR="004A5EA9" w:rsidRPr="00DB67D9" w:rsidRDefault="00EE3C49" w:rsidP="008079CD">
            <w:pPr>
              <w:rPr>
                <w:rFonts w:ascii="Calibri" w:hAnsi="Calibri"/>
                <w:szCs w:val="22"/>
              </w:rPr>
            </w:pPr>
            <w:r>
              <w:rPr>
                <w:rFonts w:ascii="Calibri" w:hAnsi="Calibri"/>
                <w:szCs w:val="22"/>
              </w:rPr>
              <w:t>21/04/2021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67C963" w14:textId="77777777" w:rsidR="004A5EA9" w:rsidRPr="00DB67D9" w:rsidRDefault="004A5EA9">
            <w:pPr>
              <w:rPr>
                <w:rFonts w:ascii="Calibri" w:hAnsi="Calibri"/>
                <w:szCs w:val="22"/>
              </w:rPr>
            </w:pPr>
          </w:p>
        </w:tc>
      </w:tr>
      <w:tr w:rsidR="00DB67D9" w:rsidRPr="00DB67D9" w14:paraId="3F9C2C9E" w14:textId="77777777" w:rsidTr="000B6986">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F74F7B" w14:textId="77777777" w:rsidR="004A5EA9" w:rsidRPr="00DB67D9" w:rsidRDefault="00D2449B">
            <w:pPr>
              <w:rPr>
                <w:rFonts w:ascii="Calibri" w:hAnsi="Calibri"/>
                <w:b/>
                <w:szCs w:val="22"/>
              </w:rPr>
            </w:pPr>
            <w:r w:rsidRPr="00DB67D9">
              <w:rPr>
                <w:rFonts w:ascii="Calibri" w:hAnsi="Calibri"/>
                <w:b/>
                <w:szCs w:val="22"/>
              </w:rPr>
              <w:t>Officer</w:t>
            </w:r>
            <w:r w:rsidR="004A5EA9" w:rsidRPr="00DB67D9">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B0FA79" w14:textId="77777777" w:rsidR="004A5EA9" w:rsidRPr="00DB67D9" w:rsidRDefault="006E5B16">
            <w:pPr>
              <w:rPr>
                <w:rFonts w:ascii="Calibri" w:hAnsi="Calibri"/>
                <w:szCs w:val="22"/>
              </w:rPr>
            </w:pPr>
            <w:r>
              <w:rPr>
                <w:rFonts w:ascii="Calibri" w:hAnsi="Calibr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5D72A" w14:textId="77777777" w:rsidR="004A5EA9" w:rsidRPr="00DB67D9" w:rsidRDefault="004A5EA9">
            <w:pPr>
              <w:rPr>
                <w:rFonts w:ascii="Calibri" w:hAnsi="Calibri"/>
                <w:szCs w:val="22"/>
              </w:rPr>
            </w:pPr>
          </w:p>
        </w:tc>
      </w:tr>
      <w:tr w:rsidR="00DB67D9" w:rsidRPr="00DB67D9" w14:paraId="4D678F5E" w14:textId="77777777" w:rsidTr="000B698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687260" w14:textId="77777777" w:rsidR="004A5EA9" w:rsidRPr="00DB67D9" w:rsidRDefault="004A5EA9" w:rsidP="004A5EA9">
            <w:pPr>
              <w:rPr>
                <w:rFonts w:ascii="Calibri" w:hAnsi="Calibri"/>
                <w:b/>
                <w:szCs w:val="22"/>
              </w:rPr>
            </w:pPr>
            <w:r w:rsidRPr="00DB67D9">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F8C9ED" w14:textId="457848D3" w:rsidR="004A5EA9" w:rsidRPr="00DB67D9" w:rsidRDefault="00BA43DD" w:rsidP="002A01CF">
            <w:pPr>
              <w:jc w:val="center"/>
              <w:rPr>
                <w:rFonts w:ascii="Calibri" w:hAnsi="Calibri"/>
                <w:b/>
                <w:szCs w:val="22"/>
              </w:rPr>
            </w:pPr>
            <w:r>
              <w:rPr>
                <w:rFonts w:ascii="Calibri" w:hAnsi="Calibri"/>
                <w:b/>
                <w:szCs w:val="22"/>
              </w:rPr>
              <w:t>APPROVED</w:t>
            </w:r>
          </w:p>
        </w:tc>
      </w:tr>
      <w:tr w:rsidR="00DB67D9" w:rsidRPr="00DB67D9" w14:paraId="6237B479" w14:textId="77777777" w:rsidTr="000B6986">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8F3F62C" w14:textId="77777777" w:rsidR="004A5EA9" w:rsidRPr="00DB67D9" w:rsidRDefault="007E0D23" w:rsidP="007E0D23">
            <w:pPr>
              <w:tabs>
                <w:tab w:val="left" w:pos="4007"/>
              </w:tabs>
              <w:rPr>
                <w:rFonts w:ascii="Calibri" w:hAnsi="Calibri"/>
                <w:b/>
                <w:szCs w:val="22"/>
              </w:rPr>
            </w:pPr>
            <w:r w:rsidRPr="00DB67D9">
              <w:rPr>
                <w:rFonts w:ascii="Calibri" w:hAnsi="Calibri"/>
                <w:b/>
                <w:szCs w:val="22"/>
              </w:rPr>
              <w:tab/>
            </w:r>
          </w:p>
        </w:tc>
      </w:tr>
      <w:tr w:rsidR="00DB67D9" w:rsidRPr="00DB67D9" w14:paraId="56BBC8B6" w14:textId="77777777" w:rsidTr="000B698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137288" w14:textId="77777777" w:rsidR="004A5EA9" w:rsidRPr="00DB67D9" w:rsidRDefault="004A5EA9" w:rsidP="00A95D89">
            <w:pPr>
              <w:rPr>
                <w:rFonts w:ascii="Calibri" w:hAnsi="Calibri"/>
                <w:b/>
                <w:szCs w:val="22"/>
              </w:rPr>
            </w:pPr>
            <w:r w:rsidRPr="00DB67D9">
              <w:rPr>
                <w:rFonts w:ascii="Calibri" w:hAnsi="Calibri"/>
                <w:b/>
                <w:szCs w:val="22"/>
              </w:rPr>
              <w:t xml:space="preserve">Development </w:t>
            </w:r>
            <w:r w:rsidR="00A95D89" w:rsidRPr="00DB67D9">
              <w:rPr>
                <w:rFonts w:ascii="Calibri" w:hAnsi="Calibri"/>
                <w:b/>
                <w:szCs w:val="22"/>
              </w:rPr>
              <w:t>Description</w:t>
            </w:r>
            <w:r w:rsidRPr="00DB67D9">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1D8674" w14:textId="4338AA7A" w:rsidR="004A5EA9" w:rsidRPr="00DB67D9" w:rsidRDefault="00F13F84" w:rsidP="003B64DF">
            <w:pPr>
              <w:rPr>
                <w:rFonts w:ascii="Calibri" w:hAnsi="Calibri"/>
                <w:b/>
                <w:szCs w:val="22"/>
              </w:rPr>
            </w:pPr>
            <w:r w:rsidRPr="00F13F84">
              <w:rPr>
                <w:rFonts w:ascii="Calibri" w:hAnsi="Calibri"/>
                <w:b/>
                <w:szCs w:val="22"/>
              </w:rPr>
              <w:t>Proposed demolition of existing garage. Alterations to change the use of the domestic store to a dwelling to include a single storey side extension and single storey rear extension. Resubmission of 3/2021/0084.</w:t>
            </w:r>
          </w:p>
        </w:tc>
      </w:tr>
      <w:tr w:rsidR="00DB67D9" w:rsidRPr="00DB67D9" w14:paraId="3C2ACB8D" w14:textId="77777777" w:rsidTr="000B698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0FCD46" w14:textId="77777777" w:rsidR="002A01CF" w:rsidRPr="00DB67D9" w:rsidRDefault="002A01CF">
            <w:pPr>
              <w:rPr>
                <w:rFonts w:ascii="Calibri" w:hAnsi="Calibri"/>
                <w:b/>
                <w:szCs w:val="22"/>
              </w:rPr>
            </w:pPr>
            <w:r w:rsidRPr="00DB67D9">
              <w:rPr>
                <w:rFonts w:ascii="Calibri" w:hAnsi="Calibri"/>
                <w:b/>
                <w:szCs w:val="22"/>
              </w:rPr>
              <w:t>Site Address</w:t>
            </w:r>
            <w:r w:rsidR="00A95D89" w:rsidRPr="00DB67D9">
              <w:rPr>
                <w:rFonts w:ascii="Calibri" w:hAnsi="Calibri"/>
                <w:b/>
                <w:szCs w:val="22"/>
              </w:rPr>
              <w:t>/Location</w:t>
            </w:r>
            <w:r w:rsidRPr="00DB67D9">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42EA7E" w14:textId="5BCCFC14" w:rsidR="002A01CF" w:rsidRPr="00DB67D9" w:rsidRDefault="00EE3C49" w:rsidP="006C4AB2">
            <w:pPr>
              <w:rPr>
                <w:rFonts w:ascii="Calibri" w:hAnsi="Calibri"/>
                <w:b/>
                <w:szCs w:val="22"/>
              </w:rPr>
            </w:pPr>
            <w:r w:rsidRPr="00EE3C49">
              <w:rPr>
                <w:rFonts w:ascii="Calibri" w:hAnsi="Calibri"/>
                <w:b/>
                <w:szCs w:val="22"/>
              </w:rPr>
              <w:t>The Rann Saccary Lane Mellor BB1 9DL</w:t>
            </w:r>
          </w:p>
        </w:tc>
      </w:tr>
      <w:tr w:rsidR="00DB67D9" w:rsidRPr="00DB67D9" w14:paraId="49AC45CE" w14:textId="77777777" w:rsidTr="000B6986">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0CFA9A7" w14:textId="77777777" w:rsidR="00A95D89" w:rsidRPr="00A44195" w:rsidRDefault="007E0D23" w:rsidP="007E0D23">
            <w:pPr>
              <w:tabs>
                <w:tab w:val="left" w:pos="2667"/>
              </w:tabs>
              <w:rPr>
                <w:rFonts w:ascii="Calibri" w:hAnsi="Calibri"/>
                <w:b/>
                <w:szCs w:val="22"/>
              </w:rPr>
            </w:pPr>
            <w:r w:rsidRPr="00A44195">
              <w:rPr>
                <w:rFonts w:ascii="Calibri" w:hAnsi="Calibri"/>
                <w:b/>
                <w:szCs w:val="22"/>
              </w:rPr>
              <w:tab/>
            </w:r>
          </w:p>
        </w:tc>
      </w:tr>
      <w:tr w:rsidR="006E5B16" w:rsidRPr="006E5B16" w14:paraId="4C2F6806" w14:textId="77777777" w:rsidTr="000B698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FEDD61" w14:textId="77777777" w:rsidR="00C618DB" w:rsidRPr="00A44195" w:rsidRDefault="00C618DB">
            <w:pPr>
              <w:rPr>
                <w:rFonts w:ascii="Calibri" w:hAnsi="Calibri"/>
                <w:b/>
                <w:szCs w:val="22"/>
              </w:rPr>
            </w:pPr>
            <w:r w:rsidRPr="00A44195">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7FC181" w14:textId="77777777" w:rsidR="00C618DB" w:rsidRPr="00A44195" w:rsidRDefault="00C618DB">
            <w:pPr>
              <w:rPr>
                <w:rFonts w:ascii="Calibri" w:hAnsi="Calibri"/>
                <w:b/>
                <w:szCs w:val="22"/>
              </w:rPr>
            </w:pPr>
            <w:r w:rsidRPr="00A44195">
              <w:rPr>
                <w:rFonts w:ascii="Calibri" w:hAnsi="Calibri"/>
                <w:b/>
                <w:szCs w:val="22"/>
              </w:rPr>
              <w:t>Parish/Town Council</w:t>
            </w:r>
          </w:p>
        </w:tc>
      </w:tr>
      <w:tr w:rsidR="006E5B16" w:rsidRPr="006E5B16" w14:paraId="65221BBE"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B69940" w14:textId="77777777" w:rsidR="00996EAD" w:rsidRPr="00A44195" w:rsidRDefault="00996EAD" w:rsidP="00996EAD">
            <w:pPr>
              <w:rPr>
                <w:rFonts w:ascii="Calibri" w:hAnsi="Calibri"/>
                <w:szCs w:val="22"/>
              </w:rPr>
            </w:pPr>
            <w:r w:rsidRPr="00A44195">
              <w:rPr>
                <w:rFonts w:ascii="Calibri" w:hAnsi="Calibri"/>
                <w:szCs w:val="22"/>
              </w:rPr>
              <w:t>No</w:t>
            </w:r>
            <w:r w:rsidR="008224A9">
              <w:rPr>
                <w:rFonts w:ascii="Calibri" w:hAnsi="Calibri"/>
                <w:szCs w:val="22"/>
              </w:rPr>
              <w:t>ne received.</w:t>
            </w:r>
          </w:p>
        </w:tc>
      </w:tr>
      <w:tr w:rsidR="006E5B16" w:rsidRPr="006E5B16" w14:paraId="57B0DA55" w14:textId="77777777" w:rsidTr="000B6986">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88F2CA6" w14:textId="77777777" w:rsidR="00C618DB" w:rsidRPr="00A44195" w:rsidRDefault="00C618DB">
            <w:pPr>
              <w:rPr>
                <w:rFonts w:ascii="Calibri" w:hAnsi="Calibri"/>
                <w:bCs/>
                <w:szCs w:val="22"/>
              </w:rPr>
            </w:pPr>
          </w:p>
        </w:tc>
      </w:tr>
      <w:tr w:rsidR="006E5B16" w:rsidRPr="006E5B16" w14:paraId="30680443" w14:textId="77777777" w:rsidTr="000B698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B4DCA6" w14:textId="77777777" w:rsidR="00C618DB" w:rsidRPr="00A44195" w:rsidRDefault="00C618DB" w:rsidP="00C618DB">
            <w:pPr>
              <w:rPr>
                <w:rFonts w:ascii="Calibri" w:hAnsi="Calibri"/>
                <w:b/>
                <w:szCs w:val="22"/>
              </w:rPr>
            </w:pPr>
            <w:r w:rsidRPr="00A44195">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81AA1D" w14:textId="77777777" w:rsidR="00C618DB" w:rsidRPr="00A44195" w:rsidRDefault="00C618DB" w:rsidP="00C618DB">
            <w:pPr>
              <w:rPr>
                <w:rFonts w:ascii="Calibri" w:hAnsi="Calibri"/>
                <w:b/>
                <w:szCs w:val="22"/>
              </w:rPr>
            </w:pPr>
            <w:r w:rsidRPr="00A44195">
              <w:rPr>
                <w:rFonts w:ascii="Calibri" w:hAnsi="Calibri"/>
                <w:b/>
                <w:szCs w:val="22"/>
              </w:rPr>
              <w:t>Highways/Water Authority/Other Bodies</w:t>
            </w:r>
          </w:p>
        </w:tc>
      </w:tr>
      <w:tr w:rsidR="00167748" w:rsidRPr="006E5B16" w14:paraId="1CCDFD12"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783D22" w14:textId="77777777" w:rsidR="00167748" w:rsidRPr="00167748" w:rsidRDefault="00167748" w:rsidP="00167748">
            <w:pPr>
              <w:rPr>
                <w:rFonts w:asciiTheme="minorHAnsi" w:hAnsiTheme="minorHAnsi" w:cstheme="minorHAnsi"/>
                <w:b/>
              </w:rPr>
            </w:pPr>
            <w:r w:rsidRPr="00167748">
              <w:rPr>
                <w:rFonts w:asciiTheme="minorHAnsi" w:hAnsiTheme="minorHAnsi" w:cstheme="minorHAnsi"/>
                <w:b/>
              </w:rPr>
              <w:t>LCC Highways:</w:t>
            </w:r>
          </w:p>
        </w:tc>
      </w:tr>
      <w:tr w:rsidR="00167748" w:rsidRPr="00A44195" w14:paraId="5265663A"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EDA1CF" w14:textId="285E025F" w:rsidR="00167748" w:rsidRPr="00167748" w:rsidRDefault="00465E65" w:rsidP="00465E65">
            <w:pPr>
              <w:jc w:val="both"/>
              <w:rPr>
                <w:rFonts w:ascii="Calibri" w:hAnsi="Calibri"/>
                <w:szCs w:val="22"/>
              </w:rPr>
            </w:pPr>
            <w:r>
              <w:rPr>
                <w:rFonts w:ascii="Calibri" w:hAnsi="Calibri"/>
                <w:szCs w:val="22"/>
              </w:rPr>
              <w:t>No objection</w:t>
            </w:r>
            <w:r w:rsidR="00F13F84">
              <w:rPr>
                <w:rFonts w:ascii="Calibri" w:hAnsi="Calibri"/>
                <w:szCs w:val="22"/>
              </w:rPr>
              <w:t xml:space="preserve"> subject to conditions</w:t>
            </w:r>
            <w:r>
              <w:rPr>
                <w:rFonts w:ascii="Calibri" w:hAnsi="Calibri"/>
                <w:szCs w:val="22"/>
              </w:rPr>
              <w:t>.</w:t>
            </w:r>
          </w:p>
        </w:tc>
      </w:tr>
      <w:tr w:rsidR="00A44195" w:rsidRPr="00A44195" w14:paraId="36D8735F" w14:textId="77777777" w:rsidTr="000B698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0FABB8" w14:textId="77777777" w:rsidR="00C618DB" w:rsidRPr="00A44195" w:rsidRDefault="00C618DB" w:rsidP="00C618DB">
            <w:pPr>
              <w:rPr>
                <w:rFonts w:ascii="Calibri" w:hAnsi="Calibri"/>
                <w:b/>
                <w:szCs w:val="22"/>
              </w:rPr>
            </w:pPr>
            <w:r w:rsidRPr="00A44195">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3B73DB" w14:textId="77777777" w:rsidR="00C618DB" w:rsidRPr="00A44195" w:rsidRDefault="00C618DB" w:rsidP="00C618DB">
            <w:pPr>
              <w:rPr>
                <w:rFonts w:ascii="Calibri" w:hAnsi="Calibri"/>
                <w:b/>
                <w:szCs w:val="22"/>
              </w:rPr>
            </w:pPr>
            <w:r w:rsidRPr="00A44195">
              <w:rPr>
                <w:rFonts w:ascii="Calibri" w:hAnsi="Calibri"/>
                <w:b/>
                <w:szCs w:val="22"/>
              </w:rPr>
              <w:t>Additional Representations.</w:t>
            </w:r>
          </w:p>
        </w:tc>
      </w:tr>
      <w:tr w:rsidR="00A44195" w:rsidRPr="00A44195" w14:paraId="23E90D8A"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CEE30C" w14:textId="77777777" w:rsidR="00995241" w:rsidRPr="00CE7985" w:rsidRDefault="00CE7985" w:rsidP="00CE7985">
            <w:pPr>
              <w:jc w:val="both"/>
              <w:rPr>
                <w:rFonts w:ascii="Calibri" w:hAnsi="Calibri"/>
              </w:rPr>
            </w:pPr>
            <w:r>
              <w:rPr>
                <w:rFonts w:ascii="Calibri" w:hAnsi="Calibri"/>
              </w:rPr>
              <w:t>No representations have been received.</w:t>
            </w:r>
          </w:p>
        </w:tc>
      </w:tr>
      <w:tr w:rsidR="006E5B16" w:rsidRPr="006E5B16" w14:paraId="62FBADC4" w14:textId="77777777" w:rsidTr="000B6986">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EB93A3B" w14:textId="77777777" w:rsidR="00C618DB" w:rsidRPr="006E5B16" w:rsidRDefault="00C618DB">
            <w:pPr>
              <w:rPr>
                <w:rFonts w:ascii="Calibri" w:hAnsi="Calibri"/>
                <w:color w:val="FF0000"/>
                <w:szCs w:val="22"/>
              </w:rPr>
            </w:pPr>
          </w:p>
        </w:tc>
      </w:tr>
      <w:tr w:rsidR="006E5B16" w:rsidRPr="006E5B16" w14:paraId="5AF4D637"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462B37" w14:textId="77777777" w:rsidR="00EC23C7" w:rsidRPr="00A44195" w:rsidRDefault="00EC23C7">
            <w:pPr>
              <w:rPr>
                <w:rFonts w:ascii="Calibri" w:hAnsi="Calibri"/>
                <w:b/>
                <w:szCs w:val="22"/>
              </w:rPr>
            </w:pPr>
            <w:r w:rsidRPr="00A44195">
              <w:rPr>
                <w:rFonts w:ascii="Calibri" w:hAnsi="Calibri"/>
                <w:b/>
                <w:szCs w:val="22"/>
              </w:rPr>
              <w:t>RELEVANT POLICIES:</w:t>
            </w:r>
          </w:p>
        </w:tc>
      </w:tr>
      <w:tr w:rsidR="006E5B16" w:rsidRPr="006E5B16" w14:paraId="635C50BB"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CAD1EB" w14:textId="77777777" w:rsidR="00862C49" w:rsidRPr="00A44195" w:rsidRDefault="00C618DB" w:rsidP="00C618DB">
            <w:pPr>
              <w:pStyle w:val="PLANNING"/>
              <w:rPr>
                <w:rFonts w:ascii="Calibri" w:hAnsi="Calibri"/>
                <w:b/>
                <w:bCs/>
                <w:szCs w:val="22"/>
              </w:rPr>
            </w:pPr>
            <w:r w:rsidRPr="00A44195">
              <w:rPr>
                <w:rFonts w:ascii="Calibri" w:hAnsi="Calibri"/>
                <w:b/>
                <w:bCs/>
                <w:szCs w:val="22"/>
              </w:rPr>
              <w:t>Ribble Valley Core Strategy:</w:t>
            </w:r>
          </w:p>
          <w:p w14:paraId="68E431AF"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DS1 – Development Strategy</w:t>
            </w:r>
          </w:p>
          <w:p w14:paraId="1552F698"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DS2 – Sustainable Development</w:t>
            </w:r>
          </w:p>
          <w:p w14:paraId="2ACAEDE7" w14:textId="77777777" w:rsidR="0017778D" w:rsidRPr="00A44195" w:rsidRDefault="0017778D" w:rsidP="00862C49">
            <w:pPr>
              <w:pStyle w:val="PLANNING"/>
              <w:rPr>
                <w:rFonts w:asciiTheme="minorHAnsi" w:hAnsiTheme="minorHAnsi"/>
                <w:szCs w:val="22"/>
              </w:rPr>
            </w:pPr>
            <w:r w:rsidRPr="00A44195">
              <w:rPr>
                <w:rFonts w:asciiTheme="minorHAnsi" w:hAnsiTheme="minorHAnsi"/>
                <w:szCs w:val="22"/>
              </w:rPr>
              <w:t>Key Statement EN2 – Landscape</w:t>
            </w:r>
          </w:p>
          <w:p w14:paraId="461571BD" w14:textId="77777777" w:rsidR="0017778D" w:rsidRPr="00A44195" w:rsidRDefault="0017778D" w:rsidP="00862C49">
            <w:pPr>
              <w:pStyle w:val="PLANNING"/>
              <w:rPr>
                <w:rFonts w:asciiTheme="minorHAnsi" w:hAnsiTheme="minorHAnsi"/>
                <w:szCs w:val="22"/>
              </w:rPr>
            </w:pPr>
            <w:r w:rsidRPr="00A44195">
              <w:rPr>
                <w:rFonts w:asciiTheme="minorHAnsi" w:hAnsiTheme="minorHAnsi"/>
                <w:szCs w:val="22"/>
              </w:rPr>
              <w:t>Key Statement EN4 – Biodiversity and Geodiversity</w:t>
            </w:r>
          </w:p>
          <w:p w14:paraId="3FB929B1"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H1 – Housing Provision</w:t>
            </w:r>
          </w:p>
          <w:p w14:paraId="3D813076"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H2 – Housing Balance</w:t>
            </w:r>
          </w:p>
          <w:p w14:paraId="202CEB72"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DMI2 – Transport Considerations</w:t>
            </w:r>
          </w:p>
          <w:p w14:paraId="76514050" w14:textId="77777777" w:rsidR="00862C49" w:rsidRPr="00A44195" w:rsidRDefault="00862C49" w:rsidP="00862C49">
            <w:pPr>
              <w:pStyle w:val="PLANNING"/>
              <w:rPr>
                <w:rFonts w:asciiTheme="minorHAnsi" w:hAnsiTheme="minorHAnsi"/>
                <w:szCs w:val="22"/>
              </w:rPr>
            </w:pPr>
          </w:p>
          <w:p w14:paraId="261D3D57"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Policy DMG1 – General Considerations</w:t>
            </w:r>
          </w:p>
          <w:p w14:paraId="4AC70B3F"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Policy DMG2 – Strategic Considerations</w:t>
            </w:r>
          </w:p>
          <w:p w14:paraId="51074528"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Policy DMG3 – Transport &amp; Mobility</w:t>
            </w:r>
          </w:p>
          <w:p w14:paraId="1EF4DE22" w14:textId="77777777" w:rsidR="006A18EF" w:rsidRPr="00A44195" w:rsidRDefault="006A18EF" w:rsidP="00C618DB">
            <w:pPr>
              <w:pStyle w:val="PLANNING"/>
              <w:rPr>
                <w:rFonts w:asciiTheme="minorHAnsi" w:hAnsiTheme="minorHAnsi"/>
                <w:szCs w:val="22"/>
              </w:rPr>
            </w:pPr>
            <w:r w:rsidRPr="00A44195">
              <w:rPr>
                <w:rFonts w:asciiTheme="minorHAnsi" w:hAnsiTheme="minorHAnsi"/>
                <w:szCs w:val="22"/>
              </w:rPr>
              <w:t>Policy DME2 – Landscape and Townscape Protection</w:t>
            </w:r>
          </w:p>
          <w:p w14:paraId="32FA8695" w14:textId="77777777" w:rsidR="00C618DB" w:rsidRPr="00A44195" w:rsidRDefault="0017778D" w:rsidP="00C618DB">
            <w:pPr>
              <w:pStyle w:val="PLANNING"/>
              <w:rPr>
                <w:rFonts w:asciiTheme="minorHAnsi" w:hAnsiTheme="minorHAnsi"/>
                <w:szCs w:val="22"/>
              </w:rPr>
            </w:pPr>
            <w:r w:rsidRPr="00A44195">
              <w:rPr>
                <w:rFonts w:asciiTheme="minorHAnsi" w:hAnsiTheme="minorHAnsi"/>
                <w:szCs w:val="22"/>
              </w:rPr>
              <w:t>Policy DME3 – Site and Species Protection and Conservation</w:t>
            </w:r>
          </w:p>
          <w:p w14:paraId="5009DFDD" w14:textId="77777777" w:rsidR="00F2786A" w:rsidRPr="00A44195" w:rsidRDefault="00F2786A" w:rsidP="006A18EF">
            <w:pPr>
              <w:jc w:val="both"/>
              <w:rPr>
                <w:rFonts w:asciiTheme="minorHAnsi" w:hAnsiTheme="minorHAnsi"/>
              </w:rPr>
            </w:pPr>
            <w:r w:rsidRPr="00A44195">
              <w:rPr>
                <w:rFonts w:asciiTheme="minorHAnsi" w:hAnsiTheme="minorHAnsi"/>
              </w:rPr>
              <w:t>Policy DMH3 – Dwellings in the Open Countryside &amp; the AONB</w:t>
            </w:r>
          </w:p>
          <w:p w14:paraId="25DE040B" w14:textId="77777777" w:rsidR="006A18EF" w:rsidRPr="00A44195" w:rsidRDefault="006A18EF" w:rsidP="006A18EF">
            <w:pPr>
              <w:jc w:val="both"/>
              <w:rPr>
                <w:rFonts w:asciiTheme="minorHAnsi" w:hAnsiTheme="minorHAnsi"/>
              </w:rPr>
            </w:pPr>
            <w:r w:rsidRPr="00A44195">
              <w:rPr>
                <w:rFonts w:asciiTheme="minorHAnsi" w:hAnsiTheme="minorHAnsi"/>
              </w:rPr>
              <w:t>Policy DMH4 – Conversion of Barns and Other Buildings to Dwellings</w:t>
            </w:r>
          </w:p>
          <w:p w14:paraId="514DDCE8" w14:textId="77777777" w:rsidR="006A18EF" w:rsidRPr="00A44195" w:rsidRDefault="006A18EF" w:rsidP="006A18EF">
            <w:pPr>
              <w:jc w:val="both"/>
              <w:rPr>
                <w:rFonts w:asciiTheme="minorHAnsi" w:hAnsiTheme="minorHAnsi"/>
              </w:rPr>
            </w:pPr>
            <w:r w:rsidRPr="00A44195">
              <w:rPr>
                <w:rFonts w:asciiTheme="minorHAnsi" w:hAnsiTheme="minorHAnsi"/>
              </w:rPr>
              <w:t>Policy DMH5 – Residential and Curtilage Extensions</w:t>
            </w:r>
          </w:p>
          <w:p w14:paraId="332091FD" w14:textId="77777777" w:rsidR="0077572A" w:rsidRPr="00A44195" w:rsidRDefault="0077572A" w:rsidP="00C618DB">
            <w:pPr>
              <w:pStyle w:val="PLANNING"/>
              <w:rPr>
                <w:rFonts w:ascii="Calibri" w:hAnsi="Calibri"/>
                <w:szCs w:val="22"/>
              </w:rPr>
            </w:pPr>
          </w:p>
          <w:p w14:paraId="038D6B5C" w14:textId="77777777" w:rsidR="00C618DB" w:rsidRPr="00A44195" w:rsidRDefault="00C618DB" w:rsidP="00C618DB">
            <w:pPr>
              <w:rPr>
                <w:rFonts w:ascii="Calibri" w:hAnsi="Calibri"/>
                <w:szCs w:val="22"/>
              </w:rPr>
            </w:pPr>
            <w:r w:rsidRPr="00A44195">
              <w:rPr>
                <w:rFonts w:ascii="Calibri" w:hAnsi="Calibri"/>
                <w:szCs w:val="22"/>
              </w:rPr>
              <w:t>National Planning Policy Framework (NPPF)</w:t>
            </w:r>
          </w:p>
        </w:tc>
      </w:tr>
      <w:tr w:rsidR="00167748" w:rsidRPr="006E5B16" w14:paraId="0BD7857F"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920B7E" w14:textId="398DC4BD" w:rsidR="00167748" w:rsidRDefault="00167748" w:rsidP="00167748">
            <w:pPr>
              <w:rPr>
                <w:rFonts w:asciiTheme="minorHAnsi" w:hAnsiTheme="minorHAnsi" w:cstheme="minorHAnsi"/>
                <w:b/>
                <w:bCs/>
                <w:szCs w:val="22"/>
              </w:rPr>
            </w:pPr>
            <w:r w:rsidRPr="00167748">
              <w:rPr>
                <w:rFonts w:asciiTheme="minorHAnsi" w:hAnsiTheme="minorHAnsi" w:cstheme="minorHAnsi"/>
                <w:b/>
                <w:bCs/>
                <w:szCs w:val="22"/>
              </w:rPr>
              <w:t>Relevant Planning History:</w:t>
            </w:r>
          </w:p>
          <w:p w14:paraId="0EC1526A" w14:textId="0B1CACB7" w:rsidR="00F13F84" w:rsidRPr="00F13F84" w:rsidRDefault="00F13F84" w:rsidP="00167748">
            <w:pPr>
              <w:rPr>
                <w:rFonts w:asciiTheme="minorHAnsi" w:hAnsiTheme="minorHAnsi" w:cstheme="minorHAnsi"/>
                <w:bCs/>
                <w:szCs w:val="22"/>
              </w:rPr>
            </w:pPr>
            <w:r w:rsidRPr="00F13F84">
              <w:rPr>
                <w:rFonts w:ascii="Calibri" w:hAnsi="Calibri"/>
                <w:szCs w:val="22"/>
              </w:rPr>
              <w:t>3/2021/0084 - Proposed demolition of existing garage. Alterations to change the use of the domestic store to a dwelling to include a single storey side extension and two storey rear extension. Refuse</w:t>
            </w:r>
            <w:r>
              <w:rPr>
                <w:rFonts w:ascii="Calibri" w:hAnsi="Calibri"/>
                <w:szCs w:val="22"/>
              </w:rPr>
              <w:t>d (appeal lodged).</w:t>
            </w:r>
          </w:p>
          <w:p w14:paraId="33B20DEE" w14:textId="77777777" w:rsidR="00F13F84" w:rsidRPr="00167748" w:rsidRDefault="00F13F84" w:rsidP="00167748">
            <w:pPr>
              <w:rPr>
                <w:rFonts w:asciiTheme="minorHAnsi" w:hAnsiTheme="minorHAnsi" w:cstheme="minorHAnsi"/>
                <w:b/>
                <w:bCs/>
                <w:szCs w:val="22"/>
              </w:rPr>
            </w:pPr>
          </w:p>
          <w:p w14:paraId="68CFE0C0" w14:textId="78E1E4EC" w:rsidR="00CE7985" w:rsidRDefault="00465E65" w:rsidP="00CE7985">
            <w:pPr>
              <w:pStyle w:val="Header"/>
              <w:tabs>
                <w:tab w:val="clear" w:pos="4153"/>
                <w:tab w:val="clear" w:pos="8306"/>
              </w:tabs>
              <w:contextualSpacing/>
              <w:jc w:val="both"/>
              <w:rPr>
                <w:rFonts w:asciiTheme="minorHAnsi" w:hAnsiTheme="minorHAnsi" w:cstheme="minorHAnsi"/>
                <w:szCs w:val="22"/>
              </w:rPr>
            </w:pPr>
            <w:r w:rsidRPr="00465E65">
              <w:rPr>
                <w:rFonts w:asciiTheme="minorHAnsi" w:hAnsiTheme="minorHAnsi" w:cstheme="minorHAnsi"/>
                <w:szCs w:val="22"/>
              </w:rPr>
              <w:lastRenderedPageBreak/>
              <w:t>3/2014/0642</w:t>
            </w:r>
            <w:r>
              <w:rPr>
                <w:rFonts w:asciiTheme="minorHAnsi" w:hAnsiTheme="minorHAnsi" w:cstheme="minorHAnsi"/>
                <w:szCs w:val="22"/>
              </w:rPr>
              <w:t xml:space="preserve"> - </w:t>
            </w:r>
            <w:r w:rsidRPr="00465E65">
              <w:rPr>
                <w:rFonts w:asciiTheme="minorHAnsi" w:hAnsiTheme="minorHAnsi" w:cstheme="minorHAnsi"/>
                <w:szCs w:val="22"/>
              </w:rPr>
              <w:t>Proposed single storey extensions and detached garage to existing domestic store previously approved for a change of use into a dwelling</w:t>
            </w:r>
            <w:r>
              <w:rPr>
                <w:rFonts w:asciiTheme="minorHAnsi" w:hAnsiTheme="minorHAnsi" w:cstheme="minorHAnsi"/>
                <w:szCs w:val="22"/>
              </w:rPr>
              <w:t>. Approved with Conditions.</w:t>
            </w:r>
          </w:p>
          <w:p w14:paraId="0D181BE0" w14:textId="70F20C0E" w:rsidR="00465E65" w:rsidRDefault="00465E65" w:rsidP="00CE7985">
            <w:pPr>
              <w:pStyle w:val="Header"/>
              <w:tabs>
                <w:tab w:val="clear" w:pos="4153"/>
                <w:tab w:val="clear" w:pos="8306"/>
              </w:tabs>
              <w:contextualSpacing/>
              <w:jc w:val="both"/>
              <w:rPr>
                <w:rFonts w:asciiTheme="minorHAnsi" w:hAnsiTheme="minorHAnsi" w:cstheme="minorHAnsi"/>
                <w:szCs w:val="22"/>
              </w:rPr>
            </w:pPr>
          </w:p>
          <w:p w14:paraId="10C57152" w14:textId="6BBF86FC" w:rsidR="00465E65" w:rsidRPr="00CE7985" w:rsidRDefault="00465E65" w:rsidP="00CE7985">
            <w:pPr>
              <w:pStyle w:val="Header"/>
              <w:tabs>
                <w:tab w:val="clear" w:pos="4153"/>
                <w:tab w:val="clear" w:pos="8306"/>
              </w:tabs>
              <w:contextualSpacing/>
              <w:jc w:val="both"/>
              <w:rPr>
                <w:rFonts w:asciiTheme="minorHAnsi" w:hAnsiTheme="minorHAnsi" w:cstheme="minorHAnsi"/>
                <w:szCs w:val="22"/>
              </w:rPr>
            </w:pPr>
            <w:r w:rsidRPr="00465E65">
              <w:rPr>
                <w:rFonts w:asciiTheme="minorHAnsi" w:hAnsiTheme="minorHAnsi" w:cstheme="minorHAnsi"/>
                <w:szCs w:val="22"/>
              </w:rPr>
              <w:t>3/2013/0052</w:t>
            </w:r>
            <w:r>
              <w:rPr>
                <w:rFonts w:asciiTheme="minorHAnsi" w:hAnsiTheme="minorHAnsi" w:cstheme="minorHAnsi"/>
                <w:szCs w:val="22"/>
              </w:rPr>
              <w:t xml:space="preserve"> - </w:t>
            </w:r>
            <w:r w:rsidR="007D155D" w:rsidRPr="007D155D">
              <w:rPr>
                <w:rFonts w:asciiTheme="minorHAnsi" w:hAnsiTheme="minorHAnsi" w:cstheme="minorHAnsi"/>
                <w:szCs w:val="22"/>
              </w:rPr>
              <w:t>Conversion of traditional domestic storage buildings within the curtilage of The Rann. The existing unoccupied cottage currently used as a store adjacent to the house is to be utilised as an annexe to The Rann and the second store converted into a dwelling for the applicant.</w:t>
            </w:r>
            <w:r w:rsidR="007D155D">
              <w:rPr>
                <w:rFonts w:asciiTheme="minorHAnsi" w:hAnsiTheme="minorHAnsi" w:cstheme="minorHAnsi"/>
                <w:szCs w:val="22"/>
              </w:rPr>
              <w:t xml:space="preserve"> Approved with Conditions.</w:t>
            </w:r>
          </w:p>
          <w:p w14:paraId="09EE08E2" w14:textId="77777777" w:rsidR="00167748" w:rsidRPr="00167748" w:rsidRDefault="00167748" w:rsidP="00167748">
            <w:pPr>
              <w:pStyle w:val="Header"/>
              <w:tabs>
                <w:tab w:val="clear" w:pos="4153"/>
                <w:tab w:val="clear" w:pos="8306"/>
              </w:tabs>
              <w:contextualSpacing/>
              <w:jc w:val="both"/>
              <w:rPr>
                <w:rFonts w:asciiTheme="minorHAnsi" w:hAnsiTheme="minorHAnsi" w:cstheme="minorHAnsi"/>
                <w:color w:val="FF0000"/>
                <w:szCs w:val="22"/>
              </w:rPr>
            </w:pPr>
          </w:p>
        </w:tc>
      </w:tr>
      <w:tr w:rsidR="006E5B16" w:rsidRPr="006E5B16" w14:paraId="4DED0AB1"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28FFDF" w14:textId="77777777" w:rsidR="00EC23C7" w:rsidRPr="00431FA1" w:rsidRDefault="006C2BFA" w:rsidP="006C2BFA">
            <w:pPr>
              <w:rPr>
                <w:rFonts w:ascii="Calibri" w:hAnsi="Calibri"/>
                <w:b/>
                <w:szCs w:val="22"/>
              </w:rPr>
            </w:pPr>
            <w:r w:rsidRPr="00431FA1">
              <w:rPr>
                <w:rFonts w:ascii="Calibri" w:hAnsi="Calibri"/>
                <w:b/>
                <w:bCs/>
                <w:szCs w:val="22"/>
              </w:rPr>
              <w:lastRenderedPageBreak/>
              <w:t>ASSESSMENT OF PROPOSED DEVELOPMENT:</w:t>
            </w:r>
          </w:p>
        </w:tc>
      </w:tr>
      <w:tr w:rsidR="007D155D" w:rsidRPr="007D155D" w14:paraId="6F903E3F"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C00BBC" w14:textId="47B41EAF" w:rsidR="00545652" w:rsidRPr="00F958DD" w:rsidRDefault="00545652" w:rsidP="00545652">
            <w:pPr>
              <w:pStyle w:val="Header"/>
              <w:tabs>
                <w:tab w:val="clear" w:pos="4153"/>
                <w:tab w:val="clear" w:pos="8306"/>
              </w:tabs>
              <w:contextualSpacing/>
              <w:jc w:val="both"/>
              <w:rPr>
                <w:rFonts w:ascii="Calibri" w:hAnsi="Calibri"/>
                <w:b/>
                <w:szCs w:val="22"/>
              </w:rPr>
            </w:pPr>
            <w:r w:rsidRPr="00F958DD">
              <w:rPr>
                <w:rFonts w:ascii="Calibri" w:hAnsi="Calibri"/>
                <w:b/>
                <w:szCs w:val="22"/>
              </w:rPr>
              <w:t>Site Description and Surrounding Area:</w:t>
            </w:r>
          </w:p>
          <w:p w14:paraId="7ABAE42C" w14:textId="2E4B3412" w:rsidR="007D155D" w:rsidRPr="00F958DD" w:rsidRDefault="007D155D" w:rsidP="00DD4740">
            <w:pPr>
              <w:pStyle w:val="Header"/>
              <w:tabs>
                <w:tab w:val="clear" w:pos="4153"/>
                <w:tab w:val="clear" w:pos="8306"/>
              </w:tabs>
              <w:contextualSpacing/>
              <w:jc w:val="both"/>
              <w:rPr>
                <w:rFonts w:ascii="Calibri" w:hAnsi="Calibri"/>
                <w:szCs w:val="22"/>
              </w:rPr>
            </w:pPr>
            <w:r w:rsidRPr="00F958DD">
              <w:rPr>
                <w:rFonts w:ascii="Calibri" w:hAnsi="Calibri"/>
                <w:bCs/>
                <w:szCs w:val="22"/>
              </w:rPr>
              <w:t xml:space="preserve">This application relates to the conversion of an agricultural storage building associated with The Rann, Saccary Lane, Mellor. </w:t>
            </w:r>
            <w:r w:rsidRPr="00F958DD">
              <w:rPr>
                <w:rFonts w:ascii="Calibri" w:hAnsi="Calibri"/>
                <w:szCs w:val="22"/>
              </w:rPr>
              <w:t xml:space="preserve">The dwelling and the former agricultural buildings at The Rann are situated on the north side of a private access road which runs off the western side of Saccary Lane. The site is within the open countryside and is not immediately adjoined by other properties although there are other properties in the general locality. </w:t>
            </w:r>
            <w:r w:rsidR="00DD4740" w:rsidRPr="00F958DD">
              <w:rPr>
                <w:rFonts w:ascii="Calibri" w:hAnsi="Calibri"/>
                <w:szCs w:val="22"/>
              </w:rPr>
              <w:t>A public right of way passes the site directly to the south.</w:t>
            </w:r>
          </w:p>
          <w:p w14:paraId="16196118" w14:textId="77777777" w:rsidR="00DD4740" w:rsidRPr="00F958DD" w:rsidRDefault="00DD4740" w:rsidP="00DD4740">
            <w:pPr>
              <w:pStyle w:val="Header"/>
              <w:tabs>
                <w:tab w:val="clear" w:pos="4153"/>
                <w:tab w:val="clear" w:pos="8306"/>
              </w:tabs>
              <w:contextualSpacing/>
              <w:jc w:val="both"/>
              <w:rPr>
                <w:rFonts w:ascii="Calibri" w:hAnsi="Calibri"/>
                <w:szCs w:val="22"/>
              </w:rPr>
            </w:pPr>
          </w:p>
          <w:p w14:paraId="72F2E3CF" w14:textId="05A46A5B" w:rsidR="000B358C" w:rsidRPr="00F958DD" w:rsidRDefault="007D155D" w:rsidP="007D155D">
            <w:pPr>
              <w:pStyle w:val="Header"/>
              <w:contextualSpacing/>
              <w:jc w:val="both"/>
              <w:rPr>
                <w:rFonts w:asciiTheme="minorHAnsi" w:hAnsiTheme="minorHAnsi" w:cstheme="minorHAnsi"/>
                <w:szCs w:val="22"/>
              </w:rPr>
            </w:pPr>
            <w:r w:rsidRPr="00F958DD">
              <w:rPr>
                <w:rFonts w:ascii="Calibri" w:hAnsi="Calibri"/>
                <w:szCs w:val="22"/>
              </w:rPr>
              <w:t xml:space="preserve">Consent was granted under application 3/2013/0052 for the conversion of an existing unoccupied cottage to form an annex for the main house; and for the conversion of </w:t>
            </w:r>
            <w:r w:rsidR="000B358C" w:rsidRPr="00F958DD">
              <w:rPr>
                <w:rFonts w:ascii="Calibri" w:hAnsi="Calibri"/>
                <w:szCs w:val="22"/>
              </w:rPr>
              <w:t xml:space="preserve">the </w:t>
            </w:r>
            <w:r w:rsidRPr="00F958DD">
              <w:rPr>
                <w:rFonts w:ascii="Calibri" w:hAnsi="Calibri"/>
                <w:szCs w:val="22"/>
              </w:rPr>
              <w:t xml:space="preserve">detached </w:t>
            </w:r>
            <w:r w:rsidR="000B358C" w:rsidRPr="00F958DD">
              <w:rPr>
                <w:rFonts w:ascii="Calibri" w:hAnsi="Calibri"/>
                <w:szCs w:val="22"/>
              </w:rPr>
              <w:t xml:space="preserve">stone </w:t>
            </w:r>
            <w:r w:rsidRPr="00F958DD">
              <w:rPr>
                <w:rFonts w:ascii="Calibri" w:hAnsi="Calibri"/>
                <w:szCs w:val="22"/>
              </w:rPr>
              <w:t>storage building further to the west into a dwelling</w:t>
            </w:r>
            <w:r w:rsidR="000B358C" w:rsidRPr="00F958DD">
              <w:rPr>
                <w:rFonts w:ascii="Calibri" w:hAnsi="Calibri"/>
                <w:szCs w:val="22"/>
              </w:rPr>
              <w:t xml:space="preserve">. It is unclear whether works to create the annex in an adjacent building have been completed but no works to implement conversion of the storage building to a dwelling were commenced. A further planning application, ref. </w:t>
            </w:r>
            <w:r w:rsidR="000B358C" w:rsidRPr="00F958DD">
              <w:rPr>
                <w:rFonts w:asciiTheme="minorHAnsi" w:hAnsiTheme="minorHAnsi" w:cstheme="minorHAnsi"/>
                <w:szCs w:val="22"/>
              </w:rPr>
              <w:t>3/2014/0642, was approved in 2014. Whilst the original approval did not involve any extensions or alterations, the 2014 application included a single storey extension to the rear. This approved development has not been implemented and consent has now lapsed.</w:t>
            </w:r>
          </w:p>
          <w:p w14:paraId="0F90C86E" w14:textId="4065CD3F" w:rsidR="00F958DD" w:rsidRPr="00F958DD" w:rsidRDefault="00F958DD" w:rsidP="007D155D">
            <w:pPr>
              <w:pStyle w:val="Header"/>
              <w:contextualSpacing/>
              <w:jc w:val="both"/>
              <w:rPr>
                <w:rFonts w:asciiTheme="minorHAnsi" w:hAnsiTheme="minorHAnsi" w:cstheme="minorHAnsi"/>
                <w:szCs w:val="22"/>
              </w:rPr>
            </w:pPr>
          </w:p>
          <w:p w14:paraId="1C7FC6F3" w14:textId="04E29B39" w:rsidR="00F958DD" w:rsidRPr="00F958DD" w:rsidRDefault="00F958DD" w:rsidP="007D155D">
            <w:pPr>
              <w:pStyle w:val="Header"/>
              <w:contextualSpacing/>
              <w:jc w:val="both"/>
              <w:rPr>
                <w:rFonts w:asciiTheme="minorHAnsi" w:hAnsiTheme="minorHAnsi" w:cstheme="minorHAnsi"/>
                <w:szCs w:val="22"/>
              </w:rPr>
            </w:pPr>
            <w:r w:rsidRPr="00F958DD">
              <w:rPr>
                <w:rFonts w:asciiTheme="minorHAnsi" w:hAnsiTheme="minorHAnsi" w:cstheme="minorHAnsi"/>
                <w:szCs w:val="22"/>
              </w:rPr>
              <w:t>Most recently consent was sought for residential conversion including the erection of a single-storey side and two-storey rear extension. The application was refused as it was considered that the proposed two storey extension would result in harm to the character and appearance of the host building.</w:t>
            </w:r>
          </w:p>
          <w:p w14:paraId="6DE11930" w14:textId="77777777" w:rsidR="00FC4429" w:rsidRPr="00F958DD" w:rsidRDefault="00FC4429" w:rsidP="000B358C">
            <w:pPr>
              <w:pStyle w:val="Header"/>
              <w:contextualSpacing/>
              <w:jc w:val="both"/>
              <w:rPr>
                <w:rFonts w:ascii="Calibri" w:hAnsi="Calibri"/>
                <w:szCs w:val="22"/>
              </w:rPr>
            </w:pPr>
          </w:p>
        </w:tc>
      </w:tr>
      <w:tr w:rsidR="006E5B16" w:rsidRPr="006E5B16" w14:paraId="1E75ACE3"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B0E1D0" w14:textId="77777777" w:rsidR="0045089A" w:rsidRPr="00783B92" w:rsidRDefault="0045089A" w:rsidP="00B3711B">
            <w:pPr>
              <w:pStyle w:val="Header"/>
              <w:tabs>
                <w:tab w:val="clear" w:pos="4153"/>
                <w:tab w:val="clear" w:pos="8306"/>
              </w:tabs>
              <w:jc w:val="both"/>
              <w:rPr>
                <w:rFonts w:ascii="Calibri" w:hAnsi="Calibri"/>
                <w:b/>
                <w:szCs w:val="22"/>
              </w:rPr>
            </w:pPr>
            <w:r w:rsidRPr="00783B92">
              <w:rPr>
                <w:rFonts w:ascii="Calibri" w:hAnsi="Calibri"/>
                <w:b/>
                <w:szCs w:val="22"/>
              </w:rPr>
              <w:t>Description of Proposed Development:</w:t>
            </w:r>
          </w:p>
          <w:p w14:paraId="60786A7F" w14:textId="65333CFE" w:rsidR="00F958DD" w:rsidRPr="00196581" w:rsidRDefault="000B358C" w:rsidP="00B3711B">
            <w:pPr>
              <w:pStyle w:val="Header"/>
              <w:tabs>
                <w:tab w:val="clear" w:pos="4153"/>
                <w:tab w:val="clear" w:pos="8306"/>
              </w:tabs>
              <w:jc w:val="both"/>
              <w:rPr>
                <w:rFonts w:ascii="Calibri" w:hAnsi="Calibri"/>
                <w:szCs w:val="22"/>
              </w:rPr>
            </w:pPr>
            <w:r w:rsidRPr="00783B92">
              <w:rPr>
                <w:rFonts w:ascii="Calibri" w:hAnsi="Calibri"/>
                <w:szCs w:val="22"/>
              </w:rPr>
              <w:t xml:space="preserve">This application </w:t>
            </w:r>
            <w:r w:rsidR="00F958DD" w:rsidRPr="00783B92">
              <w:rPr>
                <w:rFonts w:ascii="Calibri" w:hAnsi="Calibri"/>
                <w:szCs w:val="22"/>
              </w:rPr>
              <w:t>is a re-submission of the recently refused scheme</w:t>
            </w:r>
            <w:r w:rsidR="00783B92" w:rsidRPr="00783B92">
              <w:rPr>
                <w:rFonts w:ascii="Calibri" w:hAnsi="Calibri"/>
                <w:szCs w:val="22"/>
              </w:rPr>
              <w:t xml:space="preserve"> (application 3/2021/0084)</w:t>
            </w:r>
            <w:r w:rsidR="00F958DD" w:rsidRPr="00783B92">
              <w:rPr>
                <w:rFonts w:ascii="Calibri" w:hAnsi="Calibri"/>
                <w:szCs w:val="22"/>
              </w:rPr>
              <w:t xml:space="preserve">. The </w:t>
            </w:r>
            <w:r w:rsidR="00783B92" w:rsidRPr="00196581">
              <w:rPr>
                <w:rFonts w:ascii="Calibri" w:hAnsi="Calibri"/>
                <w:szCs w:val="22"/>
              </w:rPr>
              <w:t>proposal seeks to overcome the reason for refusal which related predominantly to the two-storey rear extension. This has now been replaced with a single-storey extension that would adjoin the original building via a glazed link.</w:t>
            </w:r>
          </w:p>
          <w:p w14:paraId="6E530476" w14:textId="77777777" w:rsidR="00F958DD" w:rsidRPr="00196581" w:rsidRDefault="00F958DD" w:rsidP="00B3711B">
            <w:pPr>
              <w:pStyle w:val="Header"/>
              <w:tabs>
                <w:tab w:val="clear" w:pos="4153"/>
                <w:tab w:val="clear" w:pos="8306"/>
              </w:tabs>
              <w:jc w:val="both"/>
              <w:rPr>
                <w:rFonts w:ascii="Calibri" w:hAnsi="Calibri"/>
                <w:szCs w:val="22"/>
              </w:rPr>
            </w:pPr>
          </w:p>
          <w:p w14:paraId="1E048FBE" w14:textId="4EDBEC8A" w:rsidR="00691029" w:rsidRPr="00196581" w:rsidRDefault="00196581" w:rsidP="00B3711B">
            <w:pPr>
              <w:pStyle w:val="Header"/>
              <w:tabs>
                <w:tab w:val="clear" w:pos="4153"/>
                <w:tab w:val="clear" w:pos="8306"/>
              </w:tabs>
              <w:jc w:val="both"/>
              <w:rPr>
                <w:rFonts w:ascii="Calibri" w:hAnsi="Calibri"/>
                <w:szCs w:val="22"/>
              </w:rPr>
            </w:pPr>
            <w:r w:rsidRPr="00196581">
              <w:rPr>
                <w:rFonts w:ascii="Calibri" w:hAnsi="Calibri"/>
                <w:szCs w:val="22"/>
              </w:rPr>
              <w:t xml:space="preserve">The proposal is to </w:t>
            </w:r>
            <w:r w:rsidR="000B358C" w:rsidRPr="00196581">
              <w:rPr>
                <w:rFonts w:ascii="Calibri" w:hAnsi="Calibri"/>
                <w:szCs w:val="22"/>
              </w:rPr>
              <w:t>create a new dwelling through conversion of the existing building</w:t>
            </w:r>
            <w:r w:rsidRPr="00196581">
              <w:rPr>
                <w:rFonts w:ascii="Calibri" w:hAnsi="Calibri"/>
                <w:szCs w:val="22"/>
              </w:rPr>
              <w:t>. An</w:t>
            </w:r>
            <w:r w:rsidR="00691029" w:rsidRPr="00196581">
              <w:rPr>
                <w:rFonts w:ascii="Calibri" w:hAnsi="Calibri"/>
                <w:szCs w:val="22"/>
              </w:rPr>
              <w:t xml:space="preserve"> existing garage building to the west would be demolished. The proposal would provide living accommodation over two floors with office, kitchen, snug and lounge at ground floor and two bedrooms</w:t>
            </w:r>
            <w:r w:rsidRPr="00196581">
              <w:rPr>
                <w:rFonts w:ascii="Calibri" w:hAnsi="Calibri"/>
                <w:szCs w:val="22"/>
              </w:rPr>
              <w:t xml:space="preserve"> and</w:t>
            </w:r>
            <w:r w:rsidR="00691029" w:rsidRPr="00196581">
              <w:rPr>
                <w:rFonts w:ascii="Calibri" w:hAnsi="Calibri"/>
                <w:szCs w:val="22"/>
              </w:rPr>
              <w:t xml:space="preserve"> bathroom at first floor.</w:t>
            </w:r>
          </w:p>
          <w:p w14:paraId="1222F364" w14:textId="61DFFCB9" w:rsidR="00691029" w:rsidRPr="00196581" w:rsidRDefault="00691029" w:rsidP="00B3711B">
            <w:pPr>
              <w:pStyle w:val="Header"/>
              <w:tabs>
                <w:tab w:val="clear" w:pos="4153"/>
                <w:tab w:val="clear" w:pos="8306"/>
              </w:tabs>
              <w:jc w:val="both"/>
              <w:rPr>
                <w:rFonts w:ascii="Calibri" w:hAnsi="Calibri"/>
                <w:szCs w:val="22"/>
              </w:rPr>
            </w:pPr>
          </w:p>
          <w:p w14:paraId="68EF244A" w14:textId="515B6207" w:rsidR="00691029" w:rsidRPr="00196581" w:rsidRDefault="00691029" w:rsidP="00B3711B">
            <w:pPr>
              <w:pStyle w:val="Header"/>
              <w:tabs>
                <w:tab w:val="clear" w:pos="4153"/>
                <w:tab w:val="clear" w:pos="8306"/>
              </w:tabs>
              <w:jc w:val="both"/>
              <w:rPr>
                <w:rFonts w:ascii="Calibri" w:hAnsi="Calibri"/>
                <w:szCs w:val="22"/>
              </w:rPr>
            </w:pPr>
            <w:r w:rsidRPr="00196581">
              <w:rPr>
                <w:rFonts w:ascii="Calibri" w:hAnsi="Calibri"/>
                <w:szCs w:val="22"/>
              </w:rPr>
              <w:t>Opening</w:t>
            </w:r>
            <w:r w:rsidR="005E2002" w:rsidRPr="00196581">
              <w:rPr>
                <w:rFonts w:ascii="Calibri" w:hAnsi="Calibri"/>
                <w:szCs w:val="22"/>
              </w:rPr>
              <w:t>s</w:t>
            </w:r>
            <w:r w:rsidRPr="00196581">
              <w:rPr>
                <w:rFonts w:ascii="Calibri" w:hAnsi="Calibri"/>
                <w:szCs w:val="22"/>
              </w:rPr>
              <w:t xml:space="preserve"> on the south and east elevations would be largely retained as existing. An extension is proposed to an existing lean-to on the west side of the building and would measure 3.4m x 3.2m. On the rear (north) elevation</w:t>
            </w:r>
            <w:r w:rsidR="00196581" w:rsidRPr="00196581">
              <w:rPr>
                <w:rFonts w:ascii="Calibri" w:hAnsi="Calibri"/>
                <w:szCs w:val="22"/>
              </w:rPr>
              <w:t xml:space="preserve"> single </w:t>
            </w:r>
            <w:r w:rsidRPr="00196581">
              <w:rPr>
                <w:rFonts w:ascii="Calibri" w:hAnsi="Calibri"/>
                <w:szCs w:val="22"/>
              </w:rPr>
              <w:t>storey extension with a projection of 4.6m is proposed. This would be constructed from stone and slate to match</w:t>
            </w:r>
            <w:r w:rsidR="00196581" w:rsidRPr="00196581">
              <w:rPr>
                <w:rFonts w:ascii="Calibri" w:hAnsi="Calibri"/>
                <w:szCs w:val="22"/>
              </w:rPr>
              <w:t xml:space="preserve"> and would adjoin the main building via a 600-700 mm glazing link.</w:t>
            </w:r>
          </w:p>
          <w:p w14:paraId="42A47EE2" w14:textId="3BA47267" w:rsidR="00691029" w:rsidRPr="00196581" w:rsidRDefault="00691029" w:rsidP="00B3711B">
            <w:pPr>
              <w:pStyle w:val="Header"/>
              <w:tabs>
                <w:tab w:val="clear" w:pos="4153"/>
                <w:tab w:val="clear" w:pos="8306"/>
              </w:tabs>
              <w:jc w:val="both"/>
              <w:rPr>
                <w:rFonts w:ascii="Calibri" w:hAnsi="Calibri"/>
                <w:szCs w:val="22"/>
              </w:rPr>
            </w:pPr>
          </w:p>
          <w:p w14:paraId="28076F58" w14:textId="79C32520" w:rsidR="009A7ED1" w:rsidRPr="00196581" w:rsidRDefault="00691029" w:rsidP="00B3711B">
            <w:pPr>
              <w:pStyle w:val="Header"/>
              <w:tabs>
                <w:tab w:val="clear" w:pos="4153"/>
                <w:tab w:val="clear" w:pos="8306"/>
              </w:tabs>
              <w:jc w:val="both"/>
              <w:rPr>
                <w:rFonts w:ascii="Calibri" w:hAnsi="Calibri"/>
                <w:szCs w:val="22"/>
              </w:rPr>
            </w:pPr>
            <w:r w:rsidRPr="00196581">
              <w:rPr>
                <w:rFonts w:ascii="Calibri" w:hAnsi="Calibri"/>
                <w:szCs w:val="22"/>
              </w:rPr>
              <w:t>The two</w:t>
            </w:r>
            <w:r w:rsidR="009A7ED1" w:rsidRPr="00196581">
              <w:rPr>
                <w:rFonts w:ascii="Calibri" w:hAnsi="Calibri"/>
                <w:szCs w:val="22"/>
              </w:rPr>
              <w:t>-</w:t>
            </w:r>
            <w:r w:rsidRPr="00196581">
              <w:rPr>
                <w:rFonts w:ascii="Calibri" w:hAnsi="Calibri"/>
                <w:szCs w:val="22"/>
              </w:rPr>
              <w:t>storey rear elevation would be heavily glazed a</w:t>
            </w:r>
            <w:r w:rsidR="009A7ED1" w:rsidRPr="00196581">
              <w:rPr>
                <w:rFonts w:ascii="Calibri" w:hAnsi="Calibri"/>
                <w:szCs w:val="22"/>
              </w:rPr>
              <w:t>t</w:t>
            </w:r>
            <w:r w:rsidRPr="00196581">
              <w:rPr>
                <w:rFonts w:ascii="Calibri" w:hAnsi="Calibri"/>
                <w:szCs w:val="22"/>
              </w:rPr>
              <w:t xml:space="preserve"> ground and first floor with a first</w:t>
            </w:r>
            <w:r w:rsidR="009A7ED1" w:rsidRPr="00196581">
              <w:rPr>
                <w:rFonts w:ascii="Calibri" w:hAnsi="Calibri"/>
                <w:szCs w:val="22"/>
              </w:rPr>
              <w:t>-</w:t>
            </w:r>
            <w:r w:rsidRPr="00196581">
              <w:rPr>
                <w:rFonts w:ascii="Calibri" w:hAnsi="Calibri"/>
                <w:szCs w:val="22"/>
              </w:rPr>
              <w:t xml:space="preserve">floor balcony. A flue and roof lights are proposed on </w:t>
            </w:r>
            <w:r w:rsidR="00196581" w:rsidRPr="00196581">
              <w:rPr>
                <w:rFonts w:ascii="Calibri" w:hAnsi="Calibri"/>
                <w:szCs w:val="22"/>
              </w:rPr>
              <w:t xml:space="preserve">the </w:t>
            </w:r>
            <w:r w:rsidR="009A7ED1" w:rsidRPr="00196581">
              <w:rPr>
                <w:rFonts w:ascii="Calibri" w:hAnsi="Calibri"/>
                <w:szCs w:val="22"/>
              </w:rPr>
              <w:t>roof slope</w:t>
            </w:r>
            <w:r w:rsidR="00196581" w:rsidRPr="00196581">
              <w:rPr>
                <w:rFonts w:ascii="Calibri" w:hAnsi="Calibri"/>
                <w:szCs w:val="22"/>
              </w:rPr>
              <w:t>s</w:t>
            </w:r>
            <w:r w:rsidR="009A7ED1" w:rsidRPr="00196581">
              <w:rPr>
                <w:rFonts w:ascii="Calibri" w:hAnsi="Calibri"/>
                <w:szCs w:val="22"/>
              </w:rPr>
              <w:t xml:space="preserve"> of the existing building. Within the red edge are also included parts of the adjacent stone building which are to be associated with the proposed new dwelling rather than The Rann.</w:t>
            </w:r>
          </w:p>
          <w:p w14:paraId="2D178E27" w14:textId="7BB52F94" w:rsidR="009A7ED1" w:rsidRPr="00196581" w:rsidRDefault="009A7ED1" w:rsidP="00B3711B">
            <w:pPr>
              <w:pStyle w:val="Header"/>
              <w:tabs>
                <w:tab w:val="clear" w:pos="4153"/>
                <w:tab w:val="clear" w:pos="8306"/>
              </w:tabs>
              <w:jc w:val="both"/>
              <w:rPr>
                <w:rFonts w:ascii="Calibri" w:hAnsi="Calibri"/>
                <w:szCs w:val="22"/>
              </w:rPr>
            </w:pPr>
          </w:p>
          <w:p w14:paraId="70EF308E" w14:textId="39CC7A77" w:rsidR="009A7ED1" w:rsidRPr="00196581" w:rsidRDefault="009A7ED1" w:rsidP="00B3711B">
            <w:pPr>
              <w:pStyle w:val="Header"/>
              <w:tabs>
                <w:tab w:val="clear" w:pos="4153"/>
                <w:tab w:val="clear" w:pos="8306"/>
              </w:tabs>
              <w:jc w:val="both"/>
              <w:rPr>
                <w:rFonts w:ascii="Calibri" w:hAnsi="Calibri"/>
                <w:szCs w:val="22"/>
              </w:rPr>
            </w:pPr>
            <w:r w:rsidRPr="00196581">
              <w:rPr>
                <w:rFonts w:ascii="Calibri" w:hAnsi="Calibri"/>
                <w:szCs w:val="22"/>
              </w:rPr>
              <w:lastRenderedPageBreak/>
              <w:t>The existing concreted area to the west of the building would be extended to provide a parking area for two vehicles. The application also includes an extensive area of residential garden to the north and west of the building.</w:t>
            </w:r>
          </w:p>
          <w:p w14:paraId="533E775A" w14:textId="799898DD" w:rsidR="00854389" w:rsidRPr="00F13F84" w:rsidRDefault="00854389" w:rsidP="00B3711B">
            <w:pPr>
              <w:pStyle w:val="Header"/>
              <w:tabs>
                <w:tab w:val="clear" w:pos="4153"/>
                <w:tab w:val="clear" w:pos="8306"/>
              </w:tabs>
              <w:jc w:val="both"/>
              <w:rPr>
                <w:rFonts w:ascii="Calibri" w:hAnsi="Calibri"/>
                <w:color w:val="FF0000"/>
                <w:szCs w:val="22"/>
              </w:rPr>
            </w:pPr>
          </w:p>
        </w:tc>
      </w:tr>
      <w:tr w:rsidR="00F13F84" w:rsidRPr="00F13F84" w14:paraId="6E25FAE8"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76373D" w14:textId="16C65EF7" w:rsidR="00EA09F9" w:rsidRPr="007A4EB4" w:rsidRDefault="00EA09F9" w:rsidP="00B3711B">
            <w:pPr>
              <w:pStyle w:val="Header"/>
              <w:tabs>
                <w:tab w:val="clear" w:pos="4153"/>
                <w:tab w:val="clear" w:pos="8306"/>
              </w:tabs>
              <w:contextualSpacing/>
              <w:jc w:val="both"/>
              <w:rPr>
                <w:rFonts w:ascii="Calibri" w:hAnsi="Calibri"/>
                <w:b/>
                <w:szCs w:val="22"/>
              </w:rPr>
            </w:pPr>
            <w:r w:rsidRPr="007A4EB4">
              <w:rPr>
                <w:rFonts w:ascii="Calibri" w:hAnsi="Calibri"/>
                <w:b/>
                <w:szCs w:val="22"/>
              </w:rPr>
              <w:lastRenderedPageBreak/>
              <w:t>Principle of Development:</w:t>
            </w:r>
          </w:p>
          <w:p w14:paraId="4A99CCA5" w14:textId="1727C566" w:rsidR="008E6A6B" w:rsidRPr="007A4EB4" w:rsidRDefault="007A4EB4" w:rsidP="008E6A6B">
            <w:pPr>
              <w:pStyle w:val="Header"/>
              <w:tabs>
                <w:tab w:val="clear" w:pos="4153"/>
                <w:tab w:val="clear" w:pos="8306"/>
              </w:tabs>
              <w:contextualSpacing/>
              <w:jc w:val="both"/>
              <w:rPr>
                <w:rFonts w:ascii="Calibri" w:hAnsi="Calibri"/>
                <w:szCs w:val="22"/>
              </w:rPr>
            </w:pPr>
            <w:r w:rsidRPr="007A4EB4">
              <w:rPr>
                <w:rFonts w:ascii="Calibri" w:hAnsi="Calibri"/>
                <w:szCs w:val="22"/>
              </w:rPr>
              <w:t xml:space="preserve">It was established during the consideration of the recently refused application that the conversion of the existing building to a residential </w:t>
            </w:r>
            <w:r w:rsidR="00304A45">
              <w:rPr>
                <w:rFonts w:ascii="Calibri" w:hAnsi="Calibri"/>
                <w:szCs w:val="22"/>
              </w:rPr>
              <w:t>dwelling</w:t>
            </w:r>
            <w:r w:rsidRPr="007A4EB4">
              <w:rPr>
                <w:rFonts w:ascii="Calibri" w:hAnsi="Calibri"/>
                <w:szCs w:val="22"/>
              </w:rPr>
              <w:t xml:space="preserve"> would be acceptable in principle. The building is located within a defined group and has a genuine history of agriculture. </w:t>
            </w:r>
            <w:r w:rsidR="008E6A6B" w:rsidRPr="007A4EB4">
              <w:rPr>
                <w:rFonts w:asciiTheme="minorHAnsi" w:hAnsiTheme="minorHAnsi" w:cstheme="minorHAnsi"/>
                <w:szCs w:val="22"/>
              </w:rPr>
              <w:t>The application is supported by a Structural Appraisal following a structural inspection of the building. This confirms the walls of the building to be relatively plumb and in reasonable condition and there is no need for any demolition or reconstruction works to the building’s external walls identified.</w:t>
            </w:r>
          </w:p>
          <w:p w14:paraId="094CB63A" w14:textId="77777777" w:rsidR="008E6A6B" w:rsidRPr="007A4EB4" w:rsidRDefault="008E6A6B" w:rsidP="008E6A6B">
            <w:pPr>
              <w:overflowPunct/>
              <w:jc w:val="both"/>
              <w:textAlignment w:val="auto"/>
              <w:rPr>
                <w:rFonts w:asciiTheme="minorHAnsi" w:hAnsiTheme="minorHAnsi"/>
                <w:szCs w:val="22"/>
                <w:lang w:eastAsia="en-GB"/>
              </w:rPr>
            </w:pPr>
          </w:p>
          <w:p w14:paraId="5EF79234" w14:textId="51FDF14F" w:rsidR="008E6A6B" w:rsidRPr="007A4EB4" w:rsidRDefault="008E6A6B" w:rsidP="008E6A6B">
            <w:pPr>
              <w:overflowPunct/>
              <w:jc w:val="both"/>
              <w:textAlignment w:val="auto"/>
              <w:rPr>
                <w:rFonts w:asciiTheme="minorHAnsi" w:hAnsiTheme="minorHAnsi"/>
                <w:szCs w:val="22"/>
                <w:lang w:eastAsia="en-GB"/>
              </w:rPr>
            </w:pPr>
            <w:r w:rsidRPr="007A4EB4">
              <w:rPr>
                <w:rFonts w:asciiTheme="minorHAnsi" w:hAnsiTheme="minorHAnsi"/>
                <w:szCs w:val="22"/>
                <w:lang w:eastAsia="en-GB"/>
              </w:rPr>
              <w:t>The building is denoted on the first edition 1:2,500 OS map dated c.1890. The building is therefore of considerable age and is deemed to contribute to the character of the area; thus it is considered to be worthy of retention.</w:t>
            </w:r>
          </w:p>
          <w:p w14:paraId="5AB0CB80" w14:textId="77777777" w:rsidR="008E6A6B" w:rsidRPr="007A4EB4" w:rsidRDefault="008E6A6B" w:rsidP="008E6A6B">
            <w:pPr>
              <w:overflowPunct/>
              <w:jc w:val="both"/>
              <w:textAlignment w:val="auto"/>
              <w:rPr>
                <w:rFonts w:asciiTheme="minorHAnsi" w:hAnsiTheme="minorHAnsi"/>
                <w:szCs w:val="22"/>
                <w:lang w:eastAsia="en-GB"/>
              </w:rPr>
            </w:pPr>
          </w:p>
          <w:p w14:paraId="0E2AE877" w14:textId="3F8999F3" w:rsidR="008E6A6B" w:rsidRPr="007A4EB4" w:rsidRDefault="008E6A6B" w:rsidP="008E6A6B">
            <w:pPr>
              <w:pStyle w:val="Header"/>
              <w:tabs>
                <w:tab w:val="clear" w:pos="4153"/>
                <w:tab w:val="clear" w:pos="8306"/>
              </w:tabs>
              <w:contextualSpacing/>
              <w:jc w:val="both"/>
              <w:rPr>
                <w:rFonts w:ascii="Calibri" w:hAnsi="Calibri"/>
                <w:b/>
                <w:szCs w:val="22"/>
              </w:rPr>
            </w:pPr>
            <w:r w:rsidRPr="007A4EB4">
              <w:rPr>
                <w:rFonts w:asciiTheme="minorHAnsi" w:hAnsiTheme="minorHAnsi"/>
                <w:szCs w:val="22"/>
                <w:lang w:eastAsia="en-GB"/>
              </w:rPr>
              <w:t xml:space="preserve">Having regard to the above, conversion of the building to a single dwellinghouse would accord with </w:t>
            </w:r>
            <w:r w:rsidR="000D0700" w:rsidRPr="007A4EB4">
              <w:rPr>
                <w:rFonts w:asciiTheme="minorHAnsi" w:hAnsiTheme="minorHAnsi"/>
                <w:szCs w:val="22"/>
                <w:lang w:eastAsia="en-GB"/>
              </w:rPr>
              <w:t xml:space="preserve">the ‘in-principle’ elements of </w:t>
            </w:r>
            <w:r w:rsidRPr="007A4EB4">
              <w:rPr>
                <w:rFonts w:asciiTheme="minorHAnsi" w:hAnsiTheme="minorHAnsi"/>
                <w:szCs w:val="22"/>
                <w:lang w:eastAsia="en-GB"/>
              </w:rPr>
              <w:t>policies DMH3 and DMH4 of the Core Strategy</w:t>
            </w:r>
            <w:r w:rsidR="000D0700" w:rsidRPr="007A4EB4">
              <w:rPr>
                <w:rFonts w:asciiTheme="minorHAnsi" w:hAnsiTheme="minorHAnsi"/>
                <w:szCs w:val="22"/>
                <w:lang w:eastAsia="en-GB"/>
              </w:rPr>
              <w:t>.</w:t>
            </w:r>
          </w:p>
          <w:p w14:paraId="3604B87A" w14:textId="2980BB2F" w:rsidR="00472F2E" w:rsidRPr="00F13F84" w:rsidRDefault="00472F2E" w:rsidP="00506C9E">
            <w:pPr>
              <w:overflowPunct/>
              <w:jc w:val="both"/>
              <w:textAlignment w:val="auto"/>
              <w:rPr>
                <w:rFonts w:asciiTheme="minorHAnsi" w:hAnsiTheme="minorHAnsi"/>
                <w:color w:val="FF0000"/>
                <w:szCs w:val="22"/>
                <w:lang w:eastAsia="en-GB"/>
              </w:rPr>
            </w:pPr>
          </w:p>
        </w:tc>
      </w:tr>
      <w:tr w:rsidR="006E5B16" w:rsidRPr="006E5B16" w14:paraId="4AB0FAD1"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78746" w14:textId="77777777" w:rsidR="00EA09F9" w:rsidRPr="00304A45" w:rsidRDefault="00EA09F9" w:rsidP="00B3711B">
            <w:pPr>
              <w:pStyle w:val="Header"/>
              <w:tabs>
                <w:tab w:val="clear" w:pos="4153"/>
                <w:tab w:val="clear" w:pos="8306"/>
              </w:tabs>
              <w:contextualSpacing/>
              <w:jc w:val="both"/>
              <w:rPr>
                <w:rFonts w:asciiTheme="minorHAnsi" w:hAnsiTheme="minorHAnsi" w:cstheme="minorHAnsi"/>
                <w:b/>
                <w:szCs w:val="22"/>
              </w:rPr>
            </w:pPr>
            <w:r w:rsidRPr="00304A45">
              <w:rPr>
                <w:rFonts w:asciiTheme="minorHAnsi" w:hAnsiTheme="minorHAnsi" w:cstheme="minorHAnsi"/>
                <w:b/>
                <w:szCs w:val="22"/>
              </w:rPr>
              <w:t>Impact Upon Residential Amenity:</w:t>
            </w:r>
          </w:p>
          <w:p w14:paraId="0ADABFE6" w14:textId="3F48A22B" w:rsidR="008B7EA4" w:rsidRPr="00304A45" w:rsidRDefault="008B7EA4" w:rsidP="00B22F2D">
            <w:pPr>
              <w:overflowPunct/>
              <w:jc w:val="both"/>
              <w:textAlignment w:val="auto"/>
              <w:rPr>
                <w:rFonts w:asciiTheme="minorHAnsi" w:eastAsiaTheme="minorHAnsi" w:hAnsiTheme="minorHAnsi" w:cstheme="minorHAnsi"/>
                <w:iCs/>
                <w:szCs w:val="22"/>
              </w:rPr>
            </w:pPr>
            <w:r w:rsidRPr="00304A45">
              <w:rPr>
                <w:rFonts w:asciiTheme="minorHAnsi" w:eastAsiaTheme="minorHAnsi" w:hAnsiTheme="minorHAnsi" w:cstheme="minorHAnsi"/>
                <w:iCs/>
                <w:szCs w:val="22"/>
              </w:rPr>
              <w:t xml:space="preserve">The </w:t>
            </w:r>
            <w:r w:rsidR="00B22F2D" w:rsidRPr="00304A45">
              <w:rPr>
                <w:rFonts w:asciiTheme="minorHAnsi" w:eastAsiaTheme="minorHAnsi" w:hAnsiTheme="minorHAnsi" w:cstheme="minorHAnsi"/>
                <w:iCs/>
                <w:szCs w:val="22"/>
              </w:rPr>
              <w:t xml:space="preserve">proposed dwelling would </w:t>
            </w:r>
            <w:r w:rsidRPr="00304A45">
              <w:rPr>
                <w:rFonts w:asciiTheme="minorHAnsi" w:eastAsiaTheme="minorHAnsi" w:hAnsiTheme="minorHAnsi" w:cstheme="minorHAnsi"/>
                <w:iCs/>
                <w:szCs w:val="22"/>
              </w:rPr>
              <w:t>be in close proximity to storage buildings associated with The Rann and which appear still to be in some low-key agricultural use</w:t>
            </w:r>
            <w:r w:rsidR="00B22F2D" w:rsidRPr="00304A45">
              <w:rPr>
                <w:rFonts w:asciiTheme="minorHAnsi" w:eastAsiaTheme="minorHAnsi" w:hAnsiTheme="minorHAnsi" w:cstheme="minorHAnsi"/>
                <w:iCs/>
                <w:szCs w:val="22"/>
              </w:rPr>
              <w:t xml:space="preserve">. </w:t>
            </w:r>
            <w:r w:rsidRPr="00304A45">
              <w:rPr>
                <w:rFonts w:asciiTheme="minorHAnsi" w:eastAsiaTheme="minorHAnsi" w:hAnsiTheme="minorHAnsi" w:cstheme="minorHAnsi"/>
                <w:iCs/>
                <w:szCs w:val="22"/>
              </w:rPr>
              <w:t xml:space="preserve">However, the proposal is for these buildings to be in common ownership with the proposed new dwelling for residential storage purposes. </w:t>
            </w:r>
          </w:p>
          <w:p w14:paraId="02F0A817" w14:textId="77BD0F25" w:rsidR="008B7EA4" w:rsidRPr="00304A45" w:rsidRDefault="008B7EA4" w:rsidP="00B22F2D">
            <w:pPr>
              <w:overflowPunct/>
              <w:jc w:val="both"/>
              <w:textAlignment w:val="auto"/>
              <w:rPr>
                <w:rFonts w:asciiTheme="minorHAnsi" w:eastAsiaTheme="minorHAnsi" w:hAnsiTheme="minorHAnsi" w:cstheme="minorHAnsi"/>
                <w:iCs/>
                <w:szCs w:val="22"/>
              </w:rPr>
            </w:pPr>
          </w:p>
          <w:p w14:paraId="38C75F82" w14:textId="77777777" w:rsidR="00411F12" w:rsidRPr="00304A45" w:rsidRDefault="00B33E8B" w:rsidP="00B33E8B">
            <w:pPr>
              <w:overflowPunct/>
              <w:jc w:val="both"/>
              <w:textAlignment w:val="auto"/>
              <w:rPr>
                <w:rFonts w:asciiTheme="minorHAnsi" w:hAnsiTheme="minorHAnsi" w:cstheme="minorHAnsi"/>
                <w:szCs w:val="22"/>
              </w:rPr>
            </w:pPr>
            <w:r w:rsidRPr="00304A45">
              <w:rPr>
                <w:rFonts w:asciiTheme="minorHAnsi" w:eastAsiaTheme="minorHAnsi" w:hAnsiTheme="minorHAnsi" w:cstheme="minorHAnsi"/>
                <w:iCs/>
                <w:szCs w:val="22"/>
              </w:rPr>
              <w:t>It would seem that the agricultural use of the site would cease, with all of the remaining buildings in residential use. There would be no loss of light, outlook or privacy arising from the proposals.</w:t>
            </w:r>
            <w:r w:rsidRPr="00304A45">
              <w:rPr>
                <w:rFonts w:asciiTheme="minorHAnsi" w:hAnsiTheme="minorHAnsi" w:cstheme="minorHAnsi"/>
                <w:szCs w:val="22"/>
              </w:rPr>
              <w:t xml:space="preserve"> </w:t>
            </w:r>
          </w:p>
          <w:p w14:paraId="79519AEA" w14:textId="275D13A5" w:rsidR="00B33E8B" w:rsidRPr="00F13F84" w:rsidRDefault="00B33E8B" w:rsidP="00B33E8B">
            <w:pPr>
              <w:overflowPunct/>
              <w:jc w:val="both"/>
              <w:textAlignment w:val="auto"/>
              <w:rPr>
                <w:rFonts w:asciiTheme="minorHAnsi" w:hAnsiTheme="minorHAnsi" w:cstheme="minorHAnsi"/>
                <w:color w:val="FF0000"/>
                <w:szCs w:val="22"/>
              </w:rPr>
            </w:pPr>
          </w:p>
        </w:tc>
      </w:tr>
      <w:tr w:rsidR="006E5B16" w:rsidRPr="006E5B16" w14:paraId="77254215"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38AC27" w14:textId="60E9997D" w:rsidR="00E7379C" w:rsidRPr="00EF751E" w:rsidRDefault="00EA09F9" w:rsidP="00B33E8B">
            <w:pPr>
              <w:pStyle w:val="Header"/>
              <w:tabs>
                <w:tab w:val="clear" w:pos="4153"/>
                <w:tab w:val="clear" w:pos="8306"/>
              </w:tabs>
              <w:contextualSpacing/>
              <w:jc w:val="both"/>
              <w:rPr>
                <w:rFonts w:ascii="Calibri" w:hAnsi="Calibri"/>
                <w:b/>
                <w:szCs w:val="22"/>
              </w:rPr>
            </w:pPr>
            <w:r w:rsidRPr="00EF751E">
              <w:rPr>
                <w:rFonts w:ascii="Calibri" w:hAnsi="Calibri"/>
                <w:b/>
                <w:szCs w:val="22"/>
              </w:rPr>
              <w:t>Visual Amenity/External Appearance:</w:t>
            </w:r>
          </w:p>
          <w:p w14:paraId="2141AD60" w14:textId="0B237359" w:rsidR="00304A45" w:rsidRPr="00EF751E" w:rsidRDefault="00E7379C" w:rsidP="00B33E8B">
            <w:pPr>
              <w:pStyle w:val="Header"/>
              <w:contextualSpacing/>
              <w:jc w:val="both"/>
              <w:rPr>
                <w:rFonts w:asciiTheme="minorHAnsi" w:hAnsiTheme="minorHAnsi" w:cstheme="minorHAnsi"/>
                <w:szCs w:val="22"/>
              </w:rPr>
            </w:pPr>
            <w:r w:rsidRPr="00EF751E">
              <w:rPr>
                <w:rFonts w:ascii="Calibri" w:hAnsi="Calibri"/>
                <w:szCs w:val="22"/>
              </w:rPr>
              <w:t>As approve</w:t>
            </w:r>
            <w:r w:rsidR="00411F12" w:rsidRPr="00EF751E">
              <w:rPr>
                <w:rFonts w:ascii="Calibri" w:hAnsi="Calibri"/>
                <w:szCs w:val="22"/>
              </w:rPr>
              <w:t>d under planning application</w:t>
            </w:r>
            <w:r w:rsidR="00B33E8B" w:rsidRPr="00EF751E">
              <w:rPr>
                <w:rFonts w:ascii="Calibri" w:hAnsi="Calibri"/>
                <w:szCs w:val="22"/>
              </w:rPr>
              <w:t xml:space="preserve"> 3/2013/0052</w:t>
            </w:r>
            <w:r w:rsidRPr="00EF751E">
              <w:rPr>
                <w:rFonts w:ascii="Calibri" w:hAnsi="Calibri"/>
                <w:szCs w:val="22"/>
              </w:rPr>
              <w:t xml:space="preserve">, the conversion of </w:t>
            </w:r>
            <w:r w:rsidR="00B33E8B" w:rsidRPr="00EF751E">
              <w:rPr>
                <w:rFonts w:ascii="Calibri" w:hAnsi="Calibri"/>
                <w:szCs w:val="22"/>
              </w:rPr>
              <w:t xml:space="preserve">the </w:t>
            </w:r>
            <w:r w:rsidRPr="00EF751E">
              <w:rPr>
                <w:rFonts w:ascii="Calibri" w:hAnsi="Calibri"/>
                <w:szCs w:val="22"/>
              </w:rPr>
              <w:t xml:space="preserve">building did not involve </w:t>
            </w:r>
            <w:r w:rsidRPr="00EF751E">
              <w:rPr>
                <w:rFonts w:asciiTheme="minorHAnsi" w:hAnsiTheme="minorHAnsi" w:cstheme="minorHAnsi"/>
                <w:szCs w:val="22"/>
              </w:rPr>
              <w:t>any extensions</w:t>
            </w:r>
            <w:r w:rsidR="00304A45" w:rsidRPr="00EF751E">
              <w:rPr>
                <w:rFonts w:asciiTheme="minorHAnsi" w:hAnsiTheme="minorHAnsi" w:cstheme="minorHAnsi"/>
                <w:szCs w:val="22"/>
              </w:rPr>
              <w:t>.</w:t>
            </w:r>
            <w:r w:rsidRPr="00EF751E">
              <w:rPr>
                <w:rFonts w:asciiTheme="minorHAnsi" w:hAnsiTheme="minorHAnsi" w:cstheme="minorHAnsi"/>
                <w:szCs w:val="22"/>
              </w:rPr>
              <w:t xml:space="preserve"> The external alterations to the building included the formation of a new door and window opening which were of a proportion and size to replicate existing openings and copy their patterns. Conservation roof lights were also to be added. </w:t>
            </w:r>
          </w:p>
          <w:p w14:paraId="25DB1D3B" w14:textId="77777777" w:rsidR="00304A45" w:rsidRPr="00EF751E" w:rsidRDefault="00304A45" w:rsidP="00B33E8B">
            <w:pPr>
              <w:pStyle w:val="Header"/>
              <w:contextualSpacing/>
              <w:jc w:val="both"/>
              <w:rPr>
                <w:rFonts w:asciiTheme="minorHAnsi" w:hAnsiTheme="minorHAnsi" w:cstheme="minorHAnsi"/>
                <w:szCs w:val="22"/>
              </w:rPr>
            </w:pPr>
          </w:p>
          <w:p w14:paraId="2F8AB29B" w14:textId="6FA4F1BF" w:rsidR="00E7379C" w:rsidRPr="00EF751E" w:rsidRDefault="00B33E8B" w:rsidP="00B33E8B">
            <w:pPr>
              <w:pStyle w:val="Header"/>
              <w:contextualSpacing/>
              <w:jc w:val="both"/>
              <w:rPr>
                <w:rFonts w:asciiTheme="minorHAnsi" w:hAnsiTheme="minorHAnsi" w:cstheme="minorHAnsi"/>
                <w:szCs w:val="22"/>
              </w:rPr>
            </w:pPr>
            <w:r w:rsidRPr="00EF751E">
              <w:rPr>
                <w:rFonts w:asciiTheme="minorHAnsi" w:hAnsiTheme="minorHAnsi" w:cstheme="minorHAnsi"/>
                <w:szCs w:val="22"/>
              </w:rPr>
              <w:t xml:space="preserve">The 2014 planning application proposed a </w:t>
            </w:r>
            <w:r w:rsidR="00E7379C" w:rsidRPr="00EF751E">
              <w:rPr>
                <w:rFonts w:asciiTheme="minorHAnsi" w:hAnsiTheme="minorHAnsi" w:cstheme="minorHAnsi"/>
                <w:szCs w:val="22"/>
              </w:rPr>
              <w:t xml:space="preserve">single storey extension to the rear of the existing </w:t>
            </w:r>
            <w:r w:rsidRPr="00EF751E">
              <w:rPr>
                <w:rFonts w:asciiTheme="minorHAnsi" w:hAnsiTheme="minorHAnsi" w:cstheme="minorHAnsi"/>
                <w:szCs w:val="22"/>
              </w:rPr>
              <w:t xml:space="preserve">lean-to </w:t>
            </w:r>
            <w:r w:rsidR="00E7379C" w:rsidRPr="00EF751E">
              <w:rPr>
                <w:rFonts w:asciiTheme="minorHAnsi" w:hAnsiTheme="minorHAnsi" w:cstheme="minorHAnsi"/>
                <w:szCs w:val="22"/>
              </w:rPr>
              <w:t>so that the single storey section of the building would occupy the whole length of the western side elevation beneath a catslide roof</w:t>
            </w:r>
            <w:r w:rsidR="00435395" w:rsidRPr="00EF751E">
              <w:rPr>
                <w:rFonts w:asciiTheme="minorHAnsi" w:hAnsiTheme="minorHAnsi" w:cstheme="minorHAnsi"/>
                <w:szCs w:val="22"/>
              </w:rPr>
              <w:t>. A single-storey extension</w:t>
            </w:r>
            <w:r w:rsidRPr="00EF751E">
              <w:rPr>
                <w:rFonts w:asciiTheme="minorHAnsi" w:hAnsiTheme="minorHAnsi" w:cstheme="minorHAnsi"/>
                <w:szCs w:val="22"/>
              </w:rPr>
              <w:t xml:space="preserve"> was also proposed on the </w:t>
            </w:r>
            <w:r w:rsidR="00E7379C" w:rsidRPr="00EF751E">
              <w:rPr>
                <w:rFonts w:asciiTheme="minorHAnsi" w:hAnsiTheme="minorHAnsi" w:cstheme="minorHAnsi"/>
                <w:szCs w:val="22"/>
              </w:rPr>
              <w:t xml:space="preserve">northern elevation with an eaves height of 2.7m and a ridge height of 3.8m. </w:t>
            </w:r>
          </w:p>
          <w:p w14:paraId="410CCCA3" w14:textId="61FD2930" w:rsidR="00435395" w:rsidRPr="00EF751E" w:rsidRDefault="00435395" w:rsidP="00E7379C">
            <w:pPr>
              <w:pStyle w:val="Header"/>
              <w:contextualSpacing/>
              <w:jc w:val="both"/>
              <w:rPr>
                <w:rFonts w:asciiTheme="minorHAnsi" w:hAnsiTheme="minorHAnsi" w:cstheme="minorHAnsi"/>
                <w:szCs w:val="22"/>
              </w:rPr>
            </w:pPr>
          </w:p>
          <w:p w14:paraId="61CB385C" w14:textId="119C4A2B" w:rsidR="00BA43DD" w:rsidRPr="00BA43DD" w:rsidRDefault="00304A45" w:rsidP="00E7379C">
            <w:pPr>
              <w:pStyle w:val="Header"/>
              <w:contextualSpacing/>
              <w:jc w:val="both"/>
              <w:rPr>
                <w:rFonts w:asciiTheme="minorHAnsi" w:hAnsiTheme="minorHAnsi" w:cstheme="minorHAnsi"/>
                <w:szCs w:val="22"/>
              </w:rPr>
            </w:pPr>
            <w:r w:rsidRPr="00EF751E">
              <w:rPr>
                <w:rFonts w:asciiTheme="minorHAnsi" w:hAnsiTheme="minorHAnsi" w:cstheme="minorHAnsi"/>
                <w:szCs w:val="22"/>
              </w:rPr>
              <w:t xml:space="preserve">This application is </w:t>
            </w:r>
            <w:r w:rsidR="00EE1A0C" w:rsidRPr="00EF751E">
              <w:rPr>
                <w:rFonts w:asciiTheme="minorHAnsi" w:hAnsiTheme="minorHAnsi" w:cstheme="minorHAnsi"/>
                <w:szCs w:val="22"/>
              </w:rPr>
              <w:t xml:space="preserve">fundamentally the same the scheme granted in 2014. Whilst that consent has now lapsed, the approval of the previous scheme remains a material consideration. The single storey extension proposed to the rear of the building would </w:t>
            </w:r>
            <w:r w:rsidR="00BA43DD">
              <w:rPr>
                <w:rFonts w:asciiTheme="minorHAnsi" w:hAnsiTheme="minorHAnsi" w:cstheme="minorHAnsi"/>
                <w:szCs w:val="22"/>
              </w:rPr>
              <w:t xml:space="preserve">be </w:t>
            </w:r>
            <w:r w:rsidR="00EF751E" w:rsidRPr="00EF751E">
              <w:rPr>
                <w:rFonts w:asciiTheme="minorHAnsi" w:hAnsiTheme="minorHAnsi" w:cstheme="minorHAnsi"/>
                <w:szCs w:val="22"/>
              </w:rPr>
              <w:t xml:space="preserve">set down and would </w:t>
            </w:r>
            <w:r w:rsidR="00EE1A0C" w:rsidRPr="00EF751E">
              <w:rPr>
                <w:rFonts w:asciiTheme="minorHAnsi" w:hAnsiTheme="minorHAnsi" w:cstheme="minorHAnsi"/>
                <w:szCs w:val="22"/>
              </w:rPr>
              <w:t xml:space="preserve">be visually separated from the original building by </w:t>
            </w:r>
            <w:r w:rsidR="00EF751E" w:rsidRPr="00EF751E">
              <w:rPr>
                <w:rFonts w:asciiTheme="minorHAnsi" w:hAnsiTheme="minorHAnsi" w:cstheme="minorHAnsi"/>
              </w:rPr>
              <w:t xml:space="preserve">inset glazed panels at the ‘join’ between the existing building and the extension. </w:t>
            </w:r>
            <w:r w:rsidR="00EE1A0C" w:rsidRPr="00BA43DD">
              <w:rPr>
                <w:rFonts w:asciiTheme="minorHAnsi" w:hAnsiTheme="minorHAnsi" w:cstheme="minorHAnsi"/>
                <w:szCs w:val="22"/>
              </w:rPr>
              <w:t xml:space="preserve">Whilst the rear elevation of the proposed extension would be predominantly glazing and would not respect the </w:t>
            </w:r>
            <w:r w:rsidR="00EF751E" w:rsidRPr="00BA43DD">
              <w:rPr>
                <w:rFonts w:asciiTheme="minorHAnsi" w:hAnsiTheme="minorHAnsi" w:cstheme="minorHAnsi"/>
                <w:szCs w:val="22"/>
              </w:rPr>
              <w:t>solid-to-void ratio of the main building, the extension is single storey and there is a distinct break between the old and new.</w:t>
            </w:r>
            <w:r w:rsidR="00BA43DD" w:rsidRPr="00BA43DD">
              <w:rPr>
                <w:rFonts w:asciiTheme="minorHAnsi" w:hAnsiTheme="minorHAnsi" w:cstheme="minorHAnsi"/>
                <w:szCs w:val="22"/>
              </w:rPr>
              <w:t xml:space="preserve"> Further details of the glazed elements on the rear elevation of the single storey extension would be required to ensure that the glazing is set back sufficiently beneath the gable overhang and stone work.</w:t>
            </w:r>
          </w:p>
          <w:p w14:paraId="21E5E572" w14:textId="0BA00D26" w:rsidR="00D01A0B" w:rsidRPr="00BA43DD" w:rsidRDefault="00D01A0B" w:rsidP="00E7379C">
            <w:pPr>
              <w:pStyle w:val="Header"/>
              <w:contextualSpacing/>
              <w:jc w:val="both"/>
              <w:rPr>
                <w:rFonts w:ascii="Calibri" w:hAnsi="Calibri"/>
                <w:szCs w:val="22"/>
              </w:rPr>
            </w:pPr>
          </w:p>
          <w:p w14:paraId="37E058F7" w14:textId="6CF08767" w:rsidR="00BA43DD" w:rsidRPr="00BA43DD" w:rsidRDefault="00D01A0B" w:rsidP="00E7379C">
            <w:pPr>
              <w:pStyle w:val="Header"/>
              <w:contextualSpacing/>
              <w:jc w:val="both"/>
              <w:rPr>
                <w:rFonts w:ascii="Calibri" w:hAnsi="Calibri"/>
                <w:szCs w:val="22"/>
              </w:rPr>
            </w:pPr>
            <w:r w:rsidRPr="00BA43DD">
              <w:rPr>
                <w:rFonts w:ascii="Calibri" w:hAnsi="Calibri"/>
                <w:szCs w:val="22"/>
              </w:rPr>
              <w:t>Further to the above, the area outlined in red</w:t>
            </w:r>
            <w:r w:rsidR="00BA43DD" w:rsidRPr="00BA43DD">
              <w:rPr>
                <w:rFonts w:ascii="Calibri" w:hAnsi="Calibri"/>
                <w:szCs w:val="22"/>
              </w:rPr>
              <w:t xml:space="preserve"> on the location and site plans have been reduced and accord with the details granted in 2014.</w:t>
            </w:r>
          </w:p>
          <w:p w14:paraId="132B1730" w14:textId="03BBF454" w:rsidR="00B3711B" w:rsidRPr="00F13F84" w:rsidRDefault="00B3711B" w:rsidP="00BA43DD">
            <w:pPr>
              <w:pStyle w:val="Header"/>
              <w:contextualSpacing/>
              <w:jc w:val="both"/>
              <w:rPr>
                <w:rFonts w:asciiTheme="minorHAnsi" w:hAnsiTheme="minorHAnsi"/>
                <w:color w:val="FF0000"/>
                <w:szCs w:val="22"/>
              </w:rPr>
            </w:pPr>
          </w:p>
        </w:tc>
      </w:tr>
      <w:tr w:rsidR="006E5B16" w:rsidRPr="006E5B16" w14:paraId="05FC4706"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6521ED" w14:textId="77777777" w:rsidR="007E0D23" w:rsidRPr="00BA43DD" w:rsidRDefault="009132FC" w:rsidP="00012078">
            <w:pPr>
              <w:contextualSpacing/>
              <w:jc w:val="both"/>
              <w:rPr>
                <w:rFonts w:asciiTheme="minorHAnsi" w:hAnsiTheme="minorHAnsi" w:cstheme="minorHAnsi"/>
                <w:b/>
                <w:bCs/>
                <w:szCs w:val="22"/>
              </w:rPr>
            </w:pPr>
            <w:r w:rsidRPr="00BA43DD">
              <w:rPr>
                <w:rFonts w:asciiTheme="minorHAnsi" w:hAnsiTheme="minorHAnsi" w:cstheme="minorHAnsi"/>
                <w:b/>
                <w:bCs/>
                <w:szCs w:val="22"/>
              </w:rPr>
              <w:t>Highways</w:t>
            </w:r>
            <w:r w:rsidR="000436C1" w:rsidRPr="00BA43DD">
              <w:rPr>
                <w:rFonts w:asciiTheme="minorHAnsi" w:hAnsiTheme="minorHAnsi" w:cstheme="minorHAnsi"/>
                <w:b/>
                <w:bCs/>
                <w:szCs w:val="22"/>
              </w:rPr>
              <w:t>:</w:t>
            </w:r>
          </w:p>
          <w:p w14:paraId="6E773082" w14:textId="7D37107A" w:rsidR="005C76EE" w:rsidRPr="00BA43DD" w:rsidRDefault="003303A5" w:rsidP="00FC2F7A">
            <w:pPr>
              <w:contextualSpacing/>
              <w:jc w:val="both"/>
              <w:rPr>
                <w:rFonts w:asciiTheme="minorHAnsi" w:hAnsiTheme="minorHAnsi" w:cstheme="minorHAnsi"/>
                <w:bCs/>
                <w:szCs w:val="22"/>
              </w:rPr>
            </w:pPr>
            <w:r w:rsidRPr="00BA43DD">
              <w:rPr>
                <w:rFonts w:asciiTheme="minorHAnsi" w:hAnsiTheme="minorHAnsi" w:cstheme="minorHAnsi"/>
                <w:bCs/>
                <w:szCs w:val="22"/>
              </w:rPr>
              <w:lastRenderedPageBreak/>
              <w:t xml:space="preserve">The County Surveyor has raised </w:t>
            </w:r>
            <w:r w:rsidR="00FC2F7A" w:rsidRPr="00BA43DD">
              <w:rPr>
                <w:rFonts w:asciiTheme="minorHAnsi" w:hAnsiTheme="minorHAnsi" w:cstheme="minorHAnsi"/>
                <w:bCs/>
                <w:szCs w:val="22"/>
              </w:rPr>
              <w:t>no concerns. The hardstanding area to the west of the building would be extended to accommodate two vehicles.</w:t>
            </w:r>
          </w:p>
          <w:p w14:paraId="73365232" w14:textId="22388C9D" w:rsidR="00FC2F7A" w:rsidRPr="00BA43DD" w:rsidRDefault="00FC2F7A" w:rsidP="00FC2F7A">
            <w:pPr>
              <w:contextualSpacing/>
              <w:jc w:val="both"/>
              <w:rPr>
                <w:rFonts w:asciiTheme="minorHAnsi" w:hAnsiTheme="minorHAnsi" w:cstheme="minorHAnsi"/>
              </w:rPr>
            </w:pPr>
          </w:p>
        </w:tc>
      </w:tr>
      <w:tr w:rsidR="006E5B16" w:rsidRPr="006E5B16" w14:paraId="4D06DBAD"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3D5239" w14:textId="231539BA" w:rsidR="007D5B76" w:rsidRPr="00BA43DD" w:rsidRDefault="005C76EE" w:rsidP="00186F9D">
            <w:pPr>
              <w:pStyle w:val="Header"/>
              <w:tabs>
                <w:tab w:val="clear" w:pos="4153"/>
                <w:tab w:val="clear" w:pos="8306"/>
              </w:tabs>
              <w:contextualSpacing/>
              <w:jc w:val="both"/>
              <w:rPr>
                <w:rFonts w:asciiTheme="minorHAnsi" w:hAnsiTheme="minorHAnsi" w:cstheme="minorHAnsi"/>
                <w:b/>
                <w:szCs w:val="22"/>
              </w:rPr>
            </w:pPr>
            <w:r w:rsidRPr="00BA43DD">
              <w:rPr>
                <w:rFonts w:asciiTheme="minorHAnsi" w:hAnsiTheme="minorHAnsi" w:cstheme="minorHAnsi"/>
                <w:b/>
                <w:szCs w:val="22"/>
              </w:rPr>
              <w:lastRenderedPageBreak/>
              <w:t>Ecology:</w:t>
            </w:r>
          </w:p>
          <w:p w14:paraId="76A6F327" w14:textId="77777777" w:rsidR="006E3BD7" w:rsidRPr="00BA43DD" w:rsidRDefault="005C76EE" w:rsidP="00186F9D">
            <w:pPr>
              <w:jc w:val="both"/>
              <w:rPr>
                <w:rFonts w:asciiTheme="minorHAnsi" w:hAnsiTheme="minorHAnsi" w:cstheme="minorHAnsi"/>
                <w:szCs w:val="22"/>
                <w:lang w:eastAsia="en-GB"/>
              </w:rPr>
            </w:pPr>
            <w:r w:rsidRPr="00BA43DD">
              <w:rPr>
                <w:rFonts w:asciiTheme="minorHAnsi" w:hAnsiTheme="minorHAnsi" w:cstheme="minorHAnsi"/>
                <w:szCs w:val="22"/>
              </w:rPr>
              <w:t xml:space="preserve">The application is accompanied by </w:t>
            </w:r>
            <w:r w:rsidR="00603CA3" w:rsidRPr="00BA43DD">
              <w:rPr>
                <w:rFonts w:asciiTheme="minorHAnsi" w:hAnsiTheme="minorHAnsi" w:cstheme="minorHAnsi"/>
                <w:szCs w:val="22"/>
              </w:rPr>
              <w:t xml:space="preserve">bat/barn owl survey which found no </w:t>
            </w:r>
            <w:r w:rsidR="00A17E5A" w:rsidRPr="00BA43DD">
              <w:rPr>
                <w:rFonts w:asciiTheme="minorHAnsi" w:hAnsiTheme="minorHAnsi" w:cstheme="minorHAnsi"/>
                <w:szCs w:val="22"/>
              </w:rPr>
              <w:t>evidence</w:t>
            </w:r>
            <w:r w:rsidR="00603CA3" w:rsidRPr="00BA43DD">
              <w:rPr>
                <w:rFonts w:asciiTheme="minorHAnsi" w:hAnsiTheme="minorHAnsi" w:cstheme="minorHAnsi"/>
                <w:szCs w:val="22"/>
              </w:rPr>
              <w:t xml:space="preserve"> of </w:t>
            </w:r>
            <w:r w:rsidR="00186F9D" w:rsidRPr="00BA43DD">
              <w:rPr>
                <w:rFonts w:asciiTheme="minorHAnsi" w:hAnsiTheme="minorHAnsi" w:cstheme="minorHAnsi"/>
                <w:szCs w:val="22"/>
              </w:rPr>
              <w:t xml:space="preserve">bats </w:t>
            </w:r>
            <w:r w:rsidR="00603CA3" w:rsidRPr="00BA43DD">
              <w:rPr>
                <w:rFonts w:asciiTheme="minorHAnsi" w:hAnsiTheme="minorHAnsi" w:cstheme="minorHAnsi"/>
                <w:szCs w:val="22"/>
              </w:rPr>
              <w:t>within the building</w:t>
            </w:r>
            <w:r w:rsidR="00A17E5A" w:rsidRPr="00BA43DD">
              <w:rPr>
                <w:rFonts w:asciiTheme="minorHAnsi" w:hAnsiTheme="minorHAnsi" w:cstheme="minorHAnsi"/>
                <w:szCs w:val="22"/>
              </w:rPr>
              <w:t>, with roost</w:t>
            </w:r>
            <w:r w:rsidR="006E3BD7" w:rsidRPr="00BA43DD">
              <w:rPr>
                <w:rFonts w:asciiTheme="minorHAnsi" w:hAnsiTheme="minorHAnsi" w:cstheme="minorHAnsi"/>
                <w:szCs w:val="22"/>
              </w:rPr>
              <w:t>ing</w:t>
            </w:r>
            <w:r w:rsidR="00A17E5A" w:rsidRPr="00BA43DD">
              <w:rPr>
                <w:rFonts w:asciiTheme="minorHAnsi" w:hAnsiTheme="minorHAnsi" w:cstheme="minorHAnsi"/>
                <w:szCs w:val="22"/>
              </w:rPr>
              <w:t xml:space="preserve"> potential considered to be </w:t>
            </w:r>
            <w:r w:rsidR="006E3BD7" w:rsidRPr="00BA43DD">
              <w:rPr>
                <w:rFonts w:asciiTheme="minorHAnsi" w:hAnsiTheme="minorHAnsi" w:cstheme="minorHAnsi"/>
                <w:szCs w:val="22"/>
              </w:rPr>
              <w:t>negligible</w:t>
            </w:r>
            <w:r w:rsidR="00603CA3" w:rsidRPr="00BA43DD">
              <w:rPr>
                <w:rFonts w:asciiTheme="minorHAnsi" w:hAnsiTheme="minorHAnsi" w:cstheme="minorHAnsi"/>
                <w:szCs w:val="22"/>
              </w:rPr>
              <w:t xml:space="preserve">. </w:t>
            </w:r>
            <w:r w:rsidR="00186F9D" w:rsidRPr="00BA43DD">
              <w:rPr>
                <w:rFonts w:asciiTheme="minorHAnsi" w:hAnsiTheme="minorHAnsi" w:cstheme="minorHAnsi"/>
                <w:szCs w:val="22"/>
              </w:rPr>
              <w:t xml:space="preserve">As such </w:t>
            </w:r>
            <w:r w:rsidR="00186F9D" w:rsidRPr="00BA43DD">
              <w:rPr>
                <w:rFonts w:asciiTheme="minorHAnsi" w:hAnsiTheme="minorHAnsi" w:cstheme="minorHAnsi"/>
                <w:szCs w:val="22"/>
                <w:lang w:eastAsia="en-GB"/>
              </w:rPr>
              <w:t>the proposed works are unlikely to cause disturbance to bats, result in the loss of a bat roost or cause injury or death to bats.</w:t>
            </w:r>
            <w:r w:rsidR="00186F9D" w:rsidRPr="00BA43DD">
              <w:rPr>
                <w:szCs w:val="22"/>
                <w:lang w:eastAsia="en-GB"/>
              </w:rPr>
              <w:t xml:space="preserve"> </w:t>
            </w:r>
            <w:r w:rsidR="00FC2F7A" w:rsidRPr="00BA43DD">
              <w:rPr>
                <w:rFonts w:asciiTheme="minorHAnsi" w:hAnsiTheme="minorHAnsi" w:cstheme="minorHAnsi"/>
                <w:szCs w:val="22"/>
                <w:lang w:eastAsia="en-GB"/>
              </w:rPr>
              <w:t xml:space="preserve">Bat foraging the immediate area is described as </w:t>
            </w:r>
            <w:r w:rsidR="00344FF7" w:rsidRPr="00BA43DD">
              <w:rPr>
                <w:rFonts w:asciiTheme="minorHAnsi" w:hAnsiTheme="minorHAnsi" w:cstheme="minorHAnsi"/>
                <w:szCs w:val="22"/>
                <w:lang w:eastAsia="en-GB"/>
              </w:rPr>
              <w:t>moderate to high and therefore there would be a requirement, should consent be granted, that bat roosting/nesting features be provided on the building.</w:t>
            </w:r>
          </w:p>
          <w:p w14:paraId="5D883284" w14:textId="47B144BD" w:rsidR="00344FF7" w:rsidRPr="00BA43DD" w:rsidRDefault="00344FF7" w:rsidP="00186F9D">
            <w:pPr>
              <w:jc w:val="both"/>
              <w:rPr>
                <w:rFonts w:asciiTheme="minorHAnsi" w:hAnsiTheme="minorHAnsi" w:cstheme="minorHAnsi"/>
                <w:szCs w:val="22"/>
                <w:lang w:eastAsia="en-GB"/>
              </w:rPr>
            </w:pPr>
          </w:p>
        </w:tc>
      </w:tr>
      <w:tr w:rsidR="006E5B16" w:rsidRPr="006E5B16" w14:paraId="5E09398D" w14:textId="77777777" w:rsidTr="000B6986">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66101" w14:textId="652D76C7" w:rsidR="00135EE5" w:rsidRPr="00BA43DD" w:rsidRDefault="00135EE5" w:rsidP="00B3711B">
            <w:pPr>
              <w:contextualSpacing/>
              <w:jc w:val="both"/>
              <w:rPr>
                <w:rFonts w:ascii="Calibri" w:hAnsi="Calibri"/>
                <w:b/>
                <w:bCs/>
                <w:szCs w:val="22"/>
              </w:rPr>
            </w:pPr>
            <w:r w:rsidRPr="00BA43DD">
              <w:rPr>
                <w:rFonts w:ascii="Calibri" w:hAnsi="Calibri"/>
                <w:b/>
                <w:bCs/>
                <w:szCs w:val="22"/>
              </w:rPr>
              <w:t>Conclusion:</w:t>
            </w:r>
          </w:p>
          <w:p w14:paraId="574C574F" w14:textId="21649DA7" w:rsidR="005A3F1A" w:rsidRPr="00BA43DD" w:rsidRDefault="008F2F5F" w:rsidP="00B3711B">
            <w:pPr>
              <w:contextualSpacing/>
              <w:jc w:val="both"/>
              <w:rPr>
                <w:rFonts w:ascii="Calibri" w:hAnsi="Calibri"/>
                <w:bCs/>
                <w:szCs w:val="22"/>
              </w:rPr>
            </w:pPr>
            <w:r w:rsidRPr="00BA43DD">
              <w:rPr>
                <w:rFonts w:ascii="Calibri" w:hAnsi="Calibri"/>
                <w:bCs/>
                <w:szCs w:val="22"/>
              </w:rPr>
              <w:t xml:space="preserve">In view of all </w:t>
            </w:r>
            <w:r w:rsidR="007B1A28" w:rsidRPr="00BA43DD">
              <w:rPr>
                <w:rFonts w:ascii="Calibri" w:hAnsi="Calibri"/>
                <w:bCs/>
                <w:szCs w:val="22"/>
              </w:rPr>
              <w:t>of the above</w:t>
            </w:r>
            <w:r w:rsidRPr="00BA43DD">
              <w:rPr>
                <w:rFonts w:ascii="Calibri" w:hAnsi="Calibri"/>
                <w:bCs/>
                <w:szCs w:val="22"/>
              </w:rPr>
              <w:t>,</w:t>
            </w:r>
            <w:r w:rsidR="005A3F1A" w:rsidRPr="00BA43DD">
              <w:rPr>
                <w:rFonts w:ascii="Calibri" w:hAnsi="Calibri"/>
                <w:bCs/>
                <w:szCs w:val="22"/>
              </w:rPr>
              <w:t xml:space="preserve"> </w:t>
            </w:r>
            <w:r w:rsidR="003A1389" w:rsidRPr="00BA43DD">
              <w:rPr>
                <w:rFonts w:ascii="Calibri" w:hAnsi="Calibri"/>
                <w:bCs/>
                <w:szCs w:val="22"/>
              </w:rPr>
              <w:t>it is considered that the propos</w:t>
            </w:r>
            <w:r w:rsidR="00BA43DD" w:rsidRPr="00BA43DD">
              <w:rPr>
                <w:rFonts w:ascii="Calibri" w:hAnsi="Calibri"/>
                <w:bCs/>
                <w:szCs w:val="22"/>
              </w:rPr>
              <w:t>ed conversion would accord with relevant policies contained within the adopted Core Strategy. The proposed alterations to the building would not be unduly harmful to its character and appearance as a traditional farm building and therefore it is recommended that the application be approved subject to conditions.</w:t>
            </w:r>
          </w:p>
          <w:p w14:paraId="2A641F15" w14:textId="1DC630D7" w:rsidR="00344FF7" w:rsidRPr="00BA43DD" w:rsidRDefault="00344FF7" w:rsidP="00B3711B">
            <w:pPr>
              <w:contextualSpacing/>
              <w:jc w:val="both"/>
              <w:rPr>
                <w:rFonts w:asciiTheme="minorHAnsi" w:hAnsiTheme="minorHAnsi"/>
                <w:szCs w:val="22"/>
                <w:lang w:eastAsia="en-GB"/>
              </w:rPr>
            </w:pPr>
          </w:p>
        </w:tc>
      </w:tr>
      <w:tr w:rsidR="006E5B16" w:rsidRPr="006E5B16" w14:paraId="48B7FFD1" w14:textId="77777777" w:rsidTr="000B698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F1B6A8" w14:textId="77777777" w:rsidR="00EC23C7" w:rsidRPr="00BA43DD" w:rsidRDefault="00EC23C7" w:rsidP="00B3711B">
            <w:pPr>
              <w:jc w:val="both"/>
              <w:rPr>
                <w:rFonts w:ascii="Calibri" w:hAnsi="Calibri"/>
                <w:b/>
                <w:bCs/>
                <w:szCs w:val="22"/>
              </w:rPr>
            </w:pPr>
            <w:r w:rsidRPr="00BA43DD">
              <w:rPr>
                <w:rFonts w:ascii="Calibri" w:hAnsi="Calibri"/>
                <w:b/>
                <w:szCs w:val="22"/>
              </w:rPr>
              <w:t>RECOMMENDATION</w:t>
            </w:r>
            <w:r w:rsidRPr="00BA43DD">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F91C1B" w14:textId="121C5D21" w:rsidR="00EC23C7" w:rsidRPr="00BA43DD" w:rsidRDefault="006E3BD7" w:rsidP="00B3711B">
            <w:pPr>
              <w:jc w:val="both"/>
              <w:rPr>
                <w:rFonts w:ascii="Calibri" w:hAnsi="Calibri"/>
                <w:bCs/>
                <w:szCs w:val="22"/>
              </w:rPr>
            </w:pPr>
            <w:r w:rsidRPr="00BA43DD">
              <w:rPr>
                <w:rFonts w:ascii="Calibri" w:hAnsi="Calibri"/>
                <w:bCs/>
                <w:szCs w:val="22"/>
              </w:rPr>
              <w:t xml:space="preserve">That planning permission be </w:t>
            </w:r>
            <w:r w:rsidR="00BA43DD" w:rsidRPr="00BA43DD">
              <w:rPr>
                <w:rFonts w:ascii="Calibri" w:hAnsi="Calibri"/>
                <w:bCs/>
                <w:szCs w:val="22"/>
              </w:rPr>
              <w:t>granted.</w:t>
            </w:r>
          </w:p>
        </w:tc>
      </w:tr>
    </w:tbl>
    <w:p w14:paraId="3EE91653" w14:textId="77777777" w:rsidR="0031541F" w:rsidRPr="00DB67D9" w:rsidRDefault="0031541F" w:rsidP="00236470">
      <w:pPr>
        <w:rPr>
          <w:rFonts w:ascii="Calibri" w:hAnsi="Calibri"/>
          <w:szCs w:val="22"/>
        </w:rPr>
      </w:pPr>
    </w:p>
    <w:sectPr w:rsidR="0031541F" w:rsidRPr="00DB67D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2B0"/>
    <w:multiLevelType w:val="hybridMultilevel"/>
    <w:tmpl w:val="6ED2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7B98"/>
    <w:multiLevelType w:val="hybridMultilevel"/>
    <w:tmpl w:val="8686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5F7B"/>
    <w:multiLevelType w:val="hybridMultilevel"/>
    <w:tmpl w:val="543A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21B92"/>
    <w:multiLevelType w:val="hybridMultilevel"/>
    <w:tmpl w:val="DA28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C515B"/>
    <w:multiLevelType w:val="hybridMultilevel"/>
    <w:tmpl w:val="33B06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75A83"/>
    <w:multiLevelType w:val="hybridMultilevel"/>
    <w:tmpl w:val="4D58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C7C94"/>
    <w:multiLevelType w:val="hybridMultilevel"/>
    <w:tmpl w:val="1B5E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9650D"/>
    <w:multiLevelType w:val="hybridMultilevel"/>
    <w:tmpl w:val="CDDC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43466D"/>
    <w:multiLevelType w:val="hybridMultilevel"/>
    <w:tmpl w:val="05A4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A2614"/>
    <w:multiLevelType w:val="hybridMultilevel"/>
    <w:tmpl w:val="023C3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2817C8B"/>
    <w:multiLevelType w:val="hybridMultilevel"/>
    <w:tmpl w:val="4BE0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F57D8"/>
    <w:multiLevelType w:val="hybridMultilevel"/>
    <w:tmpl w:val="A0963E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D2720"/>
    <w:multiLevelType w:val="hybridMultilevel"/>
    <w:tmpl w:val="679E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num>
  <w:num w:numId="4">
    <w:abstractNumId w:val="11"/>
  </w:num>
  <w:num w:numId="5">
    <w:abstractNumId w:val="1"/>
  </w:num>
  <w:num w:numId="6">
    <w:abstractNumId w:val="5"/>
  </w:num>
  <w:num w:numId="7">
    <w:abstractNumId w:val="9"/>
  </w:num>
  <w:num w:numId="8">
    <w:abstractNumId w:val="10"/>
  </w:num>
  <w:num w:numId="9">
    <w:abstractNumId w:val="8"/>
  </w:num>
  <w:num w:numId="10">
    <w:abstractNumId w:val="3"/>
  </w:num>
  <w:num w:numId="11">
    <w:abstractNumId w:val="0"/>
  </w:num>
  <w:num w:numId="12">
    <w:abstractNumId w:val="6"/>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720"/>
    <w:rsid w:val="00007E50"/>
    <w:rsid w:val="00010DF7"/>
    <w:rsid w:val="00011F0C"/>
    <w:rsid w:val="00012078"/>
    <w:rsid w:val="00027C73"/>
    <w:rsid w:val="00041500"/>
    <w:rsid w:val="000436C1"/>
    <w:rsid w:val="0006166F"/>
    <w:rsid w:val="0007591E"/>
    <w:rsid w:val="0008057C"/>
    <w:rsid w:val="00080FE1"/>
    <w:rsid w:val="000B15CD"/>
    <w:rsid w:val="000B358C"/>
    <w:rsid w:val="000B646D"/>
    <w:rsid w:val="000B6986"/>
    <w:rsid w:val="000C099B"/>
    <w:rsid w:val="000C3254"/>
    <w:rsid w:val="000D0700"/>
    <w:rsid w:val="000E4540"/>
    <w:rsid w:val="00121844"/>
    <w:rsid w:val="00125927"/>
    <w:rsid w:val="001312E6"/>
    <w:rsid w:val="00135EE5"/>
    <w:rsid w:val="00140305"/>
    <w:rsid w:val="00147E4C"/>
    <w:rsid w:val="00150370"/>
    <w:rsid w:val="00150B33"/>
    <w:rsid w:val="00162D27"/>
    <w:rsid w:val="001647C4"/>
    <w:rsid w:val="0016533D"/>
    <w:rsid w:val="00167748"/>
    <w:rsid w:val="0017224B"/>
    <w:rsid w:val="0017778D"/>
    <w:rsid w:val="00186F9D"/>
    <w:rsid w:val="00191F7A"/>
    <w:rsid w:val="00193CA1"/>
    <w:rsid w:val="00196581"/>
    <w:rsid w:val="001C7737"/>
    <w:rsid w:val="001D4F7A"/>
    <w:rsid w:val="001D635E"/>
    <w:rsid w:val="001E0514"/>
    <w:rsid w:val="001E22CE"/>
    <w:rsid w:val="001E798F"/>
    <w:rsid w:val="001F4DA1"/>
    <w:rsid w:val="00202277"/>
    <w:rsid w:val="002158EC"/>
    <w:rsid w:val="00236470"/>
    <w:rsid w:val="00250879"/>
    <w:rsid w:val="00262001"/>
    <w:rsid w:val="00274BB8"/>
    <w:rsid w:val="00284D79"/>
    <w:rsid w:val="00287063"/>
    <w:rsid w:val="002A01CF"/>
    <w:rsid w:val="002A0201"/>
    <w:rsid w:val="002A549B"/>
    <w:rsid w:val="002A6E2B"/>
    <w:rsid w:val="002B1A47"/>
    <w:rsid w:val="002C439D"/>
    <w:rsid w:val="002D0F34"/>
    <w:rsid w:val="002D62E5"/>
    <w:rsid w:val="002E5D6D"/>
    <w:rsid w:val="002F30D5"/>
    <w:rsid w:val="00304A45"/>
    <w:rsid w:val="0031541F"/>
    <w:rsid w:val="003303A5"/>
    <w:rsid w:val="00330D42"/>
    <w:rsid w:val="00333B0F"/>
    <w:rsid w:val="00340F6F"/>
    <w:rsid w:val="00344FF7"/>
    <w:rsid w:val="00346F46"/>
    <w:rsid w:val="00370A6C"/>
    <w:rsid w:val="003A0034"/>
    <w:rsid w:val="003A1389"/>
    <w:rsid w:val="003A2B7D"/>
    <w:rsid w:val="003B0C14"/>
    <w:rsid w:val="003B64DF"/>
    <w:rsid w:val="003D17D0"/>
    <w:rsid w:val="003E1A33"/>
    <w:rsid w:val="003E72D7"/>
    <w:rsid w:val="00405916"/>
    <w:rsid w:val="00411F12"/>
    <w:rsid w:val="0041370D"/>
    <w:rsid w:val="00414265"/>
    <w:rsid w:val="00416246"/>
    <w:rsid w:val="00420EBA"/>
    <w:rsid w:val="004245CE"/>
    <w:rsid w:val="00431FA1"/>
    <w:rsid w:val="00434D36"/>
    <w:rsid w:val="00435395"/>
    <w:rsid w:val="00442A7A"/>
    <w:rsid w:val="00445A04"/>
    <w:rsid w:val="0045089A"/>
    <w:rsid w:val="0046109E"/>
    <w:rsid w:val="00465E65"/>
    <w:rsid w:val="00472F2E"/>
    <w:rsid w:val="00483448"/>
    <w:rsid w:val="00487C87"/>
    <w:rsid w:val="00490A29"/>
    <w:rsid w:val="004A5EA9"/>
    <w:rsid w:val="004C5320"/>
    <w:rsid w:val="00505A96"/>
    <w:rsid w:val="00506C9E"/>
    <w:rsid w:val="005105BF"/>
    <w:rsid w:val="00511D51"/>
    <w:rsid w:val="00540083"/>
    <w:rsid w:val="00545652"/>
    <w:rsid w:val="005549CD"/>
    <w:rsid w:val="00561793"/>
    <w:rsid w:val="00593A7D"/>
    <w:rsid w:val="00597D67"/>
    <w:rsid w:val="005A3F1A"/>
    <w:rsid w:val="005A5B5B"/>
    <w:rsid w:val="005A7E11"/>
    <w:rsid w:val="005B255A"/>
    <w:rsid w:val="005B635D"/>
    <w:rsid w:val="005C76EE"/>
    <w:rsid w:val="005D0D4B"/>
    <w:rsid w:val="005E0825"/>
    <w:rsid w:val="005E2002"/>
    <w:rsid w:val="005E2995"/>
    <w:rsid w:val="005E796C"/>
    <w:rsid w:val="005F002E"/>
    <w:rsid w:val="005F12A4"/>
    <w:rsid w:val="005F2547"/>
    <w:rsid w:val="005F5538"/>
    <w:rsid w:val="006037DB"/>
    <w:rsid w:val="00603CA3"/>
    <w:rsid w:val="00640269"/>
    <w:rsid w:val="00661F33"/>
    <w:rsid w:val="00674D7B"/>
    <w:rsid w:val="00675E8F"/>
    <w:rsid w:val="00691029"/>
    <w:rsid w:val="006919D8"/>
    <w:rsid w:val="00692B60"/>
    <w:rsid w:val="006A18EF"/>
    <w:rsid w:val="006A7820"/>
    <w:rsid w:val="006B3187"/>
    <w:rsid w:val="006B3E5B"/>
    <w:rsid w:val="006C09FB"/>
    <w:rsid w:val="006C2BFA"/>
    <w:rsid w:val="006C4AB2"/>
    <w:rsid w:val="006C7910"/>
    <w:rsid w:val="006D4F08"/>
    <w:rsid w:val="006E3BD7"/>
    <w:rsid w:val="006E5B16"/>
    <w:rsid w:val="006E5F33"/>
    <w:rsid w:val="0070054B"/>
    <w:rsid w:val="00700FE4"/>
    <w:rsid w:val="00717501"/>
    <w:rsid w:val="007239E9"/>
    <w:rsid w:val="0072474D"/>
    <w:rsid w:val="0074623E"/>
    <w:rsid w:val="0076297F"/>
    <w:rsid w:val="00772465"/>
    <w:rsid w:val="00774375"/>
    <w:rsid w:val="0077572A"/>
    <w:rsid w:val="00776AE2"/>
    <w:rsid w:val="00783B92"/>
    <w:rsid w:val="007854D4"/>
    <w:rsid w:val="0078692A"/>
    <w:rsid w:val="00791CBE"/>
    <w:rsid w:val="00795CDF"/>
    <w:rsid w:val="007A3585"/>
    <w:rsid w:val="007A4EB4"/>
    <w:rsid w:val="007B1A28"/>
    <w:rsid w:val="007B20E0"/>
    <w:rsid w:val="007B4015"/>
    <w:rsid w:val="007B473D"/>
    <w:rsid w:val="007C069F"/>
    <w:rsid w:val="007C1B55"/>
    <w:rsid w:val="007C6E9F"/>
    <w:rsid w:val="007D155D"/>
    <w:rsid w:val="007D1C58"/>
    <w:rsid w:val="007D575A"/>
    <w:rsid w:val="007D5B76"/>
    <w:rsid w:val="007D68DD"/>
    <w:rsid w:val="007D79D8"/>
    <w:rsid w:val="007E0D23"/>
    <w:rsid w:val="007E38A2"/>
    <w:rsid w:val="0080200E"/>
    <w:rsid w:val="00804253"/>
    <w:rsid w:val="008079CD"/>
    <w:rsid w:val="00815E4D"/>
    <w:rsid w:val="008224A9"/>
    <w:rsid w:val="00823D53"/>
    <w:rsid w:val="008509B6"/>
    <w:rsid w:val="00854389"/>
    <w:rsid w:val="00862C49"/>
    <w:rsid w:val="00872070"/>
    <w:rsid w:val="0087324F"/>
    <w:rsid w:val="00873F05"/>
    <w:rsid w:val="00874D20"/>
    <w:rsid w:val="00887FD5"/>
    <w:rsid w:val="008A1E13"/>
    <w:rsid w:val="008A28C8"/>
    <w:rsid w:val="008B2ED2"/>
    <w:rsid w:val="008B41D1"/>
    <w:rsid w:val="008B432F"/>
    <w:rsid w:val="008B7EA4"/>
    <w:rsid w:val="008C04DE"/>
    <w:rsid w:val="008C5042"/>
    <w:rsid w:val="008D67C9"/>
    <w:rsid w:val="008E0D67"/>
    <w:rsid w:val="008E6A6B"/>
    <w:rsid w:val="008F2986"/>
    <w:rsid w:val="008F2F5F"/>
    <w:rsid w:val="00900527"/>
    <w:rsid w:val="00905B6E"/>
    <w:rsid w:val="00907AB2"/>
    <w:rsid w:val="00910EEE"/>
    <w:rsid w:val="009132FC"/>
    <w:rsid w:val="00917FD6"/>
    <w:rsid w:val="009217C7"/>
    <w:rsid w:val="0092236C"/>
    <w:rsid w:val="00927AB0"/>
    <w:rsid w:val="0094518B"/>
    <w:rsid w:val="00995241"/>
    <w:rsid w:val="00996EAD"/>
    <w:rsid w:val="009A7C18"/>
    <w:rsid w:val="009A7ED1"/>
    <w:rsid w:val="009B13A6"/>
    <w:rsid w:val="009C1313"/>
    <w:rsid w:val="009D45BC"/>
    <w:rsid w:val="009E2366"/>
    <w:rsid w:val="009F41D1"/>
    <w:rsid w:val="00A17E5A"/>
    <w:rsid w:val="00A43FC0"/>
    <w:rsid w:val="00A44195"/>
    <w:rsid w:val="00A444E2"/>
    <w:rsid w:val="00A579BB"/>
    <w:rsid w:val="00A63D55"/>
    <w:rsid w:val="00A66AB1"/>
    <w:rsid w:val="00A718BF"/>
    <w:rsid w:val="00A753A9"/>
    <w:rsid w:val="00A827CA"/>
    <w:rsid w:val="00A86324"/>
    <w:rsid w:val="00A95D89"/>
    <w:rsid w:val="00AB7810"/>
    <w:rsid w:val="00AD092B"/>
    <w:rsid w:val="00AD3D91"/>
    <w:rsid w:val="00AD5B9B"/>
    <w:rsid w:val="00AF0372"/>
    <w:rsid w:val="00AF33DC"/>
    <w:rsid w:val="00B02C78"/>
    <w:rsid w:val="00B031CC"/>
    <w:rsid w:val="00B03A54"/>
    <w:rsid w:val="00B22F2D"/>
    <w:rsid w:val="00B23BF7"/>
    <w:rsid w:val="00B32AA1"/>
    <w:rsid w:val="00B33E8B"/>
    <w:rsid w:val="00B3711B"/>
    <w:rsid w:val="00B3730E"/>
    <w:rsid w:val="00B4487D"/>
    <w:rsid w:val="00B63F89"/>
    <w:rsid w:val="00B83C36"/>
    <w:rsid w:val="00B919BD"/>
    <w:rsid w:val="00BA43DD"/>
    <w:rsid w:val="00BC0673"/>
    <w:rsid w:val="00BD3F03"/>
    <w:rsid w:val="00C130AF"/>
    <w:rsid w:val="00C1574E"/>
    <w:rsid w:val="00C16D26"/>
    <w:rsid w:val="00C52DE5"/>
    <w:rsid w:val="00C5526C"/>
    <w:rsid w:val="00C568A5"/>
    <w:rsid w:val="00C5784E"/>
    <w:rsid w:val="00C618DB"/>
    <w:rsid w:val="00C61B62"/>
    <w:rsid w:val="00C644D6"/>
    <w:rsid w:val="00C772DA"/>
    <w:rsid w:val="00C80645"/>
    <w:rsid w:val="00C878A8"/>
    <w:rsid w:val="00C90D82"/>
    <w:rsid w:val="00C97E4C"/>
    <w:rsid w:val="00CA0C58"/>
    <w:rsid w:val="00CC0234"/>
    <w:rsid w:val="00CC26E3"/>
    <w:rsid w:val="00CD1C91"/>
    <w:rsid w:val="00CD3ED6"/>
    <w:rsid w:val="00CE7985"/>
    <w:rsid w:val="00CF40FE"/>
    <w:rsid w:val="00D01A0B"/>
    <w:rsid w:val="00D10CAC"/>
    <w:rsid w:val="00D2449B"/>
    <w:rsid w:val="00D2674F"/>
    <w:rsid w:val="00D46514"/>
    <w:rsid w:val="00D616A2"/>
    <w:rsid w:val="00D616F6"/>
    <w:rsid w:val="00D62F48"/>
    <w:rsid w:val="00D64E28"/>
    <w:rsid w:val="00D90A2F"/>
    <w:rsid w:val="00D91AF5"/>
    <w:rsid w:val="00DB5F60"/>
    <w:rsid w:val="00DB67D9"/>
    <w:rsid w:val="00DD4740"/>
    <w:rsid w:val="00DD62F6"/>
    <w:rsid w:val="00DE0009"/>
    <w:rsid w:val="00DF768B"/>
    <w:rsid w:val="00DF7DA9"/>
    <w:rsid w:val="00E14DE3"/>
    <w:rsid w:val="00E22A0E"/>
    <w:rsid w:val="00E27D07"/>
    <w:rsid w:val="00E34F90"/>
    <w:rsid w:val="00E60732"/>
    <w:rsid w:val="00E66534"/>
    <w:rsid w:val="00E71671"/>
    <w:rsid w:val="00E72758"/>
    <w:rsid w:val="00E7379C"/>
    <w:rsid w:val="00E73BDF"/>
    <w:rsid w:val="00E8492F"/>
    <w:rsid w:val="00E9203A"/>
    <w:rsid w:val="00E976A5"/>
    <w:rsid w:val="00EA09F9"/>
    <w:rsid w:val="00EA6E30"/>
    <w:rsid w:val="00EB7186"/>
    <w:rsid w:val="00EC23C7"/>
    <w:rsid w:val="00ED05C4"/>
    <w:rsid w:val="00EE1A0C"/>
    <w:rsid w:val="00EE3C49"/>
    <w:rsid w:val="00EF360A"/>
    <w:rsid w:val="00EF751E"/>
    <w:rsid w:val="00EF7B07"/>
    <w:rsid w:val="00F036E8"/>
    <w:rsid w:val="00F04CF3"/>
    <w:rsid w:val="00F13EBF"/>
    <w:rsid w:val="00F13F84"/>
    <w:rsid w:val="00F237A1"/>
    <w:rsid w:val="00F2786A"/>
    <w:rsid w:val="00F32841"/>
    <w:rsid w:val="00F40C51"/>
    <w:rsid w:val="00F76A14"/>
    <w:rsid w:val="00F9228C"/>
    <w:rsid w:val="00F958DD"/>
    <w:rsid w:val="00FC2F7A"/>
    <w:rsid w:val="00FC4429"/>
    <w:rsid w:val="00FD5C9A"/>
    <w:rsid w:val="00FE66DA"/>
    <w:rsid w:val="00FF2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38D5"/>
  <w15:docId w15:val="{8C0E32DB-7EB6-4D44-B9C1-EF570FF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A8632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lainText">
    <w:name w:val="Plain Text"/>
    <w:basedOn w:val="Normal"/>
    <w:link w:val="PlainTextChar"/>
    <w:uiPriority w:val="99"/>
    <w:semiHidden/>
    <w:unhideWhenUsed/>
    <w:rsid w:val="003303A5"/>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3303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2929">
      <w:bodyDiv w:val="1"/>
      <w:marLeft w:val="0"/>
      <w:marRight w:val="0"/>
      <w:marTop w:val="0"/>
      <w:marBottom w:val="0"/>
      <w:divBdr>
        <w:top w:val="none" w:sz="0" w:space="0" w:color="auto"/>
        <w:left w:val="none" w:sz="0" w:space="0" w:color="auto"/>
        <w:bottom w:val="none" w:sz="0" w:space="0" w:color="auto"/>
        <w:right w:val="none" w:sz="0" w:space="0" w:color="auto"/>
      </w:divBdr>
    </w:div>
    <w:div w:id="214702317">
      <w:bodyDiv w:val="1"/>
      <w:marLeft w:val="0"/>
      <w:marRight w:val="0"/>
      <w:marTop w:val="0"/>
      <w:marBottom w:val="0"/>
      <w:divBdr>
        <w:top w:val="none" w:sz="0" w:space="0" w:color="auto"/>
        <w:left w:val="none" w:sz="0" w:space="0" w:color="auto"/>
        <w:bottom w:val="none" w:sz="0" w:space="0" w:color="auto"/>
        <w:right w:val="none" w:sz="0" w:space="0" w:color="auto"/>
      </w:divBdr>
    </w:div>
    <w:div w:id="480847452">
      <w:bodyDiv w:val="1"/>
      <w:marLeft w:val="0"/>
      <w:marRight w:val="0"/>
      <w:marTop w:val="0"/>
      <w:marBottom w:val="0"/>
      <w:divBdr>
        <w:top w:val="none" w:sz="0" w:space="0" w:color="auto"/>
        <w:left w:val="none" w:sz="0" w:space="0" w:color="auto"/>
        <w:bottom w:val="none" w:sz="0" w:space="0" w:color="auto"/>
        <w:right w:val="none" w:sz="0" w:space="0" w:color="auto"/>
      </w:divBdr>
    </w:div>
    <w:div w:id="686709624">
      <w:bodyDiv w:val="1"/>
      <w:marLeft w:val="0"/>
      <w:marRight w:val="0"/>
      <w:marTop w:val="0"/>
      <w:marBottom w:val="0"/>
      <w:divBdr>
        <w:top w:val="none" w:sz="0" w:space="0" w:color="auto"/>
        <w:left w:val="none" w:sz="0" w:space="0" w:color="auto"/>
        <w:bottom w:val="none" w:sz="0" w:space="0" w:color="auto"/>
        <w:right w:val="none" w:sz="0" w:space="0" w:color="auto"/>
      </w:divBdr>
    </w:div>
    <w:div w:id="1006051593">
      <w:bodyDiv w:val="1"/>
      <w:marLeft w:val="0"/>
      <w:marRight w:val="0"/>
      <w:marTop w:val="0"/>
      <w:marBottom w:val="0"/>
      <w:divBdr>
        <w:top w:val="none" w:sz="0" w:space="0" w:color="auto"/>
        <w:left w:val="none" w:sz="0" w:space="0" w:color="auto"/>
        <w:bottom w:val="none" w:sz="0" w:space="0" w:color="auto"/>
        <w:right w:val="none" w:sz="0" w:space="0" w:color="auto"/>
      </w:divBdr>
    </w:div>
    <w:div w:id="17587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E3EB-89F8-4AE4-9F22-CE2EB1A3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Tara Thompson</cp:lastModifiedBy>
  <cp:revision>2</cp:revision>
  <cp:lastPrinted>2019-01-10T14:24:00Z</cp:lastPrinted>
  <dcterms:created xsi:type="dcterms:W3CDTF">2021-07-07T15:01:00Z</dcterms:created>
  <dcterms:modified xsi:type="dcterms:W3CDTF">2021-07-07T15:01:00Z</dcterms:modified>
</cp:coreProperties>
</file>