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115"/>
        <w:gridCol w:w="519"/>
        <w:gridCol w:w="579"/>
        <w:gridCol w:w="428"/>
        <w:gridCol w:w="602"/>
        <w:gridCol w:w="1030"/>
        <w:gridCol w:w="1061"/>
      </w:tblGrid>
      <w:tr w:rsidR="008C75E4" w:rsidRPr="008C75E4" w14:paraId="4EC576A3" w14:textId="77777777" w:rsidTr="00646630">
        <w:trPr>
          <w:jc w:val="center"/>
        </w:trPr>
        <w:tc>
          <w:tcPr>
            <w:tcW w:w="9640" w:type="dxa"/>
            <w:gridSpan w:val="14"/>
            <w:tcMar>
              <w:top w:w="57" w:type="dxa"/>
              <w:bottom w:w="57" w:type="dxa"/>
            </w:tcMar>
          </w:tcPr>
          <w:p w14:paraId="7F5A85A1"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DBE24E1" w14:textId="77777777" w:rsidTr="00646630">
        <w:trPr>
          <w:trHeight w:val="535"/>
          <w:jc w:val="center"/>
        </w:trPr>
        <w:tc>
          <w:tcPr>
            <w:tcW w:w="1296" w:type="dxa"/>
            <w:tcMar>
              <w:top w:w="57" w:type="dxa"/>
              <w:bottom w:w="57" w:type="dxa"/>
            </w:tcMar>
          </w:tcPr>
          <w:p w14:paraId="08651C84" w14:textId="77777777" w:rsidR="004936A6" w:rsidRDefault="004936A6" w:rsidP="00D2449B">
            <w:pPr>
              <w:jc w:val="center"/>
              <w:rPr>
                <w:rFonts w:ascii="Calibri" w:hAnsi="Calibri"/>
                <w:b/>
                <w:szCs w:val="22"/>
              </w:rPr>
            </w:pPr>
            <w:r w:rsidRPr="008C75E4">
              <w:rPr>
                <w:rFonts w:ascii="Calibri" w:hAnsi="Calibri"/>
                <w:b/>
                <w:szCs w:val="22"/>
              </w:rPr>
              <w:t>Signed:</w:t>
            </w:r>
          </w:p>
          <w:p w14:paraId="2A03AA81" w14:textId="77777777" w:rsidR="00454754" w:rsidRPr="008C75E4" w:rsidRDefault="00454754" w:rsidP="00D2449B">
            <w:pPr>
              <w:jc w:val="center"/>
              <w:rPr>
                <w:rFonts w:ascii="Calibri" w:hAnsi="Calibri"/>
                <w:b/>
                <w:szCs w:val="22"/>
              </w:rPr>
            </w:pPr>
          </w:p>
        </w:tc>
        <w:tc>
          <w:tcPr>
            <w:tcW w:w="900" w:type="dxa"/>
          </w:tcPr>
          <w:p w14:paraId="69B0D354"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3FA82DC2" w14:textId="77777777" w:rsidR="004936A6" w:rsidRPr="008C75E4" w:rsidRDefault="00BC5422" w:rsidP="00D2449B">
            <w:pPr>
              <w:jc w:val="center"/>
              <w:rPr>
                <w:rFonts w:ascii="Calibri" w:hAnsi="Calibri"/>
                <w:b/>
                <w:szCs w:val="22"/>
              </w:rPr>
            </w:pPr>
            <w:r>
              <w:rPr>
                <w:rFonts w:ascii="Calibri" w:hAnsi="Calibri"/>
                <w:b/>
                <w:szCs w:val="22"/>
              </w:rPr>
              <w:t>LE</w:t>
            </w:r>
          </w:p>
        </w:tc>
        <w:tc>
          <w:tcPr>
            <w:tcW w:w="1030" w:type="dxa"/>
          </w:tcPr>
          <w:p w14:paraId="31F04910"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115" w:type="dxa"/>
          </w:tcPr>
          <w:p w14:paraId="6A2FBFA1" w14:textId="70139A15" w:rsidR="004936A6" w:rsidRPr="008C75E4" w:rsidRDefault="0035513A" w:rsidP="00D2449B">
            <w:pPr>
              <w:jc w:val="center"/>
              <w:rPr>
                <w:rFonts w:ascii="Calibri" w:hAnsi="Calibri"/>
                <w:b/>
                <w:szCs w:val="22"/>
              </w:rPr>
            </w:pPr>
            <w:r>
              <w:rPr>
                <w:rFonts w:ascii="Calibri" w:hAnsi="Calibri"/>
                <w:b/>
                <w:szCs w:val="22"/>
              </w:rPr>
              <w:t>20</w:t>
            </w:r>
            <w:r w:rsidR="00BC5422">
              <w:rPr>
                <w:rFonts w:ascii="Calibri" w:hAnsi="Calibri"/>
                <w:b/>
                <w:szCs w:val="22"/>
              </w:rPr>
              <w:t>.</w:t>
            </w:r>
            <w:r>
              <w:rPr>
                <w:rFonts w:ascii="Calibri" w:hAnsi="Calibri"/>
                <w:b/>
                <w:szCs w:val="22"/>
              </w:rPr>
              <w:t>4</w:t>
            </w:r>
            <w:r w:rsidR="00BC5422">
              <w:rPr>
                <w:rFonts w:ascii="Calibri" w:hAnsi="Calibri"/>
                <w:b/>
                <w:szCs w:val="22"/>
              </w:rPr>
              <w:t>.2022</w:t>
            </w:r>
          </w:p>
        </w:tc>
        <w:tc>
          <w:tcPr>
            <w:tcW w:w="1098" w:type="dxa"/>
            <w:gridSpan w:val="2"/>
          </w:tcPr>
          <w:p w14:paraId="44D77501"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18B08853" w14:textId="77777777" w:rsidR="004936A6" w:rsidRPr="008C75E4" w:rsidRDefault="004936A6" w:rsidP="00D2449B">
            <w:pPr>
              <w:jc w:val="center"/>
              <w:rPr>
                <w:rFonts w:ascii="Calibri" w:hAnsi="Calibri"/>
                <w:b/>
                <w:szCs w:val="22"/>
              </w:rPr>
            </w:pPr>
          </w:p>
        </w:tc>
        <w:tc>
          <w:tcPr>
            <w:tcW w:w="1030" w:type="dxa"/>
          </w:tcPr>
          <w:p w14:paraId="476A8D47"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5DBAAE50" w14:textId="77777777" w:rsidR="004936A6" w:rsidRPr="008C75E4" w:rsidRDefault="004936A6" w:rsidP="00D2449B">
            <w:pPr>
              <w:jc w:val="center"/>
              <w:rPr>
                <w:rFonts w:ascii="Calibri" w:hAnsi="Calibri"/>
                <w:b/>
                <w:szCs w:val="22"/>
              </w:rPr>
            </w:pPr>
          </w:p>
        </w:tc>
      </w:tr>
      <w:tr w:rsidR="00E06DFC" w:rsidRPr="008C75E4" w14:paraId="5FD12C3B" w14:textId="77777777" w:rsidTr="00646630">
        <w:trPr>
          <w:trHeight w:val="586"/>
          <w:jc w:val="center"/>
        </w:trPr>
        <w:tc>
          <w:tcPr>
            <w:tcW w:w="1296" w:type="dxa"/>
            <w:tcBorders>
              <w:bottom w:val="single" w:sz="4" w:space="0" w:color="BFBFBF" w:themeColor="background1" w:themeShade="BF"/>
            </w:tcBorders>
            <w:tcMar>
              <w:top w:w="57" w:type="dxa"/>
              <w:bottom w:w="57" w:type="dxa"/>
            </w:tcMar>
          </w:tcPr>
          <w:p w14:paraId="6299A234"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3AF09642" w14:textId="77777777" w:rsidR="00E06DFC" w:rsidRPr="008C75E4" w:rsidRDefault="00BC5422" w:rsidP="00D2449B">
            <w:pPr>
              <w:jc w:val="center"/>
              <w:rPr>
                <w:rFonts w:ascii="Calibri" w:hAnsi="Calibri"/>
                <w:b/>
                <w:szCs w:val="22"/>
              </w:rPr>
            </w:pPr>
            <w:r>
              <w:rPr>
                <w:rFonts w:ascii="Calibri" w:hAnsi="Calibri"/>
                <w:b/>
                <w:szCs w:val="22"/>
              </w:rPr>
              <w:t>Y</w:t>
            </w:r>
          </w:p>
        </w:tc>
        <w:tc>
          <w:tcPr>
            <w:tcW w:w="1080" w:type="dxa"/>
            <w:gridSpan w:val="4"/>
            <w:tcBorders>
              <w:bottom w:val="single" w:sz="4" w:space="0" w:color="BFBFBF" w:themeColor="background1" w:themeShade="BF"/>
            </w:tcBorders>
          </w:tcPr>
          <w:p w14:paraId="3AC134FF"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211AFE5E" w14:textId="77777777" w:rsidR="00E06DFC" w:rsidRPr="008C75E4" w:rsidRDefault="00BC5422" w:rsidP="00D2449B">
            <w:pPr>
              <w:jc w:val="center"/>
              <w:rPr>
                <w:rFonts w:ascii="Calibri" w:hAnsi="Calibri"/>
                <w:b/>
                <w:szCs w:val="22"/>
              </w:rPr>
            </w:pPr>
            <w:r>
              <w:rPr>
                <w:rFonts w:ascii="Calibri" w:hAnsi="Calibri"/>
                <w:b/>
                <w:szCs w:val="22"/>
              </w:rPr>
              <w:t>Y</w:t>
            </w:r>
          </w:p>
        </w:tc>
        <w:tc>
          <w:tcPr>
            <w:tcW w:w="5334" w:type="dxa"/>
            <w:gridSpan w:val="7"/>
            <w:tcBorders>
              <w:bottom w:val="single" w:sz="4" w:space="0" w:color="BFBFBF" w:themeColor="background1" w:themeShade="BF"/>
            </w:tcBorders>
          </w:tcPr>
          <w:p w14:paraId="239D2CEC" w14:textId="77777777" w:rsidR="00E06DFC" w:rsidRPr="008C75E4" w:rsidRDefault="00E06DFC" w:rsidP="00D2449B">
            <w:pPr>
              <w:jc w:val="center"/>
              <w:rPr>
                <w:rFonts w:ascii="Calibri" w:hAnsi="Calibri"/>
                <w:b/>
                <w:szCs w:val="22"/>
              </w:rPr>
            </w:pPr>
          </w:p>
        </w:tc>
      </w:tr>
      <w:tr w:rsidR="008C75E4" w:rsidRPr="008C75E4" w14:paraId="26E20902" w14:textId="77777777" w:rsidTr="00646630">
        <w:trPr>
          <w:jc w:val="center"/>
        </w:trPr>
        <w:tc>
          <w:tcPr>
            <w:tcW w:w="9640" w:type="dxa"/>
            <w:gridSpan w:val="14"/>
            <w:tcBorders>
              <w:left w:val="nil"/>
              <w:right w:val="nil"/>
            </w:tcBorders>
            <w:tcMar>
              <w:top w:w="57" w:type="dxa"/>
              <w:bottom w:w="57" w:type="dxa"/>
            </w:tcMar>
          </w:tcPr>
          <w:p w14:paraId="769AACBF" w14:textId="77777777" w:rsidR="004A5EA9" w:rsidRPr="008C75E4" w:rsidRDefault="004A5EA9" w:rsidP="004A5EA9">
            <w:pPr>
              <w:jc w:val="center"/>
              <w:rPr>
                <w:rFonts w:ascii="Calibri" w:hAnsi="Calibri"/>
                <w:b/>
                <w:szCs w:val="22"/>
              </w:rPr>
            </w:pPr>
          </w:p>
        </w:tc>
      </w:tr>
      <w:tr w:rsidR="008C75E4" w:rsidRPr="008C75E4" w14:paraId="55E242AB" w14:textId="77777777" w:rsidTr="00646630">
        <w:trPr>
          <w:jc w:val="center"/>
        </w:trPr>
        <w:tc>
          <w:tcPr>
            <w:tcW w:w="2394" w:type="dxa"/>
            <w:gridSpan w:val="3"/>
            <w:tcMar>
              <w:top w:w="57" w:type="dxa"/>
              <w:bottom w:w="57" w:type="dxa"/>
            </w:tcMar>
          </w:tcPr>
          <w:p w14:paraId="488061AD" w14:textId="77777777" w:rsidR="004A5EA9" w:rsidRPr="008C75E4" w:rsidRDefault="004A5EA9">
            <w:pPr>
              <w:rPr>
                <w:rFonts w:ascii="Calibri" w:hAnsi="Calibri"/>
                <w:b/>
                <w:szCs w:val="22"/>
              </w:rPr>
            </w:pPr>
            <w:r w:rsidRPr="008C75E4">
              <w:rPr>
                <w:rFonts w:ascii="Calibri" w:hAnsi="Calibri"/>
                <w:b/>
                <w:szCs w:val="22"/>
              </w:rPr>
              <w:t>Application Ref:</w:t>
            </w:r>
          </w:p>
        </w:tc>
        <w:tc>
          <w:tcPr>
            <w:tcW w:w="3546" w:type="dxa"/>
            <w:gridSpan w:val="6"/>
          </w:tcPr>
          <w:p w14:paraId="002FFC6C" w14:textId="77777777" w:rsidR="004A5EA9" w:rsidRPr="008C75E4" w:rsidRDefault="00BC5422" w:rsidP="008F6B58">
            <w:pPr>
              <w:rPr>
                <w:rFonts w:ascii="Calibri" w:hAnsi="Calibri"/>
                <w:szCs w:val="22"/>
              </w:rPr>
            </w:pPr>
            <w:r>
              <w:rPr>
                <w:rFonts w:ascii="Calibri" w:hAnsi="Calibri"/>
                <w:szCs w:val="22"/>
              </w:rPr>
              <w:t>3/2021/0771</w:t>
            </w:r>
          </w:p>
        </w:tc>
        <w:tc>
          <w:tcPr>
            <w:tcW w:w="3700" w:type="dxa"/>
            <w:gridSpan w:val="5"/>
            <w:vMerge w:val="restart"/>
            <w:tcMar>
              <w:top w:w="57" w:type="dxa"/>
              <w:bottom w:w="57" w:type="dxa"/>
            </w:tcMar>
          </w:tcPr>
          <w:p w14:paraId="4BF37527"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77B0CE38" wp14:editId="54E42E42">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451BC62" w14:textId="77777777" w:rsidTr="00646630">
        <w:trPr>
          <w:jc w:val="center"/>
        </w:trPr>
        <w:tc>
          <w:tcPr>
            <w:tcW w:w="2394" w:type="dxa"/>
            <w:gridSpan w:val="3"/>
            <w:tcMar>
              <w:top w:w="57" w:type="dxa"/>
              <w:bottom w:w="57" w:type="dxa"/>
            </w:tcMar>
          </w:tcPr>
          <w:p w14:paraId="642478C1" w14:textId="77777777" w:rsidR="004A5EA9" w:rsidRPr="008C75E4" w:rsidRDefault="004A5EA9">
            <w:pPr>
              <w:rPr>
                <w:rFonts w:ascii="Calibri" w:hAnsi="Calibri"/>
                <w:b/>
                <w:szCs w:val="22"/>
              </w:rPr>
            </w:pPr>
            <w:r w:rsidRPr="008C75E4">
              <w:rPr>
                <w:rFonts w:ascii="Calibri" w:hAnsi="Calibri"/>
                <w:b/>
                <w:szCs w:val="22"/>
              </w:rPr>
              <w:t>Date Inspected:</w:t>
            </w:r>
          </w:p>
        </w:tc>
        <w:tc>
          <w:tcPr>
            <w:tcW w:w="3546" w:type="dxa"/>
            <w:gridSpan w:val="6"/>
          </w:tcPr>
          <w:p w14:paraId="66396DC3" w14:textId="77777777" w:rsidR="004A5EA9" w:rsidRPr="008C75E4" w:rsidRDefault="00BC5422" w:rsidP="002C6277">
            <w:pPr>
              <w:rPr>
                <w:rFonts w:ascii="Calibri" w:hAnsi="Calibri"/>
                <w:szCs w:val="22"/>
              </w:rPr>
            </w:pPr>
            <w:r>
              <w:rPr>
                <w:rFonts w:ascii="Calibri" w:hAnsi="Calibri"/>
                <w:szCs w:val="22"/>
              </w:rPr>
              <w:t>5.1.2022</w:t>
            </w:r>
          </w:p>
        </w:tc>
        <w:tc>
          <w:tcPr>
            <w:tcW w:w="3700" w:type="dxa"/>
            <w:gridSpan w:val="5"/>
            <w:vMerge/>
            <w:tcMar>
              <w:top w:w="57" w:type="dxa"/>
              <w:bottom w:w="57" w:type="dxa"/>
            </w:tcMar>
          </w:tcPr>
          <w:p w14:paraId="4434B006" w14:textId="77777777" w:rsidR="004A5EA9" w:rsidRPr="008C75E4" w:rsidRDefault="004A5EA9">
            <w:pPr>
              <w:rPr>
                <w:rFonts w:ascii="Calibri" w:hAnsi="Calibri"/>
                <w:szCs w:val="22"/>
              </w:rPr>
            </w:pPr>
          </w:p>
        </w:tc>
      </w:tr>
      <w:tr w:rsidR="008C75E4" w:rsidRPr="008C75E4" w14:paraId="75A1D5A9" w14:textId="77777777" w:rsidTr="00646630">
        <w:trPr>
          <w:jc w:val="center"/>
        </w:trPr>
        <w:tc>
          <w:tcPr>
            <w:tcW w:w="2394" w:type="dxa"/>
            <w:gridSpan w:val="3"/>
            <w:tcMar>
              <w:top w:w="57" w:type="dxa"/>
              <w:bottom w:w="57" w:type="dxa"/>
            </w:tcMar>
          </w:tcPr>
          <w:p w14:paraId="3EB4CC26"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546" w:type="dxa"/>
            <w:gridSpan w:val="6"/>
          </w:tcPr>
          <w:p w14:paraId="3908B1C3" w14:textId="77777777" w:rsidR="004A5EA9" w:rsidRPr="00454754" w:rsidRDefault="00BC5422"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1D984528" w14:textId="77777777" w:rsidR="004A5EA9" w:rsidRPr="008C75E4" w:rsidRDefault="004A5EA9">
            <w:pPr>
              <w:rPr>
                <w:rFonts w:ascii="Calibri" w:hAnsi="Calibri"/>
                <w:szCs w:val="22"/>
              </w:rPr>
            </w:pPr>
          </w:p>
        </w:tc>
      </w:tr>
      <w:tr w:rsidR="00FD334A" w:rsidRPr="008C75E4" w14:paraId="30D2361A" w14:textId="77777777" w:rsidTr="00646630">
        <w:trPr>
          <w:jc w:val="center"/>
        </w:trPr>
        <w:tc>
          <w:tcPr>
            <w:tcW w:w="5940" w:type="dxa"/>
            <w:gridSpan w:val="9"/>
            <w:tcBorders>
              <w:bottom w:val="single" w:sz="4" w:space="0" w:color="BFBFBF" w:themeColor="background1" w:themeShade="BF"/>
            </w:tcBorders>
            <w:tcMar>
              <w:top w:w="57" w:type="dxa"/>
              <w:bottom w:w="57" w:type="dxa"/>
            </w:tcMar>
          </w:tcPr>
          <w:p w14:paraId="5C8EB532"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69CA224B"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0A927D01" w14:textId="77777777" w:rsidR="00FD334A" w:rsidRPr="008C75E4" w:rsidRDefault="00BC5422" w:rsidP="00FD334A">
            <w:pPr>
              <w:rPr>
                <w:rFonts w:ascii="Calibri" w:hAnsi="Calibri"/>
                <w:b/>
                <w:szCs w:val="22"/>
              </w:rPr>
            </w:pPr>
            <w:r>
              <w:rPr>
                <w:rFonts w:ascii="Calibri" w:hAnsi="Calibri"/>
                <w:b/>
                <w:szCs w:val="22"/>
              </w:rPr>
              <w:t>APPROVE</w:t>
            </w:r>
          </w:p>
        </w:tc>
      </w:tr>
      <w:tr w:rsidR="008C75E4" w:rsidRPr="008C75E4" w14:paraId="3CEA7145" w14:textId="77777777" w:rsidTr="00646630">
        <w:trPr>
          <w:trHeight w:hRule="exact" w:val="144"/>
          <w:jc w:val="center"/>
        </w:trPr>
        <w:tc>
          <w:tcPr>
            <w:tcW w:w="9640" w:type="dxa"/>
            <w:gridSpan w:val="14"/>
            <w:tcBorders>
              <w:left w:val="nil"/>
              <w:right w:val="nil"/>
            </w:tcBorders>
            <w:tcMar>
              <w:top w:w="57" w:type="dxa"/>
              <w:bottom w:w="57" w:type="dxa"/>
            </w:tcMar>
          </w:tcPr>
          <w:p w14:paraId="0B7259C4" w14:textId="77777777" w:rsidR="004A5EA9" w:rsidRPr="00504440" w:rsidRDefault="004A5EA9" w:rsidP="007E0D23">
            <w:pPr>
              <w:tabs>
                <w:tab w:val="left" w:pos="4007"/>
              </w:tabs>
              <w:rPr>
                <w:rFonts w:ascii="Calibri" w:hAnsi="Calibri"/>
                <w:b/>
                <w:sz w:val="4"/>
                <w:szCs w:val="4"/>
              </w:rPr>
            </w:pPr>
          </w:p>
        </w:tc>
      </w:tr>
      <w:tr w:rsidR="008C75E4" w:rsidRPr="008C75E4" w14:paraId="6A534BF3" w14:textId="77777777" w:rsidTr="00646630">
        <w:trPr>
          <w:jc w:val="center"/>
        </w:trPr>
        <w:tc>
          <w:tcPr>
            <w:tcW w:w="3075" w:type="dxa"/>
            <w:gridSpan w:val="5"/>
            <w:tcMar>
              <w:top w:w="57" w:type="dxa"/>
              <w:bottom w:w="57" w:type="dxa"/>
            </w:tcMar>
          </w:tcPr>
          <w:p w14:paraId="09083F55"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565" w:type="dxa"/>
            <w:gridSpan w:val="9"/>
          </w:tcPr>
          <w:p w14:paraId="1C725C80" w14:textId="77777777" w:rsidR="004A5EA9" w:rsidRPr="008C75E4" w:rsidRDefault="00BC5422">
            <w:pPr>
              <w:rPr>
                <w:rFonts w:ascii="Calibri" w:hAnsi="Calibri"/>
                <w:szCs w:val="22"/>
              </w:rPr>
            </w:pPr>
            <w:r w:rsidRPr="00BC5422">
              <w:rPr>
                <w:rFonts w:ascii="Calibri" w:hAnsi="Calibri"/>
                <w:szCs w:val="22"/>
              </w:rPr>
              <w:t>Prior notification of the proposed change of use of two traditional stone barns to form three new dwelling houses with associated building works including the insertion of new door and window openings to achieve natural light in all habitable rooms.</w:t>
            </w:r>
          </w:p>
        </w:tc>
      </w:tr>
      <w:tr w:rsidR="008C75E4" w:rsidRPr="008C75E4" w14:paraId="22BA9C03" w14:textId="77777777" w:rsidTr="00646630">
        <w:trPr>
          <w:jc w:val="center"/>
        </w:trPr>
        <w:tc>
          <w:tcPr>
            <w:tcW w:w="3075" w:type="dxa"/>
            <w:gridSpan w:val="5"/>
            <w:tcBorders>
              <w:bottom w:val="single" w:sz="4" w:space="0" w:color="BFBFBF" w:themeColor="background1" w:themeShade="BF"/>
            </w:tcBorders>
            <w:tcMar>
              <w:top w:w="57" w:type="dxa"/>
              <w:bottom w:w="57" w:type="dxa"/>
            </w:tcMar>
          </w:tcPr>
          <w:p w14:paraId="1895A4FD"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565" w:type="dxa"/>
            <w:gridSpan w:val="9"/>
            <w:tcBorders>
              <w:bottom w:val="single" w:sz="4" w:space="0" w:color="BFBFBF" w:themeColor="background1" w:themeShade="BF"/>
            </w:tcBorders>
          </w:tcPr>
          <w:p w14:paraId="3FE72D1E" w14:textId="77777777" w:rsidR="002A01CF" w:rsidRPr="008C75E4" w:rsidRDefault="00BC5422" w:rsidP="00A42E82">
            <w:pPr>
              <w:rPr>
                <w:rFonts w:ascii="Calibri" w:hAnsi="Calibri"/>
                <w:szCs w:val="22"/>
              </w:rPr>
            </w:pPr>
            <w:r w:rsidRPr="00BC5422">
              <w:rPr>
                <w:rFonts w:ascii="Calibri" w:hAnsi="Calibri"/>
                <w:szCs w:val="22"/>
              </w:rPr>
              <w:t>Tan Yard Farm Ribchester Road Hothersall PR3 3YA</w:t>
            </w:r>
          </w:p>
        </w:tc>
      </w:tr>
      <w:tr w:rsidR="008C75E4" w:rsidRPr="008C75E4" w14:paraId="50E1AEFA" w14:textId="77777777" w:rsidTr="00646630">
        <w:trPr>
          <w:trHeight w:hRule="exact" w:val="144"/>
          <w:jc w:val="center"/>
        </w:trPr>
        <w:tc>
          <w:tcPr>
            <w:tcW w:w="9640" w:type="dxa"/>
            <w:gridSpan w:val="14"/>
            <w:tcBorders>
              <w:left w:val="nil"/>
              <w:right w:val="nil"/>
            </w:tcBorders>
            <w:tcMar>
              <w:top w:w="57" w:type="dxa"/>
              <w:bottom w:w="57" w:type="dxa"/>
            </w:tcMar>
          </w:tcPr>
          <w:p w14:paraId="6BFFD6D6" w14:textId="77777777" w:rsidR="00A95D89" w:rsidRPr="00504440" w:rsidRDefault="00A95D89" w:rsidP="007E0D23">
            <w:pPr>
              <w:tabs>
                <w:tab w:val="left" w:pos="2667"/>
              </w:tabs>
              <w:rPr>
                <w:rFonts w:ascii="Calibri" w:hAnsi="Calibri"/>
                <w:b/>
                <w:sz w:val="4"/>
                <w:szCs w:val="4"/>
              </w:rPr>
            </w:pPr>
          </w:p>
        </w:tc>
      </w:tr>
      <w:tr w:rsidR="008C75E4" w:rsidRPr="008C75E4" w14:paraId="549DEC26" w14:textId="77777777" w:rsidTr="00646630">
        <w:trPr>
          <w:jc w:val="center"/>
        </w:trPr>
        <w:tc>
          <w:tcPr>
            <w:tcW w:w="3075" w:type="dxa"/>
            <w:gridSpan w:val="5"/>
            <w:tcMar>
              <w:top w:w="57" w:type="dxa"/>
              <w:bottom w:w="57" w:type="dxa"/>
            </w:tcMar>
          </w:tcPr>
          <w:p w14:paraId="7D028190"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565" w:type="dxa"/>
            <w:gridSpan w:val="9"/>
          </w:tcPr>
          <w:p w14:paraId="64315BDC"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4F05DC5C" w14:textId="77777777" w:rsidTr="00646630">
        <w:trPr>
          <w:jc w:val="center"/>
        </w:trPr>
        <w:tc>
          <w:tcPr>
            <w:tcW w:w="9640" w:type="dxa"/>
            <w:gridSpan w:val="14"/>
            <w:tcBorders>
              <w:bottom w:val="single" w:sz="4" w:space="0" w:color="BFBFBF" w:themeColor="background1" w:themeShade="BF"/>
            </w:tcBorders>
            <w:tcMar>
              <w:top w:w="57" w:type="dxa"/>
              <w:bottom w:w="57" w:type="dxa"/>
            </w:tcMar>
          </w:tcPr>
          <w:p w14:paraId="497956DB" w14:textId="77777777" w:rsidR="003A4376" w:rsidRPr="009825FF" w:rsidRDefault="00B70B76" w:rsidP="009825FF">
            <w:pPr>
              <w:jc w:val="both"/>
              <w:rPr>
                <w:rFonts w:ascii="Calibri" w:hAnsi="Calibri"/>
                <w:szCs w:val="22"/>
              </w:rPr>
            </w:pPr>
            <w:r>
              <w:rPr>
                <w:rFonts w:ascii="Calibri" w:hAnsi="Calibri"/>
                <w:szCs w:val="22"/>
              </w:rPr>
              <w:t>No comments received</w:t>
            </w:r>
          </w:p>
        </w:tc>
      </w:tr>
      <w:tr w:rsidR="008C75E4" w:rsidRPr="008C75E4" w14:paraId="6C0722FB" w14:textId="77777777" w:rsidTr="00646630">
        <w:trPr>
          <w:trHeight w:hRule="exact" w:val="144"/>
          <w:jc w:val="center"/>
        </w:trPr>
        <w:tc>
          <w:tcPr>
            <w:tcW w:w="9640" w:type="dxa"/>
            <w:gridSpan w:val="14"/>
            <w:tcBorders>
              <w:left w:val="nil"/>
              <w:right w:val="nil"/>
            </w:tcBorders>
            <w:tcMar>
              <w:top w:w="57" w:type="dxa"/>
              <w:bottom w:w="57" w:type="dxa"/>
            </w:tcMar>
          </w:tcPr>
          <w:p w14:paraId="2EE3963B" w14:textId="77777777" w:rsidR="00C618DB" w:rsidRPr="00504440" w:rsidRDefault="00C618DB" w:rsidP="006126D1">
            <w:pPr>
              <w:jc w:val="both"/>
              <w:rPr>
                <w:rFonts w:ascii="Calibri" w:hAnsi="Calibri"/>
                <w:bCs/>
                <w:sz w:val="4"/>
                <w:szCs w:val="4"/>
              </w:rPr>
            </w:pPr>
          </w:p>
        </w:tc>
      </w:tr>
      <w:tr w:rsidR="008C75E4" w:rsidRPr="008C75E4" w14:paraId="31143675" w14:textId="77777777" w:rsidTr="00646630">
        <w:trPr>
          <w:jc w:val="center"/>
        </w:trPr>
        <w:tc>
          <w:tcPr>
            <w:tcW w:w="3075" w:type="dxa"/>
            <w:gridSpan w:val="5"/>
            <w:tcMar>
              <w:top w:w="57" w:type="dxa"/>
              <w:bottom w:w="57" w:type="dxa"/>
            </w:tcMar>
          </w:tcPr>
          <w:p w14:paraId="68D5F74F"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565" w:type="dxa"/>
            <w:gridSpan w:val="9"/>
          </w:tcPr>
          <w:p w14:paraId="737D82EA"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76D0EF6B" w14:textId="77777777" w:rsidTr="00646630">
        <w:trPr>
          <w:jc w:val="center"/>
        </w:trPr>
        <w:tc>
          <w:tcPr>
            <w:tcW w:w="3075" w:type="dxa"/>
            <w:gridSpan w:val="5"/>
            <w:tcMar>
              <w:top w:w="57" w:type="dxa"/>
              <w:bottom w:w="57" w:type="dxa"/>
            </w:tcMar>
          </w:tcPr>
          <w:p w14:paraId="6F79EC42" w14:textId="62BA298E" w:rsidR="002A01CF" w:rsidRPr="00B70B76" w:rsidRDefault="002A01CF" w:rsidP="006126D1">
            <w:pPr>
              <w:jc w:val="both"/>
              <w:rPr>
                <w:rFonts w:ascii="Calibri" w:hAnsi="Calibri"/>
                <w:szCs w:val="22"/>
              </w:rPr>
            </w:pPr>
          </w:p>
        </w:tc>
        <w:tc>
          <w:tcPr>
            <w:tcW w:w="6565" w:type="dxa"/>
            <w:gridSpan w:val="9"/>
          </w:tcPr>
          <w:p w14:paraId="3369A44D" w14:textId="142614D2" w:rsidR="002A01CF" w:rsidRPr="0044639C" w:rsidRDefault="0044639C" w:rsidP="006126D1">
            <w:pPr>
              <w:jc w:val="both"/>
              <w:rPr>
                <w:rFonts w:ascii="Calibri" w:hAnsi="Calibri"/>
                <w:bCs/>
                <w:szCs w:val="22"/>
              </w:rPr>
            </w:pPr>
            <w:r w:rsidRPr="0044639C">
              <w:rPr>
                <w:rFonts w:ascii="Calibri" w:hAnsi="Calibri"/>
                <w:bCs/>
                <w:szCs w:val="22"/>
              </w:rPr>
              <w:t xml:space="preserve">Following the receipt of amended plans no objections subject to conditions. </w:t>
            </w:r>
          </w:p>
        </w:tc>
      </w:tr>
      <w:tr w:rsidR="008C75E4" w:rsidRPr="008C75E4" w14:paraId="1C3D5B96" w14:textId="77777777" w:rsidTr="00646630">
        <w:trPr>
          <w:jc w:val="center"/>
        </w:trPr>
        <w:tc>
          <w:tcPr>
            <w:tcW w:w="9640" w:type="dxa"/>
            <w:gridSpan w:val="14"/>
            <w:tcMar>
              <w:top w:w="57" w:type="dxa"/>
              <w:bottom w:w="57" w:type="dxa"/>
            </w:tcMar>
          </w:tcPr>
          <w:p w14:paraId="487DC6B8" w14:textId="77777777" w:rsidR="00C0704D" w:rsidRPr="008C75E4" w:rsidRDefault="00C0704D" w:rsidP="00FC046F">
            <w:pPr>
              <w:jc w:val="both"/>
              <w:rPr>
                <w:rFonts w:ascii="Calibri" w:hAnsi="Calibri"/>
                <w:szCs w:val="22"/>
              </w:rPr>
            </w:pPr>
          </w:p>
        </w:tc>
      </w:tr>
      <w:tr w:rsidR="008C75E4" w:rsidRPr="008C75E4" w14:paraId="6C097B86" w14:textId="77777777" w:rsidTr="00646630">
        <w:trPr>
          <w:jc w:val="center"/>
        </w:trPr>
        <w:tc>
          <w:tcPr>
            <w:tcW w:w="3075" w:type="dxa"/>
            <w:gridSpan w:val="5"/>
            <w:tcMar>
              <w:top w:w="57" w:type="dxa"/>
              <w:bottom w:w="57" w:type="dxa"/>
            </w:tcMar>
          </w:tcPr>
          <w:p w14:paraId="78EF3BB1"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565" w:type="dxa"/>
            <w:gridSpan w:val="9"/>
          </w:tcPr>
          <w:p w14:paraId="0CD1E9F8"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75C4F9C8" w14:textId="77777777" w:rsidTr="00646630">
        <w:trPr>
          <w:jc w:val="center"/>
        </w:trPr>
        <w:tc>
          <w:tcPr>
            <w:tcW w:w="9640" w:type="dxa"/>
            <w:gridSpan w:val="14"/>
            <w:tcBorders>
              <w:bottom w:val="single" w:sz="4" w:space="0" w:color="BFBFBF" w:themeColor="background1" w:themeShade="BF"/>
            </w:tcBorders>
            <w:tcMar>
              <w:top w:w="57" w:type="dxa"/>
              <w:bottom w:w="57" w:type="dxa"/>
            </w:tcMar>
          </w:tcPr>
          <w:p w14:paraId="42D4B8DE" w14:textId="77777777" w:rsidR="005878FE" w:rsidRPr="00435FC9" w:rsidRDefault="00B70B76" w:rsidP="00435FC9">
            <w:pPr>
              <w:jc w:val="both"/>
              <w:rPr>
                <w:rFonts w:ascii="Calibri" w:hAnsi="Calibri"/>
                <w:szCs w:val="22"/>
              </w:rPr>
            </w:pPr>
            <w:r>
              <w:rPr>
                <w:rFonts w:ascii="Calibri" w:hAnsi="Calibri"/>
                <w:szCs w:val="22"/>
              </w:rPr>
              <w:t>None</w:t>
            </w:r>
          </w:p>
        </w:tc>
      </w:tr>
      <w:tr w:rsidR="008C75E4" w:rsidRPr="008C75E4" w14:paraId="03D1915D" w14:textId="77777777" w:rsidTr="00646630">
        <w:trPr>
          <w:trHeight w:hRule="exact" w:val="144"/>
          <w:jc w:val="center"/>
        </w:trPr>
        <w:tc>
          <w:tcPr>
            <w:tcW w:w="9640" w:type="dxa"/>
            <w:gridSpan w:val="14"/>
            <w:tcBorders>
              <w:left w:val="nil"/>
              <w:right w:val="nil"/>
            </w:tcBorders>
            <w:tcMar>
              <w:top w:w="57" w:type="dxa"/>
              <w:bottom w:w="57" w:type="dxa"/>
            </w:tcMar>
          </w:tcPr>
          <w:p w14:paraId="20AF6565" w14:textId="77777777" w:rsidR="00C0704D" w:rsidRPr="00504440" w:rsidRDefault="00C0704D" w:rsidP="006126D1">
            <w:pPr>
              <w:jc w:val="both"/>
              <w:rPr>
                <w:rFonts w:ascii="Calibri" w:hAnsi="Calibri"/>
                <w:sz w:val="4"/>
                <w:szCs w:val="4"/>
              </w:rPr>
            </w:pPr>
          </w:p>
        </w:tc>
      </w:tr>
      <w:tr w:rsidR="008C75E4" w:rsidRPr="008C75E4" w14:paraId="4B9FADC4" w14:textId="77777777" w:rsidTr="00646630">
        <w:trPr>
          <w:jc w:val="center"/>
        </w:trPr>
        <w:tc>
          <w:tcPr>
            <w:tcW w:w="9640" w:type="dxa"/>
            <w:gridSpan w:val="14"/>
            <w:tcMar>
              <w:top w:w="57" w:type="dxa"/>
              <w:bottom w:w="57" w:type="dxa"/>
            </w:tcMar>
          </w:tcPr>
          <w:p w14:paraId="19C23CB5"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06273718" w14:textId="77777777" w:rsidTr="00646630">
        <w:trPr>
          <w:trHeight w:val="864"/>
          <w:jc w:val="center"/>
        </w:trPr>
        <w:tc>
          <w:tcPr>
            <w:tcW w:w="9640" w:type="dxa"/>
            <w:gridSpan w:val="14"/>
            <w:tcMar>
              <w:top w:w="57" w:type="dxa"/>
              <w:bottom w:w="57" w:type="dxa"/>
            </w:tcMar>
          </w:tcPr>
          <w:p w14:paraId="47DA1304"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14185FFD" w14:textId="77777777" w:rsidR="001946E0" w:rsidRPr="00646630" w:rsidRDefault="00646630" w:rsidP="006126D1">
            <w:pPr>
              <w:jc w:val="both"/>
              <w:rPr>
                <w:rFonts w:ascii="Calibri" w:hAnsi="Calibri"/>
                <w:szCs w:val="22"/>
              </w:rPr>
            </w:pPr>
            <w:r w:rsidRPr="00646630">
              <w:rPr>
                <w:rFonts w:ascii="Calibri" w:hAnsi="Calibri"/>
                <w:szCs w:val="22"/>
              </w:rPr>
              <w:t>Schedule 2 Part 3 Class Q of the Town and Country Planning (General Permitted Development) Order 2015.</w:t>
            </w:r>
          </w:p>
        </w:tc>
      </w:tr>
      <w:tr w:rsidR="008C75E4" w:rsidRPr="008C75E4" w14:paraId="432A22F9" w14:textId="77777777" w:rsidTr="00646630">
        <w:trPr>
          <w:trHeight w:val="864"/>
          <w:jc w:val="center"/>
        </w:trPr>
        <w:tc>
          <w:tcPr>
            <w:tcW w:w="9640" w:type="dxa"/>
            <w:gridSpan w:val="14"/>
            <w:tcBorders>
              <w:bottom w:val="single" w:sz="4" w:space="0" w:color="BFBFBF" w:themeColor="background1" w:themeShade="BF"/>
            </w:tcBorders>
            <w:tcMar>
              <w:top w:w="57" w:type="dxa"/>
              <w:bottom w:w="57" w:type="dxa"/>
            </w:tcMar>
          </w:tcPr>
          <w:p w14:paraId="29794074"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2BAA667A" w14:textId="77777777" w:rsidR="00101855" w:rsidRPr="001946E0" w:rsidRDefault="00646630" w:rsidP="00454754">
            <w:pPr>
              <w:pStyle w:val="PLANNING"/>
              <w:rPr>
                <w:rFonts w:ascii="Calibri" w:hAnsi="Calibri"/>
                <w:bCs/>
                <w:szCs w:val="22"/>
              </w:rPr>
            </w:pPr>
            <w:r>
              <w:rPr>
                <w:rFonts w:ascii="Calibri" w:hAnsi="Calibri"/>
                <w:bCs/>
                <w:szCs w:val="22"/>
              </w:rPr>
              <w:t>None</w:t>
            </w:r>
          </w:p>
        </w:tc>
      </w:tr>
      <w:tr w:rsidR="008C75E4" w:rsidRPr="008C75E4" w14:paraId="22B0D550" w14:textId="77777777" w:rsidTr="00646630">
        <w:trPr>
          <w:trHeight w:hRule="exact" w:val="144"/>
          <w:jc w:val="center"/>
        </w:trPr>
        <w:tc>
          <w:tcPr>
            <w:tcW w:w="9640" w:type="dxa"/>
            <w:gridSpan w:val="14"/>
            <w:tcBorders>
              <w:left w:val="nil"/>
              <w:right w:val="nil"/>
            </w:tcBorders>
            <w:tcMar>
              <w:top w:w="57" w:type="dxa"/>
              <w:bottom w:w="57" w:type="dxa"/>
            </w:tcMar>
          </w:tcPr>
          <w:p w14:paraId="428C7D54" w14:textId="77777777" w:rsidR="003F16AA" w:rsidRPr="00504440" w:rsidRDefault="003F16AA" w:rsidP="00504440">
            <w:pPr>
              <w:rPr>
                <w:sz w:val="4"/>
                <w:szCs w:val="4"/>
              </w:rPr>
            </w:pPr>
          </w:p>
        </w:tc>
      </w:tr>
      <w:tr w:rsidR="008C75E4" w:rsidRPr="008C75E4" w14:paraId="52320E3A" w14:textId="77777777" w:rsidTr="00646630">
        <w:trPr>
          <w:jc w:val="center"/>
        </w:trPr>
        <w:tc>
          <w:tcPr>
            <w:tcW w:w="9640" w:type="dxa"/>
            <w:gridSpan w:val="14"/>
            <w:tcMar>
              <w:top w:w="57" w:type="dxa"/>
              <w:bottom w:w="57" w:type="dxa"/>
            </w:tcMar>
          </w:tcPr>
          <w:p w14:paraId="74F410B6"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5A424F31" w14:textId="77777777" w:rsidTr="00646630">
        <w:trPr>
          <w:trHeight w:val="1152"/>
          <w:jc w:val="center"/>
        </w:trPr>
        <w:tc>
          <w:tcPr>
            <w:tcW w:w="9640" w:type="dxa"/>
            <w:gridSpan w:val="14"/>
            <w:tcMar>
              <w:top w:w="57" w:type="dxa"/>
              <w:bottom w:w="57" w:type="dxa"/>
            </w:tcMar>
          </w:tcPr>
          <w:p w14:paraId="6558A780"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151ED0F0" w14:textId="2857CC3E" w:rsidR="00646630" w:rsidRPr="00646630" w:rsidRDefault="00646630"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application site consists of two traditional stone barns located at the end of an access track approx.  175 metres from Ribchester Road. The farm house is directly opposite. To the North East is a sewage works and </w:t>
            </w:r>
            <w:r w:rsidR="0044639C">
              <w:rPr>
                <w:rFonts w:ascii="Calibri" w:hAnsi="Calibri"/>
                <w:szCs w:val="22"/>
              </w:rPr>
              <w:t>residential</w:t>
            </w:r>
            <w:r>
              <w:rPr>
                <w:rFonts w:ascii="Calibri" w:hAnsi="Calibri"/>
                <w:szCs w:val="22"/>
              </w:rPr>
              <w:t xml:space="preserve"> development on Asturian Gate. There is also a short row of semi detached dwellings on Ribchester Road approx. 125 metres to the North. </w:t>
            </w:r>
          </w:p>
        </w:tc>
      </w:tr>
      <w:tr w:rsidR="008C75E4" w:rsidRPr="008C75E4" w14:paraId="3119087B" w14:textId="77777777" w:rsidTr="000B6BED">
        <w:trPr>
          <w:trHeight w:val="642"/>
          <w:jc w:val="center"/>
        </w:trPr>
        <w:tc>
          <w:tcPr>
            <w:tcW w:w="9640" w:type="dxa"/>
            <w:gridSpan w:val="14"/>
            <w:tcMar>
              <w:top w:w="57" w:type="dxa"/>
              <w:bottom w:w="57" w:type="dxa"/>
            </w:tcMar>
          </w:tcPr>
          <w:p w14:paraId="3CE4F9FF"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37577465" w14:textId="77777777" w:rsidR="00454754" w:rsidRPr="00F012FA" w:rsidRDefault="00646630" w:rsidP="00454754">
            <w:pPr>
              <w:pStyle w:val="Header"/>
              <w:tabs>
                <w:tab w:val="clear" w:pos="4153"/>
                <w:tab w:val="clear" w:pos="8306"/>
              </w:tabs>
              <w:jc w:val="both"/>
              <w:rPr>
                <w:rFonts w:ascii="Calibri" w:hAnsi="Calibri"/>
                <w:szCs w:val="22"/>
              </w:rPr>
            </w:pPr>
            <w:r w:rsidRPr="00646630">
              <w:rPr>
                <w:rFonts w:ascii="Calibri" w:hAnsi="Calibri"/>
                <w:szCs w:val="22"/>
              </w:rPr>
              <w:t xml:space="preserve">This application relates to the conversion of </w:t>
            </w:r>
            <w:r>
              <w:rPr>
                <w:rFonts w:ascii="Calibri" w:hAnsi="Calibri"/>
                <w:szCs w:val="22"/>
              </w:rPr>
              <w:t>2</w:t>
            </w:r>
            <w:r w:rsidRPr="00646630">
              <w:rPr>
                <w:rFonts w:ascii="Calibri" w:hAnsi="Calibri"/>
                <w:szCs w:val="22"/>
              </w:rPr>
              <w:t xml:space="preserve"> agricultural building</w:t>
            </w:r>
            <w:r>
              <w:rPr>
                <w:rFonts w:ascii="Calibri" w:hAnsi="Calibri"/>
                <w:szCs w:val="22"/>
              </w:rPr>
              <w:t>s</w:t>
            </w:r>
            <w:r w:rsidRPr="00646630">
              <w:rPr>
                <w:rFonts w:ascii="Calibri" w:hAnsi="Calibri"/>
                <w:szCs w:val="22"/>
              </w:rPr>
              <w:t xml:space="preserve"> to </w:t>
            </w:r>
            <w:r>
              <w:rPr>
                <w:rFonts w:ascii="Calibri" w:hAnsi="Calibri"/>
                <w:szCs w:val="22"/>
              </w:rPr>
              <w:t>3</w:t>
            </w:r>
            <w:r w:rsidRPr="00646630">
              <w:rPr>
                <w:rFonts w:ascii="Calibri" w:hAnsi="Calibri"/>
                <w:szCs w:val="22"/>
              </w:rPr>
              <w:t xml:space="preserve"> dwelling</w:t>
            </w:r>
            <w:r>
              <w:rPr>
                <w:rFonts w:ascii="Calibri" w:hAnsi="Calibri"/>
                <w:szCs w:val="22"/>
              </w:rPr>
              <w:t>s</w:t>
            </w:r>
            <w:r w:rsidRPr="00646630">
              <w:rPr>
                <w:rFonts w:ascii="Calibri" w:hAnsi="Calibri"/>
                <w:szCs w:val="22"/>
              </w:rPr>
              <w:t xml:space="preserve"> under the provisions of Schedule 2 Part 3 Class Q of the Town and Country Planning (General Permitted Development) Order 2015. In the case of a change of use of agricultural buildings to dwellinghouses, the legislation requires the </w:t>
            </w:r>
            <w:r w:rsidRPr="00646630">
              <w:rPr>
                <w:rFonts w:ascii="Calibri" w:hAnsi="Calibri"/>
                <w:szCs w:val="22"/>
              </w:rPr>
              <w:lastRenderedPageBreak/>
              <w:t>applicant to notify the Council of an intention to utilise permitted development rights through the process known as ‘prior approval’.</w:t>
            </w:r>
          </w:p>
        </w:tc>
      </w:tr>
      <w:tr w:rsidR="008C75E4" w:rsidRPr="008C75E4" w14:paraId="5C6B7A2D" w14:textId="77777777" w:rsidTr="00646630">
        <w:trPr>
          <w:trHeight w:val="864"/>
          <w:jc w:val="center"/>
        </w:trPr>
        <w:tc>
          <w:tcPr>
            <w:tcW w:w="9640" w:type="dxa"/>
            <w:gridSpan w:val="14"/>
            <w:tcMar>
              <w:top w:w="57" w:type="dxa"/>
              <w:bottom w:w="57" w:type="dxa"/>
            </w:tcMar>
          </w:tcPr>
          <w:p w14:paraId="28671C98"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16C0B8C1" w14:textId="77777777" w:rsidR="000B6BED" w:rsidRPr="000B6BED" w:rsidRDefault="000B6BED" w:rsidP="000B6BED">
            <w:pPr>
              <w:pStyle w:val="Header"/>
              <w:contextualSpacing/>
              <w:jc w:val="both"/>
              <w:rPr>
                <w:rFonts w:ascii="Calibri" w:hAnsi="Calibri"/>
                <w:szCs w:val="22"/>
              </w:rPr>
            </w:pPr>
          </w:p>
          <w:p w14:paraId="7A7C8D2A"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This application seeks prior approval under Class Q (a) and (b) of Schedule 2 Part 3. The subsequent parts of Class Q.1 have therefore been assessed as follows:</w:t>
            </w:r>
          </w:p>
          <w:p w14:paraId="17408849" w14:textId="77777777" w:rsidR="000B6BED" w:rsidRPr="000B6BED" w:rsidRDefault="000B6BED" w:rsidP="000B6BED">
            <w:pPr>
              <w:pStyle w:val="Header"/>
              <w:contextualSpacing/>
              <w:jc w:val="both"/>
              <w:rPr>
                <w:rFonts w:ascii="Calibri" w:hAnsi="Calibri"/>
                <w:szCs w:val="22"/>
              </w:rPr>
            </w:pPr>
          </w:p>
          <w:p w14:paraId="21B90E18"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Development is not permitted by Class Q if—</w:t>
            </w:r>
          </w:p>
          <w:p w14:paraId="535E83B0"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(a) the site was not used solely for an agricultural use as part of an established agricultural unit—</w:t>
            </w:r>
          </w:p>
          <w:p w14:paraId="6BEED006"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 on 20th March 2013, or</w:t>
            </w:r>
          </w:p>
          <w:p w14:paraId="43AF7542"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(ii) in the case of a building which was in use before that date but was not in use on that date, when it was last in use, or</w:t>
            </w:r>
          </w:p>
          <w:p w14:paraId="3D324137" w14:textId="77777777" w:rsidR="000B6BED" w:rsidRDefault="000B6BED" w:rsidP="000B6BED">
            <w:pPr>
              <w:pStyle w:val="Header"/>
              <w:contextualSpacing/>
              <w:jc w:val="both"/>
              <w:rPr>
                <w:rFonts w:ascii="Calibri" w:hAnsi="Calibri"/>
                <w:i/>
                <w:szCs w:val="22"/>
              </w:rPr>
            </w:pPr>
            <w:r w:rsidRPr="000B6BED">
              <w:rPr>
                <w:rFonts w:ascii="Calibri" w:hAnsi="Calibri"/>
                <w:i/>
                <w:szCs w:val="22"/>
              </w:rPr>
              <w:t>(iii) in the case of a site which was brought into use after 20th March 2013, for a period of at least 10 years before the date development under Class Q begins;</w:t>
            </w:r>
          </w:p>
          <w:p w14:paraId="4BFCA575" w14:textId="77777777" w:rsidR="000B6BED" w:rsidRPr="000B6BED" w:rsidRDefault="000B6BED" w:rsidP="000B6BED">
            <w:pPr>
              <w:pStyle w:val="Header"/>
              <w:contextualSpacing/>
              <w:jc w:val="both"/>
              <w:rPr>
                <w:rFonts w:ascii="Calibri" w:hAnsi="Calibri"/>
                <w:i/>
                <w:szCs w:val="22"/>
              </w:rPr>
            </w:pPr>
          </w:p>
          <w:p w14:paraId="36646879"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The application states that the agricultural building was last used for agricultural purposes. There is no evidence to contradict or disbelieve this and the requirements are therefore satisfied.</w:t>
            </w:r>
          </w:p>
          <w:p w14:paraId="4508C42C" w14:textId="77777777" w:rsidR="000B6BED" w:rsidRPr="000B6BED" w:rsidRDefault="000B6BED" w:rsidP="000B6BED">
            <w:pPr>
              <w:pStyle w:val="Header"/>
              <w:contextualSpacing/>
              <w:jc w:val="both"/>
              <w:rPr>
                <w:rFonts w:ascii="Calibri" w:hAnsi="Calibri"/>
                <w:szCs w:val="22"/>
              </w:rPr>
            </w:pPr>
          </w:p>
          <w:p w14:paraId="7C5A9A22"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(b) in the case of—</w:t>
            </w:r>
          </w:p>
          <w:p w14:paraId="3AD7F580"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 a larger dwellinghouse, within an established agricultural unit—</w:t>
            </w:r>
          </w:p>
          <w:p w14:paraId="09F1FFC0"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(aa) the cumulative number of separate larger dwellinghouses developed under Class Q exceeds 3; or</w:t>
            </w:r>
          </w:p>
          <w:p w14:paraId="23ED30D5"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(bb) the cumulative floor space of the existing building or buildings changing use to a larger dwellinghouse or dwellinghouses under Class Q exceeds 465 square metres;</w:t>
            </w:r>
          </w:p>
          <w:p w14:paraId="5D772B2D"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(c) in the case of—</w:t>
            </w:r>
          </w:p>
          <w:p w14:paraId="3FC04858"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 a smaller dwellinghouse, within an established agricultural unit—</w:t>
            </w:r>
          </w:p>
          <w:p w14:paraId="4EA4407E"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(aa) the cumulative number of separate smaller dwellinghouses developed under Class Q exceeds 5; or</w:t>
            </w:r>
          </w:p>
          <w:p w14:paraId="0E4B0A87" w14:textId="77777777" w:rsidR="000B6BED" w:rsidRDefault="000B6BED" w:rsidP="000B6BED">
            <w:pPr>
              <w:pStyle w:val="Header"/>
              <w:contextualSpacing/>
              <w:jc w:val="both"/>
              <w:rPr>
                <w:rFonts w:ascii="Calibri" w:hAnsi="Calibri"/>
                <w:i/>
                <w:szCs w:val="22"/>
              </w:rPr>
            </w:pPr>
            <w:r w:rsidRPr="000B6BED">
              <w:rPr>
                <w:rFonts w:ascii="Calibri" w:hAnsi="Calibri"/>
                <w:i/>
                <w:szCs w:val="22"/>
              </w:rPr>
              <w:t>(bb) the floor space of any one separate smaller dwellinghouse having a use falling within Class C3 (dwellinghouses) of the Schedule to the Use Classes Order exceeds 100 square metres;</w:t>
            </w:r>
          </w:p>
          <w:p w14:paraId="6FDF8DF8" w14:textId="77777777" w:rsidR="000B6BED" w:rsidRPr="000B6BED" w:rsidRDefault="000B6BED" w:rsidP="000B6BED">
            <w:pPr>
              <w:pStyle w:val="Header"/>
              <w:contextualSpacing/>
              <w:jc w:val="both"/>
              <w:rPr>
                <w:rFonts w:ascii="Calibri" w:hAnsi="Calibri"/>
                <w:i/>
                <w:szCs w:val="22"/>
              </w:rPr>
            </w:pPr>
          </w:p>
          <w:p w14:paraId="6E565462"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The dwellinghouse</w:t>
            </w:r>
            <w:r>
              <w:rPr>
                <w:rFonts w:ascii="Calibri" w:hAnsi="Calibri"/>
                <w:szCs w:val="22"/>
              </w:rPr>
              <w:t>s</w:t>
            </w:r>
            <w:r w:rsidRPr="000B6BED">
              <w:rPr>
                <w:rFonts w:ascii="Calibri" w:hAnsi="Calibri"/>
                <w:szCs w:val="22"/>
              </w:rPr>
              <w:t xml:space="preserve"> proposed to be developed under Class Q ha</w:t>
            </w:r>
            <w:r>
              <w:rPr>
                <w:rFonts w:ascii="Calibri" w:hAnsi="Calibri"/>
                <w:szCs w:val="22"/>
              </w:rPr>
              <w:t>ve</w:t>
            </w:r>
            <w:r w:rsidRPr="000B6BED">
              <w:rPr>
                <w:rFonts w:ascii="Calibri" w:hAnsi="Calibri"/>
                <w:szCs w:val="22"/>
              </w:rPr>
              <w:t xml:space="preserve"> a floor space of more than 100 square metres </w:t>
            </w:r>
            <w:r>
              <w:rPr>
                <w:rFonts w:ascii="Calibri" w:hAnsi="Calibri"/>
                <w:szCs w:val="22"/>
              </w:rPr>
              <w:t xml:space="preserve">but the cumulative floor space does </w:t>
            </w:r>
            <w:r w:rsidRPr="000B6BED">
              <w:rPr>
                <w:rFonts w:ascii="Calibri" w:hAnsi="Calibri"/>
                <w:szCs w:val="22"/>
              </w:rPr>
              <w:t>not exceed 465 square metres</w:t>
            </w:r>
            <w:r>
              <w:rPr>
                <w:rFonts w:ascii="Calibri" w:hAnsi="Calibri"/>
                <w:szCs w:val="22"/>
              </w:rPr>
              <w:t xml:space="preserve">. </w:t>
            </w:r>
            <w:r w:rsidRPr="000B6BED">
              <w:rPr>
                <w:rFonts w:ascii="Calibri" w:hAnsi="Calibri"/>
                <w:szCs w:val="22"/>
              </w:rPr>
              <w:t xml:space="preserve">As such </w:t>
            </w:r>
            <w:r>
              <w:rPr>
                <w:rFonts w:ascii="Calibri" w:hAnsi="Calibri"/>
                <w:szCs w:val="22"/>
              </w:rPr>
              <w:t>they are</w:t>
            </w:r>
            <w:r w:rsidRPr="000B6BED">
              <w:rPr>
                <w:rFonts w:ascii="Calibri" w:hAnsi="Calibri"/>
                <w:szCs w:val="22"/>
              </w:rPr>
              <w:t xml:space="preserve"> classed as a ‘larger dwellinghouse’ as set out in paragraph Q.3. of Class Q. The number of larger dwellinghouses to be created is 3</w:t>
            </w:r>
            <w:r>
              <w:rPr>
                <w:rFonts w:ascii="Calibri" w:hAnsi="Calibri"/>
                <w:szCs w:val="22"/>
              </w:rPr>
              <w:t xml:space="preserve">. Therefore the requirements are satisfied. </w:t>
            </w:r>
          </w:p>
          <w:p w14:paraId="00F02605" w14:textId="77777777" w:rsidR="000B6BED" w:rsidRPr="000B6BED" w:rsidRDefault="000B6BED" w:rsidP="000B6BED">
            <w:pPr>
              <w:pStyle w:val="Header"/>
              <w:contextualSpacing/>
              <w:jc w:val="both"/>
              <w:rPr>
                <w:rFonts w:ascii="Calibri" w:hAnsi="Calibri"/>
                <w:szCs w:val="22"/>
              </w:rPr>
            </w:pPr>
          </w:p>
          <w:p w14:paraId="17EF4F62"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(d) the development under Class Q (together with any previous development under Class Q) within an established agricultural unit would result in either or both of the following—</w:t>
            </w:r>
          </w:p>
          <w:p w14:paraId="52C5139B"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 a larger dwellinghouse or larger dwellinghouses having more than 465 square metres of floor space having a use falling within Class C3 (dwellinghouses) of the Schedule to the Use Classes Order;</w:t>
            </w:r>
          </w:p>
          <w:p w14:paraId="6D8DFEB4" w14:textId="77777777" w:rsidR="000B6BED" w:rsidRDefault="000B6BED" w:rsidP="000B6BED">
            <w:pPr>
              <w:pStyle w:val="Header"/>
              <w:contextualSpacing/>
              <w:jc w:val="both"/>
              <w:rPr>
                <w:rFonts w:ascii="Calibri" w:hAnsi="Calibri"/>
                <w:i/>
                <w:szCs w:val="22"/>
              </w:rPr>
            </w:pPr>
            <w:r w:rsidRPr="000B6BED">
              <w:rPr>
                <w:rFonts w:ascii="Calibri" w:hAnsi="Calibri"/>
                <w:i/>
                <w:szCs w:val="22"/>
              </w:rPr>
              <w:t>(ii) the cumulative number of separate dwellinghouses having a use falling within Class C3 (dwellinghouses) of the Schedule to the Use Classes Order exceeding 5;</w:t>
            </w:r>
          </w:p>
          <w:p w14:paraId="7B713C5E" w14:textId="77777777" w:rsidR="000B6BED" w:rsidRPr="000B6BED" w:rsidRDefault="000B6BED" w:rsidP="000B6BED">
            <w:pPr>
              <w:pStyle w:val="Header"/>
              <w:contextualSpacing/>
              <w:jc w:val="both"/>
              <w:rPr>
                <w:rFonts w:ascii="Calibri" w:hAnsi="Calibri"/>
                <w:i/>
                <w:szCs w:val="22"/>
              </w:rPr>
            </w:pPr>
          </w:p>
          <w:p w14:paraId="4225E174"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 xml:space="preserve">The </w:t>
            </w:r>
            <w:r>
              <w:rPr>
                <w:rFonts w:ascii="Calibri" w:hAnsi="Calibri"/>
                <w:szCs w:val="22"/>
              </w:rPr>
              <w:t xml:space="preserve">cumulative </w:t>
            </w:r>
            <w:r w:rsidRPr="000B6BED">
              <w:rPr>
                <w:rFonts w:ascii="Calibri" w:hAnsi="Calibri"/>
                <w:szCs w:val="22"/>
              </w:rPr>
              <w:t>floor space of the proposed larger dwellinghouse</w:t>
            </w:r>
            <w:r>
              <w:rPr>
                <w:rFonts w:ascii="Calibri" w:hAnsi="Calibri"/>
                <w:szCs w:val="22"/>
              </w:rPr>
              <w:t>s</w:t>
            </w:r>
            <w:r w:rsidRPr="000B6BED">
              <w:rPr>
                <w:rFonts w:ascii="Calibri" w:hAnsi="Calibri"/>
                <w:szCs w:val="22"/>
              </w:rPr>
              <w:t xml:space="preserve"> would be </w:t>
            </w:r>
            <w:r>
              <w:rPr>
                <w:rFonts w:ascii="Calibri" w:hAnsi="Calibri"/>
                <w:szCs w:val="22"/>
              </w:rPr>
              <w:t>approx. 430</w:t>
            </w:r>
            <w:r w:rsidRPr="000B6BED">
              <w:rPr>
                <w:rFonts w:ascii="Calibri" w:hAnsi="Calibri"/>
                <w:szCs w:val="22"/>
              </w:rPr>
              <w:t>sqm, within the threshold limit. The planning history for the established agricultural unit has been checked and on the date of writing the LPA had no record of any other Class Q applications on the agricultural unit.</w:t>
            </w:r>
          </w:p>
          <w:p w14:paraId="4246E9FF" w14:textId="77777777" w:rsidR="000B6BED" w:rsidRPr="000B6BED" w:rsidRDefault="000B6BED" w:rsidP="000B6BED">
            <w:pPr>
              <w:pStyle w:val="Header"/>
              <w:contextualSpacing/>
              <w:jc w:val="both"/>
              <w:rPr>
                <w:rFonts w:ascii="Calibri" w:hAnsi="Calibri"/>
                <w:szCs w:val="22"/>
              </w:rPr>
            </w:pPr>
          </w:p>
          <w:p w14:paraId="358BA0B9"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(e) the site is occupied under an agricultural tenancy, unless the express consent of both the landlord and the tenant has been obtained;</w:t>
            </w:r>
          </w:p>
          <w:p w14:paraId="48A19ED1"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(f) less than 1 year before the date development begins—</w:t>
            </w:r>
          </w:p>
          <w:p w14:paraId="7B5687F2"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 an agricultural tenancy over the site has been terminated, and</w:t>
            </w:r>
          </w:p>
          <w:p w14:paraId="41AA4ED1"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(ii) the termination was for the purpose of carrying out development under Class Q, unless both the landlord and the tenant have agreed in writing that the site is no longer required for agricultural use;</w:t>
            </w:r>
          </w:p>
          <w:p w14:paraId="3D9E842A"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The application states that the building and the area surrounding it is owned by the applicant and are not subject to any tenancy agreement. There is no evidence to contradict or disbelieve this and the requirements are therefore satisfied.</w:t>
            </w:r>
          </w:p>
          <w:p w14:paraId="054109BE" w14:textId="77777777" w:rsidR="000B6BED" w:rsidRPr="000B6BED" w:rsidRDefault="000B6BED" w:rsidP="000B6BED">
            <w:pPr>
              <w:pStyle w:val="Header"/>
              <w:contextualSpacing/>
              <w:jc w:val="both"/>
              <w:rPr>
                <w:rFonts w:ascii="Calibri" w:hAnsi="Calibri"/>
                <w:i/>
                <w:szCs w:val="22"/>
              </w:rPr>
            </w:pPr>
          </w:p>
          <w:p w14:paraId="2B1F6044"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(g) development under Class A(a) or Class B(a) of Part 6 of this Schedule (agricultural buildings and operations) has been carried out on the established agricultural unit—</w:t>
            </w:r>
          </w:p>
          <w:p w14:paraId="6DBCEAEA"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 since 20th March 2013; or</w:t>
            </w:r>
          </w:p>
          <w:p w14:paraId="038D0786" w14:textId="77777777" w:rsidR="000B6BED" w:rsidRDefault="000B6BED" w:rsidP="000B6BED">
            <w:pPr>
              <w:pStyle w:val="Header"/>
              <w:contextualSpacing/>
              <w:jc w:val="both"/>
              <w:rPr>
                <w:rFonts w:ascii="Calibri" w:hAnsi="Calibri"/>
                <w:i/>
                <w:szCs w:val="22"/>
              </w:rPr>
            </w:pPr>
            <w:r w:rsidRPr="000B6BED">
              <w:rPr>
                <w:rFonts w:ascii="Calibri" w:hAnsi="Calibri"/>
                <w:i/>
                <w:szCs w:val="22"/>
              </w:rPr>
              <w:t>(ii) where development under Class Q begins after 20th March 2023, during the period which is 10 years before the date development under Class Q begins;</w:t>
            </w:r>
          </w:p>
          <w:p w14:paraId="5466648A" w14:textId="77777777" w:rsidR="000B6BED" w:rsidRPr="000B6BED" w:rsidRDefault="000B6BED" w:rsidP="000B6BED">
            <w:pPr>
              <w:pStyle w:val="Header"/>
              <w:contextualSpacing/>
              <w:jc w:val="both"/>
              <w:rPr>
                <w:rFonts w:ascii="Calibri" w:hAnsi="Calibri"/>
                <w:i/>
                <w:szCs w:val="22"/>
              </w:rPr>
            </w:pPr>
          </w:p>
          <w:p w14:paraId="772BD932"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A planning history search has been undertaken for all of the land within the established agricultural unit and it is apparent that no applications under Part 6, Class A or B have been submitted to the LPA or approved by the LPA since the 20th March 2013.</w:t>
            </w:r>
            <w:r>
              <w:rPr>
                <w:rFonts w:ascii="Calibri" w:hAnsi="Calibri"/>
                <w:szCs w:val="22"/>
              </w:rPr>
              <w:t xml:space="preserve"> The application states that the agricultural activities at the site will cease if the development goes ahead. </w:t>
            </w:r>
          </w:p>
          <w:p w14:paraId="683855E9" w14:textId="77777777" w:rsidR="000B6BED" w:rsidRPr="000B6BED" w:rsidRDefault="000B6BED" w:rsidP="000B6BED">
            <w:pPr>
              <w:pStyle w:val="Header"/>
              <w:contextualSpacing/>
              <w:jc w:val="both"/>
              <w:rPr>
                <w:rFonts w:ascii="Calibri" w:hAnsi="Calibri"/>
                <w:szCs w:val="22"/>
              </w:rPr>
            </w:pPr>
          </w:p>
          <w:p w14:paraId="5444CA7F" w14:textId="77777777" w:rsidR="000B6BED" w:rsidRDefault="000B6BED" w:rsidP="000B6BED">
            <w:pPr>
              <w:pStyle w:val="Header"/>
              <w:contextualSpacing/>
              <w:jc w:val="both"/>
              <w:rPr>
                <w:rFonts w:ascii="Calibri" w:hAnsi="Calibri"/>
                <w:i/>
                <w:szCs w:val="22"/>
              </w:rPr>
            </w:pPr>
            <w:r w:rsidRPr="000B6BED">
              <w:rPr>
                <w:rFonts w:ascii="Calibri" w:hAnsi="Calibri"/>
                <w:i/>
                <w:szCs w:val="22"/>
              </w:rPr>
              <w:t>(h) the development would result in the external dimensions of the building extending beyond the external dimensions of the existing building at any given point;</w:t>
            </w:r>
          </w:p>
          <w:p w14:paraId="6E1957D4" w14:textId="77777777" w:rsidR="000B6BED" w:rsidRPr="000B6BED" w:rsidRDefault="000B6BED" w:rsidP="000B6BED">
            <w:pPr>
              <w:pStyle w:val="Header"/>
              <w:contextualSpacing/>
              <w:jc w:val="both"/>
              <w:rPr>
                <w:rFonts w:ascii="Calibri" w:hAnsi="Calibri"/>
                <w:i/>
                <w:szCs w:val="22"/>
              </w:rPr>
            </w:pPr>
          </w:p>
          <w:p w14:paraId="5D4B5D38"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 xml:space="preserve">The submitted plans show the external dimensions of the building would not change. </w:t>
            </w:r>
          </w:p>
          <w:p w14:paraId="2F441B44" w14:textId="77777777" w:rsidR="000B6BED" w:rsidRPr="000B6BED" w:rsidRDefault="000B6BED" w:rsidP="000B6BED">
            <w:pPr>
              <w:pStyle w:val="Header"/>
              <w:contextualSpacing/>
              <w:jc w:val="both"/>
              <w:rPr>
                <w:rFonts w:ascii="Calibri" w:hAnsi="Calibri"/>
                <w:szCs w:val="22"/>
              </w:rPr>
            </w:pPr>
          </w:p>
          <w:p w14:paraId="62D6C516"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 the development under Class Q(b) would consist of building operations other than—</w:t>
            </w:r>
          </w:p>
          <w:p w14:paraId="6453BE79"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 the installation or replacement of—</w:t>
            </w:r>
          </w:p>
          <w:p w14:paraId="7BBF0DDB"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(aa) windows, doors, roofs, or exterior walls, or</w:t>
            </w:r>
          </w:p>
          <w:p w14:paraId="6B838BF5"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(bb) water, drainage, electricity, gas or other services, to the extent reasonably necessary for the building to function as a dwellinghouse; and</w:t>
            </w:r>
          </w:p>
          <w:p w14:paraId="309D2A85" w14:textId="77777777" w:rsidR="000B6BED" w:rsidRDefault="000B6BED" w:rsidP="000B6BED">
            <w:pPr>
              <w:pStyle w:val="Header"/>
              <w:contextualSpacing/>
              <w:jc w:val="both"/>
              <w:rPr>
                <w:rFonts w:ascii="Calibri" w:hAnsi="Calibri"/>
                <w:i/>
                <w:szCs w:val="22"/>
              </w:rPr>
            </w:pPr>
            <w:r w:rsidRPr="000B6BED">
              <w:rPr>
                <w:rFonts w:ascii="Calibri" w:hAnsi="Calibri"/>
                <w:i/>
                <w:szCs w:val="22"/>
              </w:rPr>
              <w:t>(ii) partial demolition to the extent reasonably necessary to carry out building operations allowed by paragraph Q.1(i)(i);</w:t>
            </w:r>
          </w:p>
          <w:p w14:paraId="1874F52E" w14:textId="77777777" w:rsidR="000B6BED" w:rsidRPr="000B6BED" w:rsidRDefault="000B6BED" w:rsidP="000B6BED">
            <w:pPr>
              <w:pStyle w:val="Header"/>
              <w:contextualSpacing/>
              <w:jc w:val="both"/>
              <w:rPr>
                <w:rFonts w:ascii="Calibri" w:hAnsi="Calibri"/>
                <w:i/>
                <w:szCs w:val="22"/>
              </w:rPr>
            </w:pPr>
          </w:p>
          <w:p w14:paraId="59EE966A"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Planning Practice Guidance (Paragraph: 105 Reference ID: 13-105-20180615) advises</w:t>
            </w:r>
          </w:p>
          <w:p w14:paraId="310D3CE5" w14:textId="77777777" w:rsidR="000B6BED" w:rsidRPr="000B6BED" w:rsidRDefault="000B6BED" w:rsidP="000B6BED">
            <w:pPr>
              <w:pStyle w:val="Header"/>
              <w:contextualSpacing/>
              <w:jc w:val="both"/>
              <w:rPr>
                <w:rFonts w:ascii="Calibri" w:hAnsi="Calibri"/>
                <w:szCs w:val="22"/>
              </w:rPr>
            </w:pPr>
          </w:p>
          <w:p w14:paraId="63E5F59B"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“that building works are allowed under the right permitting agricultural buildings to change to residential use. The right (Class Q) permits building operations which are reasonably necessary to convert the building, which may include those which would affect the external appearance of the building and would otherwise require planning permission. This includes the installation or replacement of windows, doors, roofs, exterior walls, water, drainage, electricity, gas or other services to the extent reasonably necessary for the building to function as a dwelling house; and partial demolition to the extent reasonably necessary to carry out these building operations. It is not the intention of the permitted development right to allow rebuilding work which would go beyond what is reasonably necessary for the conversion of the building to residential use. Therefore it is only where the existing building is already suitable for conversion to residential use that the building would be considered to have the permitted development right”.</w:t>
            </w:r>
          </w:p>
          <w:p w14:paraId="080C220A" w14:textId="77777777" w:rsidR="000B6BED" w:rsidRPr="000B6BED" w:rsidRDefault="000B6BED" w:rsidP="000B6BED">
            <w:pPr>
              <w:pStyle w:val="Header"/>
              <w:contextualSpacing/>
              <w:jc w:val="both"/>
              <w:rPr>
                <w:rFonts w:ascii="Calibri" w:hAnsi="Calibri"/>
                <w:szCs w:val="22"/>
              </w:rPr>
            </w:pPr>
          </w:p>
          <w:p w14:paraId="54828E3B"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It is noted that paragraph 105 above was revised on 15 June 2018 resulting in the removal of the earlier assertion that it is not the intention of the permitted development right to include the construction of new structural elements of the building and the guidance no longer asserts that it is only where the existing building is structurally strong enough to take the loading which comes from the external works that the building would be considered to have the permitted development right.</w:t>
            </w:r>
          </w:p>
          <w:p w14:paraId="2F975AE8" w14:textId="77777777" w:rsidR="000B6BED" w:rsidRPr="000B6BED" w:rsidRDefault="000B6BED" w:rsidP="000B6BED">
            <w:pPr>
              <w:pStyle w:val="Header"/>
              <w:contextualSpacing/>
              <w:jc w:val="both"/>
              <w:rPr>
                <w:rFonts w:ascii="Calibri" w:hAnsi="Calibri"/>
                <w:szCs w:val="22"/>
              </w:rPr>
            </w:pPr>
          </w:p>
          <w:p w14:paraId="5C873837"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 xml:space="preserve">Paragraph 105 still states, however, that it is not the intention of the permitted development right to allow rebuilding work which would go beyond what is reasonably necessary for the conversion of the building to residential use, so that it is only where the existing building is already suitable for conversion to residential use that the building would be considered to have the permitted development right. This is derived from the basic principle that the PD right is for the conversion of the building to residential use, and not for its substantial reconstruction. </w:t>
            </w:r>
          </w:p>
          <w:p w14:paraId="4A849030" w14:textId="77777777" w:rsidR="000B6BED" w:rsidRPr="000B6BED" w:rsidRDefault="000B6BED" w:rsidP="000B6BED">
            <w:pPr>
              <w:pStyle w:val="Header"/>
              <w:contextualSpacing/>
              <w:jc w:val="both"/>
              <w:rPr>
                <w:rFonts w:ascii="Calibri" w:hAnsi="Calibri"/>
                <w:szCs w:val="22"/>
              </w:rPr>
            </w:pPr>
          </w:p>
          <w:p w14:paraId="5A9C6517"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 xml:space="preserve">It does appear that the building is structurally sound for conversion to residential use and would not require major structural interventions that go beyond what is reasonably necessary. </w:t>
            </w:r>
            <w:r>
              <w:rPr>
                <w:rFonts w:ascii="Calibri" w:hAnsi="Calibri"/>
                <w:szCs w:val="22"/>
              </w:rPr>
              <w:t xml:space="preserve">No works are proposed other than those listed in Q.1 (i) </w:t>
            </w:r>
            <w:r w:rsidRPr="000B6BED">
              <w:rPr>
                <w:rFonts w:ascii="Calibri" w:hAnsi="Calibri"/>
                <w:szCs w:val="22"/>
              </w:rPr>
              <w:t>Thus, the proposed development would accord with Q.1 (i).</w:t>
            </w:r>
          </w:p>
          <w:p w14:paraId="3CDF1386" w14:textId="77777777" w:rsidR="000B6BED" w:rsidRPr="000B6BED" w:rsidRDefault="000B6BED" w:rsidP="000B6BED">
            <w:pPr>
              <w:pStyle w:val="Header"/>
              <w:contextualSpacing/>
              <w:jc w:val="both"/>
              <w:rPr>
                <w:rFonts w:ascii="Calibri" w:hAnsi="Calibri"/>
                <w:szCs w:val="22"/>
              </w:rPr>
            </w:pPr>
          </w:p>
          <w:p w14:paraId="54FCD24C"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lastRenderedPageBreak/>
              <w:t>(j) the site is on article 2(3) land;</w:t>
            </w:r>
          </w:p>
          <w:p w14:paraId="021C868E"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(a) an area designated as a conservation area under section 69 of the Planning (Listed Buildings and Conservation Areas) Act 1990 (designation of the conservation areas);</w:t>
            </w:r>
          </w:p>
          <w:p w14:paraId="1B629A01"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(b) an area of outstanding natural beauty;</w:t>
            </w:r>
          </w:p>
          <w:p w14:paraId="30BAD67C"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(c) an area specified by the Secretary of State for the purposes of section 41 (3) of the Wildlife and Countryside Act 1981 (enhancement and protection of the natural beauty and amenity of the countryside);</w:t>
            </w:r>
          </w:p>
          <w:p w14:paraId="0AC30D6B"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(d) the Broads;</w:t>
            </w:r>
          </w:p>
          <w:p w14:paraId="77E68873"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(e) a National Park; or</w:t>
            </w:r>
          </w:p>
          <w:p w14:paraId="620DA806"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(f) a World Heritage Site</w:t>
            </w:r>
          </w:p>
          <w:p w14:paraId="40F3DEF2" w14:textId="77777777" w:rsidR="000B6BED" w:rsidRPr="000B6BED" w:rsidRDefault="000B6BED" w:rsidP="000B6BED">
            <w:pPr>
              <w:pStyle w:val="Header"/>
              <w:contextualSpacing/>
              <w:jc w:val="both"/>
              <w:rPr>
                <w:rFonts w:ascii="Calibri" w:hAnsi="Calibri"/>
                <w:szCs w:val="22"/>
              </w:rPr>
            </w:pPr>
          </w:p>
          <w:p w14:paraId="66BCD1EA"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The agricultural building is located within an area of open countryside and is not included within any of the above.</w:t>
            </w:r>
          </w:p>
          <w:p w14:paraId="74CDDC57" w14:textId="77777777" w:rsidR="000B6BED" w:rsidRPr="000B6BED" w:rsidRDefault="000B6BED" w:rsidP="000B6BED">
            <w:pPr>
              <w:pStyle w:val="Header"/>
              <w:contextualSpacing/>
              <w:jc w:val="both"/>
              <w:rPr>
                <w:rFonts w:ascii="Calibri" w:hAnsi="Calibri"/>
                <w:szCs w:val="22"/>
              </w:rPr>
            </w:pPr>
          </w:p>
          <w:p w14:paraId="188AE9BF"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(k) the site is, or forms part of—</w:t>
            </w:r>
          </w:p>
          <w:p w14:paraId="24360CD8"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 a site of special scientific interest;</w:t>
            </w:r>
          </w:p>
          <w:p w14:paraId="489786BF"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(ii) a safety hazard area;</w:t>
            </w:r>
          </w:p>
          <w:p w14:paraId="781923C7"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(iii) a military explosives storage area;</w:t>
            </w:r>
          </w:p>
          <w:p w14:paraId="777E73B0" w14:textId="77777777" w:rsidR="000B6BED" w:rsidRPr="000B6BED" w:rsidRDefault="000B6BED" w:rsidP="000B6BED">
            <w:pPr>
              <w:pStyle w:val="Header"/>
              <w:contextualSpacing/>
              <w:jc w:val="both"/>
              <w:rPr>
                <w:rFonts w:ascii="Calibri" w:hAnsi="Calibri"/>
                <w:szCs w:val="22"/>
              </w:rPr>
            </w:pPr>
          </w:p>
          <w:p w14:paraId="49292471"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 xml:space="preserve">The building </w:t>
            </w:r>
            <w:r>
              <w:rPr>
                <w:rFonts w:ascii="Calibri" w:hAnsi="Calibri"/>
                <w:szCs w:val="22"/>
              </w:rPr>
              <w:t xml:space="preserve">is not and </w:t>
            </w:r>
            <w:r w:rsidRPr="000B6BED">
              <w:rPr>
                <w:rFonts w:ascii="Calibri" w:hAnsi="Calibri"/>
                <w:szCs w:val="22"/>
              </w:rPr>
              <w:t>does not form part of</w:t>
            </w:r>
            <w:r>
              <w:rPr>
                <w:rFonts w:ascii="Calibri" w:hAnsi="Calibri"/>
                <w:szCs w:val="22"/>
              </w:rPr>
              <w:t>,</w:t>
            </w:r>
            <w:r w:rsidRPr="000B6BED">
              <w:rPr>
                <w:rFonts w:ascii="Calibri" w:hAnsi="Calibri"/>
                <w:szCs w:val="22"/>
              </w:rPr>
              <w:t xml:space="preserve"> any of the above.</w:t>
            </w:r>
          </w:p>
          <w:p w14:paraId="4A67E67B" w14:textId="77777777" w:rsidR="000B6BED" w:rsidRPr="000B6BED" w:rsidRDefault="000B6BED" w:rsidP="000B6BED">
            <w:pPr>
              <w:pStyle w:val="Header"/>
              <w:contextualSpacing/>
              <w:jc w:val="both"/>
              <w:rPr>
                <w:rFonts w:ascii="Calibri" w:hAnsi="Calibri"/>
                <w:szCs w:val="22"/>
              </w:rPr>
            </w:pPr>
          </w:p>
          <w:p w14:paraId="0F01D7F3" w14:textId="77777777" w:rsidR="000B6BED" w:rsidRDefault="000B6BED" w:rsidP="000B6BED">
            <w:pPr>
              <w:pStyle w:val="Header"/>
              <w:contextualSpacing/>
              <w:jc w:val="both"/>
              <w:rPr>
                <w:rFonts w:ascii="Calibri" w:hAnsi="Calibri"/>
                <w:i/>
                <w:szCs w:val="22"/>
              </w:rPr>
            </w:pPr>
            <w:r w:rsidRPr="000B6BED">
              <w:rPr>
                <w:rFonts w:ascii="Calibri" w:hAnsi="Calibri"/>
                <w:i/>
                <w:szCs w:val="22"/>
              </w:rPr>
              <w:t>(l) the site is, or contains, a scheduled monument; or</w:t>
            </w:r>
          </w:p>
          <w:p w14:paraId="54C641E5" w14:textId="77777777" w:rsidR="000B6BED" w:rsidRPr="000B6BED" w:rsidRDefault="000B6BED" w:rsidP="000B6BED">
            <w:pPr>
              <w:pStyle w:val="Header"/>
              <w:contextualSpacing/>
              <w:jc w:val="both"/>
              <w:rPr>
                <w:rFonts w:ascii="Calibri" w:hAnsi="Calibri"/>
                <w:i/>
                <w:szCs w:val="22"/>
              </w:rPr>
            </w:pPr>
          </w:p>
          <w:p w14:paraId="54DAC602"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The agricultural building and its curtilage</w:t>
            </w:r>
            <w:r>
              <w:rPr>
                <w:rFonts w:ascii="Calibri" w:hAnsi="Calibri"/>
                <w:szCs w:val="22"/>
              </w:rPr>
              <w:t xml:space="preserve"> is not and</w:t>
            </w:r>
            <w:r w:rsidRPr="000B6BED">
              <w:rPr>
                <w:rFonts w:ascii="Calibri" w:hAnsi="Calibri"/>
                <w:szCs w:val="22"/>
              </w:rPr>
              <w:t xml:space="preserve"> do</w:t>
            </w:r>
            <w:r>
              <w:rPr>
                <w:rFonts w:ascii="Calibri" w:hAnsi="Calibri"/>
                <w:szCs w:val="22"/>
              </w:rPr>
              <w:t>es</w:t>
            </w:r>
            <w:r w:rsidRPr="000B6BED">
              <w:rPr>
                <w:rFonts w:ascii="Calibri" w:hAnsi="Calibri"/>
                <w:szCs w:val="22"/>
              </w:rPr>
              <w:t xml:space="preserve"> not</w:t>
            </w:r>
            <w:r>
              <w:rPr>
                <w:rFonts w:ascii="Calibri" w:hAnsi="Calibri"/>
                <w:szCs w:val="22"/>
              </w:rPr>
              <w:t xml:space="preserve"> </w:t>
            </w:r>
            <w:r w:rsidRPr="000B6BED">
              <w:rPr>
                <w:rFonts w:ascii="Calibri" w:hAnsi="Calibri"/>
                <w:szCs w:val="22"/>
              </w:rPr>
              <w:t>contain a scheduled monument</w:t>
            </w:r>
          </w:p>
          <w:p w14:paraId="67EB1011" w14:textId="77777777" w:rsidR="000B6BED" w:rsidRPr="000B6BED" w:rsidRDefault="000B6BED" w:rsidP="000B6BED">
            <w:pPr>
              <w:pStyle w:val="Header"/>
              <w:contextualSpacing/>
              <w:jc w:val="both"/>
              <w:rPr>
                <w:rFonts w:ascii="Calibri" w:hAnsi="Calibri"/>
                <w:szCs w:val="22"/>
              </w:rPr>
            </w:pPr>
          </w:p>
          <w:p w14:paraId="3FD4581C"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(m) the building is a listed building.</w:t>
            </w:r>
          </w:p>
          <w:p w14:paraId="5044EE48" w14:textId="77777777" w:rsidR="000B6BED" w:rsidRPr="000B6BED" w:rsidRDefault="000B6BED" w:rsidP="000B6BED">
            <w:pPr>
              <w:pStyle w:val="Header"/>
              <w:contextualSpacing/>
              <w:jc w:val="both"/>
              <w:rPr>
                <w:rFonts w:ascii="Calibri" w:hAnsi="Calibri"/>
                <w:szCs w:val="22"/>
              </w:rPr>
            </w:pPr>
          </w:p>
          <w:p w14:paraId="7F761E43"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 xml:space="preserve">The agricultural building </w:t>
            </w:r>
            <w:r>
              <w:rPr>
                <w:rFonts w:ascii="Calibri" w:hAnsi="Calibri"/>
                <w:szCs w:val="22"/>
              </w:rPr>
              <w:t xml:space="preserve">is not listed </w:t>
            </w:r>
            <w:r w:rsidRPr="000B6BED">
              <w:rPr>
                <w:rFonts w:ascii="Calibri" w:hAnsi="Calibri"/>
                <w:szCs w:val="22"/>
              </w:rPr>
              <w:t>and its curtilage do</w:t>
            </w:r>
            <w:r>
              <w:rPr>
                <w:rFonts w:ascii="Calibri" w:hAnsi="Calibri"/>
                <w:szCs w:val="22"/>
              </w:rPr>
              <w:t xml:space="preserve">es </w:t>
            </w:r>
            <w:r w:rsidRPr="000B6BED">
              <w:rPr>
                <w:rFonts w:ascii="Calibri" w:hAnsi="Calibri"/>
                <w:szCs w:val="22"/>
              </w:rPr>
              <w:t>not contain a listed building</w:t>
            </w:r>
          </w:p>
          <w:p w14:paraId="7173F5EF" w14:textId="77777777" w:rsidR="000B6BED" w:rsidRPr="000B6BED" w:rsidRDefault="000B6BED" w:rsidP="000B6BED">
            <w:pPr>
              <w:pStyle w:val="Header"/>
              <w:contextualSpacing/>
              <w:jc w:val="both"/>
              <w:rPr>
                <w:rFonts w:ascii="Calibri" w:hAnsi="Calibri"/>
                <w:szCs w:val="22"/>
              </w:rPr>
            </w:pPr>
          </w:p>
          <w:p w14:paraId="08AECCEF"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To satisfy the requirements of Class Q (a) and (b) the Local Planning Authority’s approval is required in respect of the following conditions listed in Schedule 2 Part 3 Q2.</w:t>
            </w:r>
          </w:p>
          <w:p w14:paraId="34F8B116" w14:textId="77777777" w:rsidR="000B6BED" w:rsidRPr="000B6BED" w:rsidRDefault="000B6BED" w:rsidP="000B6BED">
            <w:pPr>
              <w:pStyle w:val="Header"/>
              <w:contextualSpacing/>
              <w:jc w:val="both"/>
              <w:rPr>
                <w:rFonts w:ascii="Calibri" w:hAnsi="Calibri"/>
                <w:szCs w:val="22"/>
              </w:rPr>
            </w:pPr>
          </w:p>
          <w:p w14:paraId="43AE5EAD" w14:textId="77777777" w:rsidR="000B6BED" w:rsidRPr="00EC6946" w:rsidRDefault="000B6BED" w:rsidP="000B6BED">
            <w:pPr>
              <w:pStyle w:val="Header"/>
              <w:contextualSpacing/>
              <w:jc w:val="both"/>
              <w:rPr>
                <w:rFonts w:ascii="Calibri" w:hAnsi="Calibri"/>
                <w:i/>
                <w:szCs w:val="22"/>
              </w:rPr>
            </w:pPr>
            <w:r w:rsidRPr="00EC6946">
              <w:rPr>
                <w:rFonts w:ascii="Calibri" w:hAnsi="Calibri"/>
                <w:i/>
                <w:szCs w:val="22"/>
              </w:rPr>
              <w:t>(a) transport and highways impacts of the development</w:t>
            </w:r>
          </w:p>
          <w:p w14:paraId="1372E9D8" w14:textId="77777777" w:rsidR="000B6BED" w:rsidRPr="000B6BED" w:rsidRDefault="000B6BED" w:rsidP="000B6BED">
            <w:pPr>
              <w:pStyle w:val="Header"/>
              <w:contextualSpacing/>
              <w:jc w:val="both"/>
              <w:rPr>
                <w:rFonts w:ascii="Calibri" w:hAnsi="Calibri"/>
                <w:szCs w:val="22"/>
              </w:rPr>
            </w:pPr>
          </w:p>
          <w:p w14:paraId="3A81B286" w14:textId="77777777" w:rsidR="000B6BED" w:rsidRPr="000B6BED" w:rsidRDefault="000B6BED" w:rsidP="000B6BED">
            <w:pPr>
              <w:pStyle w:val="Header"/>
              <w:contextualSpacing/>
              <w:jc w:val="both"/>
              <w:rPr>
                <w:rFonts w:ascii="Calibri" w:hAnsi="Calibri"/>
                <w:szCs w:val="22"/>
              </w:rPr>
            </w:pPr>
          </w:p>
          <w:p w14:paraId="1CAA9B38" w14:textId="77777777" w:rsidR="000B6BED" w:rsidRPr="00364390" w:rsidRDefault="000B6BED" w:rsidP="000B6BED">
            <w:pPr>
              <w:pStyle w:val="Header"/>
              <w:contextualSpacing/>
              <w:jc w:val="both"/>
              <w:rPr>
                <w:rFonts w:ascii="Calibri" w:hAnsi="Calibri"/>
                <w:szCs w:val="22"/>
              </w:rPr>
            </w:pPr>
            <w:r w:rsidRPr="00364390">
              <w:rPr>
                <w:rFonts w:ascii="Calibri" w:hAnsi="Calibri"/>
                <w:szCs w:val="22"/>
              </w:rPr>
              <w:t>It is proposed to utilise an existing access off Ribchester Road that currently serves the farmhouse and the application site, terminating just past the barns.</w:t>
            </w:r>
          </w:p>
          <w:p w14:paraId="58117355" w14:textId="77777777" w:rsidR="000B6BED" w:rsidRPr="00364390" w:rsidRDefault="000B6BED" w:rsidP="000B6BED">
            <w:pPr>
              <w:pStyle w:val="Header"/>
              <w:contextualSpacing/>
              <w:jc w:val="both"/>
              <w:rPr>
                <w:rFonts w:ascii="Calibri" w:hAnsi="Calibri"/>
                <w:szCs w:val="22"/>
              </w:rPr>
            </w:pPr>
            <w:r w:rsidRPr="00364390">
              <w:rPr>
                <w:rFonts w:ascii="Calibri" w:hAnsi="Calibri"/>
                <w:szCs w:val="22"/>
              </w:rPr>
              <w:t xml:space="preserve"> </w:t>
            </w:r>
          </w:p>
          <w:p w14:paraId="3082625D" w14:textId="77777777" w:rsidR="00C345FC" w:rsidRDefault="00364390" w:rsidP="000B6BED">
            <w:pPr>
              <w:pStyle w:val="Header"/>
              <w:contextualSpacing/>
              <w:jc w:val="both"/>
              <w:rPr>
                <w:rFonts w:ascii="Calibri" w:hAnsi="Calibri"/>
                <w:szCs w:val="22"/>
              </w:rPr>
            </w:pPr>
            <w:r w:rsidRPr="00364390">
              <w:rPr>
                <w:rFonts w:ascii="Calibri" w:hAnsi="Calibri"/>
                <w:szCs w:val="22"/>
              </w:rPr>
              <w:t xml:space="preserve">The access currently serves </w:t>
            </w:r>
            <w:r w:rsidR="00C345FC">
              <w:rPr>
                <w:rFonts w:ascii="Calibri" w:hAnsi="Calibri"/>
                <w:szCs w:val="22"/>
              </w:rPr>
              <w:t>1</w:t>
            </w:r>
            <w:r w:rsidRPr="00364390">
              <w:rPr>
                <w:rFonts w:ascii="Calibri" w:hAnsi="Calibri"/>
                <w:szCs w:val="22"/>
              </w:rPr>
              <w:t xml:space="preserve"> dwelling and this will increase to 4</w:t>
            </w:r>
            <w:r w:rsidR="00C345FC">
              <w:rPr>
                <w:rFonts w:ascii="Calibri" w:hAnsi="Calibri"/>
                <w:szCs w:val="22"/>
              </w:rPr>
              <w:t xml:space="preserve">. </w:t>
            </w:r>
            <w:r w:rsidRPr="00364390">
              <w:rPr>
                <w:rFonts w:ascii="Calibri" w:hAnsi="Calibri"/>
                <w:szCs w:val="22"/>
              </w:rPr>
              <w:t xml:space="preserve">Each new dwelling will benefit from two parking spaces and none will have more than 3 bedrooms. The level of parking provision is considered adequate. </w:t>
            </w:r>
            <w:r w:rsidR="00C345FC">
              <w:rPr>
                <w:rFonts w:ascii="Calibri" w:hAnsi="Calibri"/>
                <w:szCs w:val="22"/>
              </w:rPr>
              <w:t xml:space="preserve"> </w:t>
            </w:r>
          </w:p>
          <w:p w14:paraId="15046580" w14:textId="77777777" w:rsidR="00C345FC" w:rsidRDefault="00C345FC" w:rsidP="000B6BED">
            <w:pPr>
              <w:pStyle w:val="Header"/>
              <w:contextualSpacing/>
              <w:jc w:val="both"/>
              <w:rPr>
                <w:rFonts w:ascii="Calibri" w:hAnsi="Calibri"/>
                <w:szCs w:val="22"/>
              </w:rPr>
            </w:pPr>
          </w:p>
          <w:p w14:paraId="64B69F90" w14:textId="77777777" w:rsidR="00364390" w:rsidRPr="0035513A" w:rsidRDefault="00C345FC" w:rsidP="000B6BED">
            <w:pPr>
              <w:pStyle w:val="Header"/>
              <w:contextualSpacing/>
              <w:jc w:val="both"/>
              <w:rPr>
                <w:rFonts w:ascii="Calibri" w:hAnsi="Calibri"/>
                <w:szCs w:val="22"/>
              </w:rPr>
            </w:pPr>
            <w:r w:rsidRPr="0035513A">
              <w:rPr>
                <w:rFonts w:ascii="Calibri" w:hAnsi="Calibri"/>
                <w:szCs w:val="22"/>
              </w:rPr>
              <w:t xml:space="preserve">The single track lane is located directly off Ribchester Road which is subject to the national speed limit. </w:t>
            </w:r>
          </w:p>
          <w:p w14:paraId="4D143CC4" w14:textId="77777777" w:rsidR="000B6BED" w:rsidRPr="0035513A" w:rsidRDefault="000B6BED" w:rsidP="000B6BED">
            <w:pPr>
              <w:pStyle w:val="Header"/>
              <w:contextualSpacing/>
              <w:jc w:val="both"/>
              <w:rPr>
                <w:rFonts w:ascii="Calibri" w:hAnsi="Calibri"/>
                <w:szCs w:val="22"/>
              </w:rPr>
            </w:pPr>
          </w:p>
          <w:p w14:paraId="1C6C02CC" w14:textId="77777777" w:rsidR="00C345FC" w:rsidRPr="0035513A" w:rsidRDefault="000B6BED" w:rsidP="000B6BED">
            <w:pPr>
              <w:pStyle w:val="Header"/>
              <w:contextualSpacing/>
              <w:jc w:val="both"/>
              <w:rPr>
                <w:rFonts w:ascii="Calibri" w:hAnsi="Calibri"/>
                <w:szCs w:val="22"/>
              </w:rPr>
            </w:pPr>
            <w:r w:rsidRPr="0035513A">
              <w:rPr>
                <w:rFonts w:ascii="Calibri" w:hAnsi="Calibri"/>
                <w:szCs w:val="22"/>
              </w:rPr>
              <w:t xml:space="preserve">The County Surveyor raised no objection relating to the intensification of the use of the access together with the visibility and that </w:t>
            </w:r>
            <w:r w:rsidR="00C345FC" w:rsidRPr="0035513A">
              <w:rPr>
                <w:rFonts w:ascii="Calibri" w:hAnsi="Calibri"/>
                <w:szCs w:val="22"/>
              </w:rPr>
              <w:t>the additional</w:t>
            </w:r>
            <w:r w:rsidRPr="0035513A">
              <w:rPr>
                <w:rFonts w:ascii="Calibri" w:hAnsi="Calibri"/>
                <w:szCs w:val="22"/>
              </w:rPr>
              <w:t xml:space="preserve"> dwelling</w:t>
            </w:r>
            <w:r w:rsidR="00C345FC" w:rsidRPr="0035513A">
              <w:rPr>
                <w:rFonts w:ascii="Calibri" w:hAnsi="Calibri"/>
                <w:szCs w:val="22"/>
              </w:rPr>
              <w:t>s</w:t>
            </w:r>
            <w:r w:rsidRPr="0035513A">
              <w:rPr>
                <w:rFonts w:ascii="Calibri" w:hAnsi="Calibri"/>
                <w:szCs w:val="22"/>
              </w:rPr>
              <w:t xml:space="preserve"> would not have a major effect on the highway infra</w:t>
            </w:r>
            <w:r w:rsidR="00C345FC" w:rsidRPr="0035513A">
              <w:rPr>
                <w:rFonts w:ascii="Calibri" w:hAnsi="Calibri"/>
                <w:szCs w:val="22"/>
              </w:rPr>
              <w:t>stru</w:t>
            </w:r>
            <w:r w:rsidRPr="0035513A">
              <w:rPr>
                <w:rFonts w:ascii="Calibri" w:hAnsi="Calibri"/>
                <w:szCs w:val="22"/>
              </w:rPr>
              <w:t xml:space="preserve">cture or any road safety implications. </w:t>
            </w:r>
          </w:p>
          <w:p w14:paraId="76B40C8B" w14:textId="77777777" w:rsidR="00C345FC" w:rsidRPr="0035513A" w:rsidRDefault="00C345FC" w:rsidP="000B6BED">
            <w:pPr>
              <w:pStyle w:val="Header"/>
              <w:contextualSpacing/>
              <w:jc w:val="both"/>
              <w:rPr>
                <w:rFonts w:ascii="Calibri" w:hAnsi="Calibri"/>
                <w:szCs w:val="22"/>
              </w:rPr>
            </w:pPr>
          </w:p>
          <w:p w14:paraId="745238CA" w14:textId="5263E198" w:rsidR="000B6BED" w:rsidRPr="0035513A" w:rsidRDefault="000B6BED" w:rsidP="000B6BED">
            <w:pPr>
              <w:pStyle w:val="Header"/>
              <w:contextualSpacing/>
              <w:jc w:val="both"/>
              <w:rPr>
                <w:rFonts w:ascii="Calibri" w:hAnsi="Calibri"/>
                <w:szCs w:val="22"/>
              </w:rPr>
            </w:pPr>
            <w:r w:rsidRPr="0035513A">
              <w:rPr>
                <w:rFonts w:ascii="Calibri" w:hAnsi="Calibri"/>
                <w:szCs w:val="22"/>
              </w:rPr>
              <w:t>The County Surveyor has stated that the</w:t>
            </w:r>
            <w:r w:rsidR="00303BD5" w:rsidRPr="0035513A">
              <w:rPr>
                <w:rFonts w:ascii="Calibri" w:hAnsi="Calibri"/>
                <w:szCs w:val="22"/>
              </w:rPr>
              <w:t xml:space="preserve"> </w:t>
            </w:r>
            <w:r w:rsidR="007F4C70" w:rsidRPr="0035513A">
              <w:rPr>
                <w:rFonts w:ascii="Calibri" w:hAnsi="Calibri"/>
                <w:szCs w:val="22"/>
              </w:rPr>
              <w:t>original</w:t>
            </w:r>
            <w:r w:rsidR="00303BD5" w:rsidRPr="0035513A">
              <w:rPr>
                <w:rFonts w:ascii="Calibri" w:hAnsi="Calibri"/>
                <w:szCs w:val="22"/>
              </w:rPr>
              <w:t xml:space="preserve"> plans did not provide adequate information with respect to the access, visibility and</w:t>
            </w:r>
            <w:r w:rsidR="007F4C70" w:rsidRPr="0035513A">
              <w:rPr>
                <w:rFonts w:ascii="Calibri" w:hAnsi="Calibri"/>
                <w:szCs w:val="22"/>
              </w:rPr>
              <w:t xml:space="preserve"> useable</w:t>
            </w:r>
            <w:r w:rsidR="00303BD5" w:rsidRPr="0035513A">
              <w:rPr>
                <w:rFonts w:ascii="Calibri" w:hAnsi="Calibri"/>
                <w:szCs w:val="22"/>
              </w:rPr>
              <w:t xml:space="preserve"> parking spaces. </w:t>
            </w:r>
          </w:p>
          <w:p w14:paraId="115986CF" w14:textId="129497CD" w:rsidR="000B6BED" w:rsidRPr="0035513A" w:rsidRDefault="000B6BED" w:rsidP="000B6BED">
            <w:pPr>
              <w:pStyle w:val="Header"/>
              <w:contextualSpacing/>
              <w:jc w:val="both"/>
              <w:rPr>
                <w:rFonts w:ascii="Calibri" w:hAnsi="Calibri"/>
                <w:szCs w:val="22"/>
              </w:rPr>
            </w:pPr>
          </w:p>
          <w:p w14:paraId="2773DE25" w14:textId="75EC9F61" w:rsidR="00303BD5" w:rsidRPr="0035513A" w:rsidRDefault="007F4C70" w:rsidP="000B6BED">
            <w:pPr>
              <w:pStyle w:val="Header"/>
              <w:contextualSpacing/>
              <w:jc w:val="both"/>
              <w:rPr>
                <w:rFonts w:ascii="Calibri" w:hAnsi="Calibri"/>
                <w:szCs w:val="22"/>
              </w:rPr>
            </w:pPr>
            <w:r w:rsidRPr="0035513A">
              <w:rPr>
                <w:rFonts w:ascii="Calibri" w:hAnsi="Calibri"/>
                <w:szCs w:val="22"/>
              </w:rPr>
              <w:t>Amendments were requested</w:t>
            </w:r>
            <w:r w:rsidR="00303BD5" w:rsidRPr="0035513A">
              <w:rPr>
                <w:rFonts w:ascii="Calibri" w:hAnsi="Calibri"/>
                <w:szCs w:val="22"/>
              </w:rPr>
              <w:t xml:space="preserve"> and as such the agent agreed an extension of time to the determination date to allow this. </w:t>
            </w:r>
          </w:p>
          <w:p w14:paraId="7A90409B" w14:textId="77777777" w:rsidR="00303BD5" w:rsidRPr="0035513A" w:rsidRDefault="00303BD5" w:rsidP="000B6BED">
            <w:pPr>
              <w:pStyle w:val="Header"/>
              <w:contextualSpacing/>
              <w:jc w:val="both"/>
              <w:rPr>
                <w:rFonts w:ascii="Calibri" w:hAnsi="Calibri"/>
                <w:szCs w:val="22"/>
              </w:rPr>
            </w:pPr>
          </w:p>
          <w:p w14:paraId="32957C8E" w14:textId="393D4C7B" w:rsidR="000B6BED" w:rsidRPr="000B6BED" w:rsidRDefault="000B6BED" w:rsidP="000B6BED">
            <w:pPr>
              <w:pStyle w:val="Header"/>
              <w:contextualSpacing/>
              <w:jc w:val="both"/>
              <w:rPr>
                <w:rFonts w:ascii="Calibri" w:hAnsi="Calibri"/>
                <w:szCs w:val="22"/>
              </w:rPr>
            </w:pPr>
            <w:r w:rsidRPr="0035513A">
              <w:rPr>
                <w:rFonts w:ascii="Calibri" w:hAnsi="Calibri"/>
                <w:szCs w:val="22"/>
              </w:rPr>
              <w:lastRenderedPageBreak/>
              <w:t>Taking into account the above, the existing access subject to improvements</w:t>
            </w:r>
            <w:r w:rsidR="007F4C70" w:rsidRPr="0035513A">
              <w:rPr>
                <w:rFonts w:ascii="Calibri" w:hAnsi="Calibri"/>
                <w:szCs w:val="22"/>
              </w:rPr>
              <w:t xml:space="preserve"> and provision of parking</w:t>
            </w:r>
            <w:r w:rsidRPr="0035513A">
              <w:rPr>
                <w:rFonts w:ascii="Calibri" w:hAnsi="Calibri"/>
                <w:szCs w:val="22"/>
              </w:rPr>
              <w:t xml:space="preserve"> via attached conditions granted to the permission would ensure that the existing access</w:t>
            </w:r>
            <w:r w:rsidR="0035513A" w:rsidRPr="0035513A">
              <w:rPr>
                <w:rFonts w:ascii="Calibri" w:hAnsi="Calibri"/>
                <w:szCs w:val="22"/>
              </w:rPr>
              <w:t xml:space="preserve"> and proposed parking</w:t>
            </w:r>
            <w:r w:rsidRPr="0035513A">
              <w:rPr>
                <w:rFonts w:ascii="Calibri" w:hAnsi="Calibri"/>
                <w:szCs w:val="22"/>
              </w:rPr>
              <w:t xml:space="preserve"> is suitable to serve the proposed dwelling</w:t>
            </w:r>
            <w:r w:rsidR="0035513A" w:rsidRPr="0035513A">
              <w:rPr>
                <w:rFonts w:ascii="Calibri" w:hAnsi="Calibri"/>
                <w:szCs w:val="22"/>
              </w:rPr>
              <w:t>s</w:t>
            </w:r>
            <w:r w:rsidRPr="0035513A">
              <w:rPr>
                <w:rFonts w:ascii="Calibri" w:hAnsi="Calibri"/>
                <w:szCs w:val="22"/>
              </w:rPr>
              <w:t>.</w:t>
            </w:r>
          </w:p>
          <w:p w14:paraId="2BD826C2" w14:textId="77777777" w:rsidR="000B6BED" w:rsidRPr="000B6BED" w:rsidRDefault="000B6BED" w:rsidP="000B6BED">
            <w:pPr>
              <w:pStyle w:val="Header"/>
              <w:contextualSpacing/>
              <w:jc w:val="both"/>
              <w:rPr>
                <w:rFonts w:ascii="Calibri" w:hAnsi="Calibri"/>
                <w:szCs w:val="22"/>
              </w:rPr>
            </w:pPr>
          </w:p>
          <w:p w14:paraId="1E53ABC8" w14:textId="77777777" w:rsidR="000B6BED" w:rsidRDefault="000B6BED" w:rsidP="000B6BED">
            <w:pPr>
              <w:pStyle w:val="Header"/>
              <w:contextualSpacing/>
              <w:jc w:val="both"/>
              <w:rPr>
                <w:rFonts w:ascii="Calibri" w:hAnsi="Calibri"/>
                <w:i/>
                <w:szCs w:val="22"/>
              </w:rPr>
            </w:pPr>
            <w:r w:rsidRPr="00EC6946">
              <w:rPr>
                <w:rFonts w:ascii="Calibri" w:hAnsi="Calibri"/>
                <w:i/>
                <w:szCs w:val="22"/>
              </w:rPr>
              <w:t>(b) noise impacts of the development</w:t>
            </w:r>
          </w:p>
          <w:p w14:paraId="0AF1E031" w14:textId="77777777" w:rsidR="00EC6946" w:rsidRPr="00EC6946" w:rsidRDefault="00EC6946" w:rsidP="000B6BED">
            <w:pPr>
              <w:pStyle w:val="Header"/>
              <w:contextualSpacing/>
              <w:jc w:val="both"/>
              <w:rPr>
                <w:rFonts w:ascii="Calibri" w:hAnsi="Calibri"/>
                <w:i/>
                <w:szCs w:val="22"/>
              </w:rPr>
            </w:pPr>
          </w:p>
          <w:p w14:paraId="7C3264AE"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 xml:space="preserve">In relation to this particular consideration, the application building is approximately </w:t>
            </w:r>
            <w:r w:rsidR="00EC6946">
              <w:rPr>
                <w:rFonts w:ascii="Calibri" w:hAnsi="Calibri"/>
                <w:szCs w:val="22"/>
              </w:rPr>
              <w:t>19</w:t>
            </w:r>
            <w:r w:rsidRPr="000B6BED">
              <w:rPr>
                <w:rFonts w:ascii="Calibri" w:hAnsi="Calibri"/>
                <w:szCs w:val="22"/>
              </w:rPr>
              <w:t xml:space="preserve"> metres from the nearest residential dwelling</w:t>
            </w:r>
            <w:r w:rsidR="00EC6946">
              <w:rPr>
                <w:rFonts w:ascii="Calibri" w:hAnsi="Calibri"/>
                <w:szCs w:val="22"/>
              </w:rPr>
              <w:t xml:space="preserve"> which is the farm house in the same ownership and 110 metres from the nearest dwelling on Asturian Gate</w:t>
            </w:r>
            <w:r w:rsidRPr="000B6BED">
              <w:rPr>
                <w:rFonts w:ascii="Calibri" w:hAnsi="Calibri"/>
                <w:szCs w:val="22"/>
              </w:rPr>
              <w:t xml:space="preserve">. </w:t>
            </w:r>
            <w:r w:rsidR="00EC6946" w:rsidRPr="000B6BED">
              <w:rPr>
                <w:rFonts w:ascii="Calibri" w:hAnsi="Calibri"/>
                <w:szCs w:val="22"/>
              </w:rPr>
              <w:t>However,</w:t>
            </w:r>
            <w:r w:rsidRPr="000B6BED">
              <w:rPr>
                <w:rFonts w:ascii="Calibri" w:hAnsi="Calibri"/>
                <w:szCs w:val="22"/>
              </w:rPr>
              <w:t xml:space="preserve"> it considered that the use of the building would not result in </w:t>
            </w:r>
            <w:r w:rsidR="00EC6946">
              <w:rPr>
                <w:rFonts w:ascii="Calibri" w:hAnsi="Calibri"/>
                <w:szCs w:val="22"/>
              </w:rPr>
              <w:t>a</w:t>
            </w:r>
            <w:r w:rsidRPr="000B6BED">
              <w:rPr>
                <w:rFonts w:ascii="Calibri" w:hAnsi="Calibri"/>
                <w:szCs w:val="22"/>
              </w:rPr>
              <w:t xml:space="preserve"> detrimental impact on th</w:t>
            </w:r>
            <w:r w:rsidR="00EC6946">
              <w:rPr>
                <w:rFonts w:ascii="Calibri" w:hAnsi="Calibri"/>
                <w:szCs w:val="22"/>
              </w:rPr>
              <w:t>ese</w:t>
            </w:r>
            <w:r w:rsidRPr="000B6BED">
              <w:rPr>
                <w:rFonts w:ascii="Calibri" w:hAnsi="Calibri"/>
                <w:szCs w:val="22"/>
              </w:rPr>
              <w:t xml:space="preserve"> dwelling</w:t>
            </w:r>
            <w:r w:rsidR="00EC6946">
              <w:rPr>
                <w:rFonts w:ascii="Calibri" w:hAnsi="Calibri"/>
                <w:szCs w:val="22"/>
              </w:rPr>
              <w:t>s</w:t>
            </w:r>
            <w:r w:rsidRPr="000B6BED">
              <w:rPr>
                <w:rFonts w:ascii="Calibri" w:hAnsi="Calibri"/>
                <w:szCs w:val="22"/>
              </w:rPr>
              <w:t xml:space="preserve"> and, therefore, the application is considered to be acceptable.</w:t>
            </w:r>
          </w:p>
          <w:p w14:paraId="344D5FD9" w14:textId="77777777" w:rsidR="000B6BED" w:rsidRPr="000B6BED" w:rsidRDefault="000B6BED" w:rsidP="000B6BED">
            <w:pPr>
              <w:pStyle w:val="Header"/>
              <w:contextualSpacing/>
              <w:jc w:val="both"/>
              <w:rPr>
                <w:rFonts w:ascii="Calibri" w:hAnsi="Calibri"/>
                <w:szCs w:val="22"/>
              </w:rPr>
            </w:pPr>
          </w:p>
          <w:p w14:paraId="1762CC65" w14:textId="77777777" w:rsidR="000B6BED" w:rsidRDefault="000B6BED" w:rsidP="000B6BED">
            <w:pPr>
              <w:pStyle w:val="Header"/>
              <w:contextualSpacing/>
              <w:jc w:val="both"/>
              <w:rPr>
                <w:rFonts w:ascii="Calibri" w:hAnsi="Calibri"/>
                <w:i/>
                <w:szCs w:val="22"/>
              </w:rPr>
            </w:pPr>
            <w:r w:rsidRPr="00EC6946">
              <w:rPr>
                <w:rFonts w:ascii="Calibri" w:hAnsi="Calibri"/>
                <w:i/>
                <w:szCs w:val="22"/>
              </w:rPr>
              <w:t>(c) contamination risks on the site</w:t>
            </w:r>
          </w:p>
          <w:p w14:paraId="4447F9E3" w14:textId="77777777" w:rsidR="00EC6946" w:rsidRPr="00EC6946" w:rsidRDefault="00EC6946" w:rsidP="000B6BED">
            <w:pPr>
              <w:pStyle w:val="Header"/>
              <w:contextualSpacing/>
              <w:jc w:val="both"/>
              <w:rPr>
                <w:rFonts w:ascii="Calibri" w:hAnsi="Calibri"/>
                <w:i/>
                <w:szCs w:val="22"/>
              </w:rPr>
            </w:pPr>
          </w:p>
          <w:p w14:paraId="184A3FFA"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The</w:t>
            </w:r>
            <w:r w:rsidR="00EC6946">
              <w:rPr>
                <w:rFonts w:ascii="Calibri" w:hAnsi="Calibri"/>
                <w:szCs w:val="22"/>
              </w:rPr>
              <w:t>re are no known contamination risks</w:t>
            </w:r>
          </w:p>
          <w:p w14:paraId="73850A5F" w14:textId="77777777" w:rsidR="000B6BED" w:rsidRPr="000B6BED" w:rsidRDefault="000B6BED" w:rsidP="000B6BED">
            <w:pPr>
              <w:pStyle w:val="Header"/>
              <w:contextualSpacing/>
              <w:jc w:val="both"/>
              <w:rPr>
                <w:rFonts w:ascii="Calibri" w:hAnsi="Calibri"/>
                <w:szCs w:val="22"/>
              </w:rPr>
            </w:pPr>
          </w:p>
          <w:p w14:paraId="51EBD353" w14:textId="77777777" w:rsidR="000B6BED" w:rsidRDefault="000B6BED" w:rsidP="000B6BED">
            <w:pPr>
              <w:pStyle w:val="Header"/>
              <w:contextualSpacing/>
              <w:jc w:val="both"/>
              <w:rPr>
                <w:rFonts w:ascii="Calibri" w:hAnsi="Calibri"/>
                <w:i/>
                <w:szCs w:val="22"/>
              </w:rPr>
            </w:pPr>
            <w:r w:rsidRPr="00EC6946">
              <w:rPr>
                <w:rFonts w:ascii="Calibri" w:hAnsi="Calibri"/>
                <w:i/>
                <w:szCs w:val="22"/>
              </w:rPr>
              <w:t>(d) flooding risks on the site</w:t>
            </w:r>
          </w:p>
          <w:p w14:paraId="5F16F7E2" w14:textId="77777777" w:rsidR="00EC6946" w:rsidRPr="00EC6946" w:rsidRDefault="00EC6946" w:rsidP="000B6BED">
            <w:pPr>
              <w:pStyle w:val="Header"/>
              <w:contextualSpacing/>
              <w:jc w:val="both"/>
              <w:rPr>
                <w:rFonts w:ascii="Calibri" w:hAnsi="Calibri"/>
                <w:i/>
                <w:szCs w:val="22"/>
              </w:rPr>
            </w:pPr>
          </w:p>
          <w:p w14:paraId="0F30860D"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With regards to the matter of flooding, the Environment Agency flood map shows the site to be outside of a flood zone and there are no known local flooding issues. The proposed development is therefore considered to be acceptable in relation to this particular consideration.</w:t>
            </w:r>
          </w:p>
          <w:p w14:paraId="5393583E" w14:textId="77777777" w:rsidR="000B6BED" w:rsidRPr="000B6BED" w:rsidRDefault="000B6BED" w:rsidP="000B6BED">
            <w:pPr>
              <w:pStyle w:val="Header"/>
              <w:contextualSpacing/>
              <w:jc w:val="both"/>
              <w:rPr>
                <w:rFonts w:ascii="Calibri" w:hAnsi="Calibri"/>
                <w:szCs w:val="22"/>
              </w:rPr>
            </w:pPr>
          </w:p>
          <w:p w14:paraId="56AD3337" w14:textId="77777777" w:rsidR="000B6BED" w:rsidRPr="00EC6946" w:rsidRDefault="000B6BED" w:rsidP="000B6BED">
            <w:pPr>
              <w:pStyle w:val="Header"/>
              <w:contextualSpacing/>
              <w:jc w:val="both"/>
              <w:rPr>
                <w:rFonts w:ascii="Calibri" w:hAnsi="Calibri"/>
                <w:i/>
                <w:szCs w:val="22"/>
              </w:rPr>
            </w:pPr>
            <w:r w:rsidRPr="00EC6946">
              <w:rPr>
                <w:rFonts w:ascii="Calibri" w:hAnsi="Calibri"/>
                <w:i/>
                <w:szCs w:val="22"/>
              </w:rPr>
              <w:t>(e) whether the location or siting of the building makes it otherwise impractical or undesirable for the building to change from agricultural use to a use falling within Class C3 (dwellinghouses) of the Schedule to the Use Classes Order.</w:t>
            </w:r>
          </w:p>
          <w:p w14:paraId="4D92A603" w14:textId="77777777" w:rsidR="000B6BED" w:rsidRPr="000B6BED" w:rsidRDefault="000B6BED" w:rsidP="000B6BED">
            <w:pPr>
              <w:pStyle w:val="Header"/>
              <w:contextualSpacing/>
              <w:jc w:val="both"/>
              <w:rPr>
                <w:rFonts w:ascii="Calibri" w:hAnsi="Calibri"/>
                <w:szCs w:val="22"/>
              </w:rPr>
            </w:pPr>
          </w:p>
          <w:p w14:paraId="0DF7A38D" w14:textId="77777777" w:rsidR="000B6BED" w:rsidRPr="000B6BED" w:rsidRDefault="000B6BED" w:rsidP="00EC6946">
            <w:pPr>
              <w:pStyle w:val="Header"/>
              <w:contextualSpacing/>
              <w:jc w:val="both"/>
              <w:rPr>
                <w:rFonts w:ascii="Calibri" w:hAnsi="Calibri"/>
                <w:szCs w:val="22"/>
              </w:rPr>
            </w:pPr>
            <w:r w:rsidRPr="000B6BED">
              <w:rPr>
                <w:rFonts w:ascii="Calibri" w:hAnsi="Calibri"/>
                <w:szCs w:val="22"/>
              </w:rPr>
              <w:t xml:space="preserve">The site has a genuine history of agriculture and </w:t>
            </w:r>
            <w:r w:rsidR="00EC6946">
              <w:rPr>
                <w:rFonts w:ascii="Calibri" w:hAnsi="Calibri"/>
                <w:szCs w:val="22"/>
              </w:rPr>
              <w:t xml:space="preserve">is associated with the farmhouse opposite occupied by the applicant. The application states that if the conversion goes ahead then the agricultural activities at the site will cease. It is not considered that the location or siting would make it impractical to change from an agricultural use. </w:t>
            </w:r>
          </w:p>
          <w:p w14:paraId="7049FF42" w14:textId="77777777" w:rsidR="000B6BED" w:rsidRPr="000B6BED" w:rsidRDefault="000B6BED" w:rsidP="000B6BED">
            <w:pPr>
              <w:pStyle w:val="Header"/>
              <w:contextualSpacing/>
              <w:jc w:val="both"/>
              <w:rPr>
                <w:rFonts w:ascii="Calibri" w:hAnsi="Calibri"/>
                <w:szCs w:val="22"/>
              </w:rPr>
            </w:pPr>
          </w:p>
          <w:p w14:paraId="61D2792A" w14:textId="77777777" w:rsidR="000B6BED" w:rsidRPr="00EC6946" w:rsidRDefault="000B6BED" w:rsidP="000B6BED">
            <w:pPr>
              <w:pStyle w:val="Header"/>
              <w:contextualSpacing/>
              <w:jc w:val="both"/>
              <w:rPr>
                <w:rFonts w:ascii="Calibri" w:hAnsi="Calibri"/>
                <w:i/>
                <w:szCs w:val="22"/>
              </w:rPr>
            </w:pPr>
            <w:r w:rsidRPr="00EC6946">
              <w:rPr>
                <w:rFonts w:ascii="Calibri" w:hAnsi="Calibri"/>
                <w:i/>
                <w:szCs w:val="22"/>
              </w:rPr>
              <w:t>(f) the design and external appearance of the building, and the provisions of paragraph W (prior approval) of this Part apply in relation to that application.</w:t>
            </w:r>
          </w:p>
          <w:p w14:paraId="627F3991" w14:textId="77777777" w:rsidR="000B6BED" w:rsidRPr="000B6BED" w:rsidRDefault="000B6BED" w:rsidP="000B6BED">
            <w:pPr>
              <w:pStyle w:val="Header"/>
              <w:contextualSpacing/>
              <w:jc w:val="both"/>
              <w:rPr>
                <w:rFonts w:ascii="Calibri" w:hAnsi="Calibri"/>
                <w:szCs w:val="22"/>
              </w:rPr>
            </w:pPr>
          </w:p>
          <w:p w14:paraId="45D04C70"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 xml:space="preserve">On farm buildings windows and doors are commonly small and insignificant. Farm buildings are operational structures with a functional simplicity which is an essential part of their character. In order to protect the character and setting of the surrounding countryside new openings should be kept to a minimum to avoid a clearly domestic appearance. </w:t>
            </w:r>
          </w:p>
          <w:p w14:paraId="63113994" w14:textId="77777777" w:rsidR="000B6BED" w:rsidRPr="000B6BED" w:rsidRDefault="000B6BED" w:rsidP="000B6BED">
            <w:pPr>
              <w:pStyle w:val="Header"/>
              <w:contextualSpacing/>
              <w:jc w:val="both"/>
              <w:rPr>
                <w:rFonts w:ascii="Calibri" w:hAnsi="Calibri"/>
                <w:szCs w:val="22"/>
              </w:rPr>
            </w:pPr>
          </w:p>
          <w:p w14:paraId="26DADB41" w14:textId="77777777" w:rsidR="000B6BED" w:rsidRPr="000B6BED" w:rsidRDefault="000B6BED" w:rsidP="00EC6946">
            <w:pPr>
              <w:pStyle w:val="Header"/>
              <w:contextualSpacing/>
              <w:jc w:val="both"/>
              <w:rPr>
                <w:rFonts w:ascii="Calibri" w:hAnsi="Calibri"/>
                <w:szCs w:val="22"/>
              </w:rPr>
            </w:pPr>
            <w:r w:rsidRPr="000B6BED">
              <w:rPr>
                <w:rFonts w:ascii="Calibri" w:hAnsi="Calibri"/>
                <w:szCs w:val="22"/>
              </w:rPr>
              <w:t>The proposed conversion makes use of the</w:t>
            </w:r>
            <w:r w:rsidR="00EC6946">
              <w:rPr>
                <w:rFonts w:ascii="Calibri" w:hAnsi="Calibri"/>
                <w:szCs w:val="22"/>
              </w:rPr>
              <w:t xml:space="preserve"> existing openings where possible but a few new openings and roof lights are proposed as some parts of the building do not benefit from any natural light. </w:t>
            </w:r>
            <w:r w:rsidRPr="000B6BED">
              <w:rPr>
                <w:rFonts w:ascii="Calibri" w:hAnsi="Calibri"/>
                <w:szCs w:val="22"/>
              </w:rPr>
              <w:t xml:space="preserve"> </w:t>
            </w:r>
          </w:p>
          <w:p w14:paraId="351A0316" w14:textId="77777777" w:rsidR="000B6BED" w:rsidRPr="000B6BED" w:rsidRDefault="000B6BED" w:rsidP="000B6BED">
            <w:pPr>
              <w:pStyle w:val="Header"/>
              <w:contextualSpacing/>
              <w:jc w:val="both"/>
              <w:rPr>
                <w:rFonts w:ascii="Calibri" w:hAnsi="Calibri"/>
                <w:szCs w:val="22"/>
              </w:rPr>
            </w:pPr>
          </w:p>
          <w:p w14:paraId="41F53EDB"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It is considered that any adaptation would need to balance the practical requirements of the use as a dwelling whilst also protecting the historic character of the farm building and its setting.  The proposed new openings to the building have been designed to retain the agricultural character of the building</w:t>
            </w:r>
            <w:r w:rsidR="00364390">
              <w:rPr>
                <w:rFonts w:ascii="Calibri" w:hAnsi="Calibri"/>
                <w:szCs w:val="22"/>
              </w:rPr>
              <w:t xml:space="preserve">  and mimic the style and layout of openings on other parts of the building</w:t>
            </w:r>
            <w:r w:rsidR="00EC6946">
              <w:rPr>
                <w:rFonts w:ascii="Calibri" w:hAnsi="Calibri"/>
                <w:szCs w:val="22"/>
              </w:rPr>
              <w:t>, they are small and in a random layout</w:t>
            </w:r>
            <w:r w:rsidR="00364390">
              <w:rPr>
                <w:rFonts w:ascii="Calibri" w:hAnsi="Calibri"/>
                <w:szCs w:val="22"/>
              </w:rPr>
              <w:t>, two mock wagon arches are formed to the South West elevation of barn one and a large opening is blocked up</w:t>
            </w:r>
            <w:r w:rsidRPr="000B6BED">
              <w:rPr>
                <w:rFonts w:ascii="Calibri" w:hAnsi="Calibri"/>
                <w:szCs w:val="22"/>
              </w:rPr>
              <w:t>.</w:t>
            </w:r>
            <w:r w:rsidR="00364390">
              <w:rPr>
                <w:rFonts w:ascii="Calibri" w:hAnsi="Calibri"/>
                <w:szCs w:val="22"/>
              </w:rPr>
              <w:t xml:space="preserve"> </w:t>
            </w:r>
            <w:r w:rsidRPr="000B6BED">
              <w:rPr>
                <w:rFonts w:ascii="Calibri" w:hAnsi="Calibri"/>
                <w:szCs w:val="22"/>
              </w:rPr>
              <w:t xml:space="preserve"> Whilst the existing roof slope is void of openings it is not considered that </w:t>
            </w:r>
            <w:r w:rsidR="00364390">
              <w:rPr>
                <w:rFonts w:ascii="Calibri" w:hAnsi="Calibri"/>
                <w:szCs w:val="22"/>
              </w:rPr>
              <w:t>the</w:t>
            </w:r>
            <w:r w:rsidRPr="000B6BED">
              <w:rPr>
                <w:rFonts w:ascii="Calibri" w:hAnsi="Calibri"/>
                <w:szCs w:val="22"/>
              </w:rPr>
              <w:t xml:space="preserve"> roof lights would compromise the agricultural character of the building. </w:t>
            </w:r>
          </w:p>
          <w:p w14:paraId="7879258E" w14:textId="77777777" w:rsidR="00EC6946" w:rsidRDefault="00EC6946" w:rsidP="000B6BED">
            <w:pPr>
              <w:pStyle w:val="Header"/>
              <w:contextualSpacing/>
              <w:jc w:val="both"/>
              <w:rPr>
                <w:rFonts w:ascii="Calibri" w:hAnsi="Calibri"/>
                <w:szCs w:val="22"/>
              </w:rPr>
            </w:pPr>
          </w:p>
          <w:p w14:paraId="5AA2BC29" w14:textId="77777777" w:rsidR="000B6BED" w:rsidRDefault="00EC6946" w:rsidP="000B6BED">
            <w:pPr>
              <w:pStyle w:val="Header"/>
              <w:contextualSpacing/>
              <w:jc w:val="both"/>
              <w:rPr>
                <w:rFonts w:ascii="Calibri" w:hAnsi="Calibri"/>
                <w:szCs w:val="22"/>
              </w:rPr>
            </w:pPr>
            <w:r>
              <w:rPr>
                <w:rFonts w:ascii="Calibri" w:hAnsi="Calibri"/>
                <w:szCs w:val="22"/>
              </w:rPr>
              <w:t xml:space="preserve">It </w:t>
            </w:r>
            <w:r w:rsidR="000B6BED" w:rsidRPr="000B6BED">
              <w:rPr>
                <w:rFonts w:ascii="Calibri" w:hAnsi="Calibri"/>
                <w:szCs w:val="22"/>
              </w:rPr>
              <w:t xml:space="preserve">is considered that the proposed openings and their design would not compromise the character of the </w:t>
            </w:r>
            <w:r w:rsidR="00364390">
              <w:rPr>
                <w:rFonts w:ascii="Calibri" w:hAnsi="Calibri"/>
                <w:szCs w:val="22"/>
              </w:rPr>
              <w:t xml:space="preserve">stone barns and their </w:t>
            </w:r>
            <w:r w:rsidR="000B6BED" w:rsidRPr="000B6BED">
              <w:rPr>
                <w:rFonts w:ascii="Calibri" w:hAnsi="Calibri"/>
                <w:szCs w:val="22"/>
              </w:rPr>
              <w:t xml:space="preserve">setting. </w:t>
            </w:r>
          </w:p>
          <w:p w14:paraId="3019493C" w14:textId="77777777" w:rsidR="00364390" w:rsidRDefault="00364390" w:rsidP="000B6BED">
            <w:pPr>
              <w:pStyle w:val="Header"/>
              <w:contextualSpacing/>
              <w:jc w:val="both"/>
              <w:rPr>
                <w:rFonts w:ascii="Calibri" w:hAnsi="Calibri"/>
                <w:szCs w:val="22"/>
              </w:rPr>
            </w:pPr>
          </w:p>
          <w:p w14:paraId="551B628E" w14:textId="77777777" w:rsidR="00364390" w:rsidRPr="000B6BED" w:rsidRDefault="00364390" w:rsidP="000B6BED">
            <w:pPr>
              <w:pStyle w:val="Header"/>
              <w:contextualSpacing/>
              <w:jc w:val="both"/>
              <w:rPr>
                <w:rFonts w:ascii="Calibri" w:hAnsi="Calibri"/>
                <w:szCs w:val="22"/>
              </w:rPr>
            </w:pPr>
            <w:r>
              <w:rPr>
                <w:rFonts w:ascii="Calibri" w:hAnsi="Calibri"/>
                <w:szCs w:val="22"/>
              </w:rPr>
              <w:t xml:space="preserve">LCC archaeology unit have commented on the proposal. </w:t>
            </w:r>
            <w:r w:rsidRPr="00364390">
              <w:rPr>
                <w:rFonts w:asciiTheme="minorHAnsi" w:hAnsiTheme="minorHAnsi" w:cstheme="minorHAnsi"/>
              </w:rPr>
              <w:t xml:space="preserve">The period 1750-1880 has been recognised as the most important period of farm building development in England. The Council for British Archaeology's 'An Archaeological Research Framework for North West England: Volume 2, Research Agenda and Strategy' </w:t>
            </w:r>
            <w:r w:rsidRPr="00364390">
              <w:rPr>
                <w:rFonts w:asciiTheme="minorHAnsi" w:hAnsiTheme="minorHAnsi" w:cstheme="minorHAnsi"/>
              </w:rPr>
              <w:lastRenderedPageBreak/>
              <w:t>has indicated that "there is an urgent need for all local authorities to ensure that farm buildings undergoing adaptation are at least considered for recording" (p. 140) so that "a regional database of farm buildings can be derived and variations across the region examined." (ibid.)</w:t>
            </w:r>
            <w:r>
              <w:rPr>
                <w:rFonts w:asciiTheme="minorHAnsi" w:hAnsiTheme="minorHAnsi" w:cstheme="minorHAnsi"/>
              </w:rPr>
              <w:t xml:space="preserve"> As such they request that a photographic recording of the building is made prior to conversion and have suggested a condition to secure this. </w:t>
            </w:r>
          </w:p>
          <w:p w14:paraId="16A0C0AC" w14:textId="77777777" w:rsidR="000B6BED" w:rsidRPr="000B6BED" w:rsidRDefault="000B6BED" w:rsidP="000B6BED">
            <w:pPr>
              <w:pStyle w:val="Header"/>
              <w:contextualSpacing/>
              <w:jc w:val="both"/>
              <w:rPr>
                <w:rFonts w:ascii="Calibri" w:hAnsi="Calibri"/>
                <w:szCs w:val="22"/>
              </w:rPr>
            </w:pPr>
          </w:p>
          <w:p w14:paraId="300C4D38" w14:textId="77777777" w:rsidR="000B6BED" w:rsidRPr="00364390" w:rsidRDefault="000B6BED" w:rsidP="000B6BED">
            <w:pPr>
              <w:pStyle w:val="Header"/>
              <w:contextualSpacing/>
              <w:jc w:val="both"/>
              <w:rPr>
                <w:rFonts w:ascii="Calibri" w:hAnsi="Calibri"/>
                <w:i/>
                <w:szCs w:val="22"/>
              </w:rPr>
            </w:pPr>
            <w:r w:rsidRPr="00364390">
              <w:rPr>
                <w:rFonts w:ascii="Calibri" w:hAnsi="Calibri"/>
                <w:i/>
                <w:szCs w:val="22"/>
              </w:rPr>
              <w:t>As set out in paragraph X of Part 3, “curtilage” means, for the purposes of Class Q, R or S only—</w:t>
            </w:r>
          </w:p>
          <w:p w14:paraId="62FB22CD" w14:textId="77777777" w:rsidR="000B6BED" w:rsidRPr="00364390" w:rsidRDefault="000B6BED" w:rsidP="000B6BED">
            <w:pPr>
              <w:pStyle w:val="Header"/>
              <w:contextualSpacing/>
              <w:jc w:val="both"/>
              <w:rPr>
                <w:rFonts w:ascii="Calibri" w:hAnsi="Calibri"/>
                <w:i/>
                <w:szCs w:val="22"/>
              </w:rPr>
            </w:pPr>
            <w:r w:rsidRPr="00364390">
              <w:rPr>
                <w:rFonts w:ascii="Calibri" w:hAnsi="Calibri"/>
                <w:i/>
                <w:szCs w:val="22"/>
              </w:rPr>
              <w:t>(a) the piece of land, whether enclosed or unenclosed, immediately beside or around the agricultural building, closely associated with and serving the purposes of the agricultural building, or</w:t>
            </w:r>
          </w:p>
          <w:p w14:paraId="5772FAEC" w14:textId="77777777" w:rsidR="000B6BED" w:rsidRPr="00364390" w:rsidRDefault="000B6BED" w:rsidP="000B6BED">
            <w:pPr>
              <w:pStyle w:val="Header"/>
              <w:contextualSpacing/>
              <w:jc w:val="both"/>
              <w:rPr>
                <w:rFonts w:ascii="Calibri" w:hAnsi="Calibri"/>
                <w:i/>
                <w:szCs w:val="22"/>
              </w:rPr>
            </w:pPr>
            <w:r w:rsidRPr="00364390">
              <w:rPr>
                <w:rFonts w:ascii="Calibri" w:hAnsi="Calibri"/>
                <w:i/>
                <w:szCs w:val="22"/>
              </w:rPr>
              <w:t>(b) an area of land immediately beside or around the agricultural building no larger than the land area occupied by the agricultural building, whichever is the lesser;”</w:t>
            </w:r>
          </w:p>
          <w:p w14:paraId="71111183" w14:textId="77777777" w:rsidR="000B6BED" w:rsidRPr="000B6BED" w:rsidRDefault="000B6BED" w:rsidP="000B6BED">
            <w:pPr>
              <w:pStyle w:val="Header"/>
              <w:contextualSpacing/>
              <w:jc w:val="both"/>
              <w:rPr>
                <w:rFonts w:ascii="Calibri" w:hAnsi="Calibri"/>
                <w:szCs w:val="22"/>
              </w:rPr>
            </w:pPr>
          </w:p>
          <w:p w14:paraId="36D9D05E"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The garden area proposed meets the requirements of paragraph X.</w:t>
            </w:r>
          </w:p>
          <w:p w14:paraId="5D1B70B3" w14:textId="77777777" w:rsidR="000B6BED" w:rsidRPr="000B6BED" w:rsidRDefault="000B6BED" w:rsidP="000B6BED">
            <w:pPr>
              <w:pStyle w:val="Header"/>
              <w:contextualSpacing/>
              <w:jc w:val="both"/>
              <w:rPr>
                <w:rFonts w:ascii="Calibri" w:hAnsi="Calibri"/>
                <w:szCs w:val="22"/>
              </w:rPr>
            </w:pPr>
          </w:p>
          <w:p w14:paraId="00BF78F8" w14:textId="77777777" w:rsidR="000B6BED" w:rsidRPr="000B6BED" w:rsidRDefault="000B6BED" w:rsidP="000B6BED">
            <w:pPr>
              <w:pStyle w:val="Header"/>
              <w:contextualSpacing/>
              <w:jc w:val="both"/>
              <w:rPr>
                <w:rFonts w:ascii="Calibri" w:hAnsi="Calibri"/>
                <w:szCs w:val="22"/>
              </w:rPr>
            </w:pPr>
          </w:p>
          <w:p w14:paraId="4C9071D3" w14:textId="77777777" w:rsidR="00C44E40" w:rsidRPr="00BA2247" w:rsidRDefault="000B6BED" w:rsidP="000B6BED">
            <w:pPr>
              <w:pStyle w:val="Header"/>
              <w:tabs>
                <w:tab w:val="clear" w:pos="4153"/>
                <w:tab w:val="clear" w:pos="8306"/>
              </w:tabs>
              <w:contextualSpacing/>
              <w:jc w:val="both"/>
              <w:rPr>
                <w:rFonts w:ascii="Calibri" w:hAnsi="Calibri"/>
                <w:szCs w:val="22"/>
              </w:rPr>
            </w:pPr>
            <w:r w:rsidRPr="000B6BED">
              <w:rPr>
                <w:rFonts w:ascii="Calibri" w:hAnsi="Calibri"/>
                <w:szCs w:val="22"/>
              </w:rPr>
              <w:t>It is considered that the proposals satisfy the requirements of Class Q (a) and (b) of Schedule 2 Part 3 of the Town and Country Planning (General Permitted Development) Order 2015. As such, it is recommended that prior approval is approved.</w:t>
            </w:r>
          </w:p>
        </w:tc>
      </w:tr>
      <w:tr w:rsidR="00C0704D" w:rsidRPr="008C75E4" w14:paraId="097D41B8" w14:textId="77777777" w:rsidTr="00646630">
        <w:trPr>
          <w:jc w:val="center"/>
        </w:trPr>
        <w:tc>
          <w:tcPr>
            <w:tcW w:w="2837" w:type="dxa"/>
            <w:gridSpan w:val="4"/>
            <w:tcMar>
              <w:top w:w="57" w:type="dxa"/>
              <w:bottom w:w="57" w:type="dxa"/>
            </w:tcMar>
          </w:tcPr>
          <w:p w14:paraId="223B0371" w14:textId="77777777" w:rsidR="00C0704D" w:rsidRPr="008C75E4" w:rsidRDefault="00C0704D" w:rsidP="006126D1">
            <w:pPr>
              <w:jc w:val="both"/>
              <w:rPr>
                <w:rFonts w:ascii="Calibri" w:hAnsi="Calibri"/>
                <w:b/>
                <w:bCs/>
                <w:szCs w:val="22"/>
              </w:rPr>
            </w:pPr>
            <w:r w:rsidRPr="008C75E4">
              <w:rPr>
                <w:rFonts w:ascii="Calibri" w:hAnsi="Calibri"/>
                <w:b/>
                <w:szCs w:val="22"/>
              </w:rPr>
              <w:lastRenderedPageBreak/>
              <w:t>RECOMMENDATION</w:t>
            </w:r>
            <w:r w:rsidRPr="008C75E4">
              <w:rPr>
                <w:rFonts w:ascii="Calibri" w:hAnsi="Calibri"/>
                <w:szCs w:val="22"/>
              </w:rPr>
              <w:t>:</w:t>
            </w:r>
          </w:p>
        </w:tc>
        <w:tc>
          <w:tcPr>
            <w:tcW w:w="6803" w:type="dxa"/>
            <w:gridSpan w:val="10"/>
          </w:tcPr>
          <w:p w14:paraId="4CFFB987" w14:textId="77777777" w:rsidR="00C0704D" w:rsidRPr="008C75E4" w:rsidRDefault="00C345FC" w:rsidP="006126D1">
            <w:pPr>
              <w:jc w:val="both"/>
              <w:rPr>
                <w:rFonts w:ascii="Calibri" w:hAnsi="Calibri"/>
                <w:bCs/>
                <w:szCs w:val="22"/>
              </w:rPr>
            </w:pPr>
            <w:r>
              <w:rPr>
                <w:rFonts w:ascii="Calibri" w:hAnsi="Calibri"/>
                <w:bCs/>
                <w:szCs w:val="22"/>
              </w:rPr>
              <w:t>That prior approval is granted</w:t>
            </w:r>
          </w:p>
        </w:tc>
      </w:tr>
    </w:tbl>
    <w:p w14:paraId="7079D2B8" w14:textId="3498FFB9" w:rsidR="00636147" w:rsidRPr="008C75E4" w:rsidRDefault="00636147" w:rsidP="007C51F0">
      <w:pPr>
        <w:jc w:val="both"/>
        <w:rPr>
          <w:rFonts w:ascii="Calibri" w:hAnsi="Calibri"/>
          <w:szCs w:val="22"/>
        </w:rPr>
      </w:pPr>
    </w:p>
    <w:sectPr w:rsidR="00636147"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F355" w14:textId="77777777" w:rsidR="00D80310" w:rsidRDefault="00D80310" w:rsidP="006D0B5F">
      <w:r>
        <w:separator/>
      </w:r>
    </w:p>
  </w:endnote>
  <w:endnote w:type="continuationSeparator" w:id="0">
    <w:p w14:paraId="55C427A8"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73D1" w14:textId="77777777" w:rsidR="00D80310" w:rsidRDefault="00D80310" w:rsidP="006D0B5F">
      <w:r>
        <w:separator/>
      </w:r>
    </w:p>
  </w:footnote>
  <w:footnote w:type="continuationSeparator" w:id="0">
    <w:p w14:paraId="6F26C8F8"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121818">
    <w:abstractNumId w:val="9"/>
  </w:num>
  <w:num w:numId="2" w16cid:durableId="2033409247">
    <w:abstractNumId w:val="7"/>
  </w:num>
  <w:num w:numId="3" w16cid:durableId="1279097341">
    <w:abstractNumId w:val="3"/>
  </w:num>
  <w:num w:numId="4" w16cid:durableId="1529636530">
    <w:abstractNumId w:val="4"/>
  </w:num>
  <w:num w:numId="5" w16cid:durableId="1011251428">
    <w:abstractNumId w:val="0"/>
  </w:num>
  <w:num w:numId="6" w16cid:durableId="1088961054">
    <w:abstractNumId w:val="1"/>
  </w:num>
  <w:num w:numId="7" w16cid:durableId="817302944">
    <w:abstractNumId w:val="5"/>
  </w:num>
  <w:num w:numId="8" w16cid:durableId="640767811">
    <w:abstractNumId w:val="8"/>
  </w:num>
  <w:num w:numId="9" w16cid:durableId="895168522">
    <w:abstractNumId w:val="2"/>
  </w:num>
  <w:num w:numId="10" w16cid:durableId="471336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8638E"/>
    <w:rsid w:val="000B5CB5"/>
    <w:rsid w:val="000B6BED"/>
    <w:rsid w:val="000C7A57"/>
    <w:rsid w:val="00101855"/>
    <w:rsid w:val="0010371E"/>
    <w:rsid w:val="00106932"/>
    <w:rsid w:val="00130035"/>
    <w:rsid w:val="00141512"/>
    <w:rsid w:val="0016428F"/>
    <w:rsid w:val="00174004"/>
    <w:rsid w:val="001946E0"/>
    <w:rsid w:val="00196722"/>
    <w:rsid w:val="001B769B"/>
    <w:rsid w:val="001C1453"/>
    <w:rsid w:val="001D4F7A"/>
    <w:rsid w:val="001D5ADD"/>
    <w:rsid w:val="00203F50"/>
    <w:rsid w:val="00206E24"/>
    <w:rsid w:val="00237DA1"/>
    <w:rsid w:val="00250879"/>
    <w:rsid w:val="00284480"/>
    <w:rsid w:val="0028751A"/>
    <w:rsid w:val="0029334A"/>
    <w:rsid w:val="002A01CF"/>
    <w:rsid w:val="002A7DF7"/>
    <w:rsid w:val="002B7854"/>
    <w:rsid w:val="002C6277"/>
    <w:rsid w:val="002D4346"/>
    <w:rsid w:val="002E2952"/>
    <w:rsid w:val="002E7CC1"/>
    <w:rsid w:val="002F041D"/>
    <w:rsid w:val="002F2580"/>
    <w:rsid w:val="002F7502"/>
    <w:rsid w:val="00303BD5"/>
    <w:rsid w:val="003137E0"/>
    <w:rsid w:val="00320A6F"/>
    <w:rsid w:val="00321B6E"/>
    <w:rsid w:val="003359D0"/>
    <w:rsid w:val="00341E8D"/>
    <w:rsid w:val="00347F5E"/>
    <w:rsid w:val="0035513A"/>
    <w:rsid w:val="003562A3"/>
    <w:rsid w:val="003634D9"/>
    <w:rsid w:val="00364390"/>
    <w:rsid w:val="0036759A"/>
    <w:rsid w:val="003825D5"/>
    <w:rsid w:val="003A4376"/>
    <w:rsid w:val="003C28E1"/>
    <w:rsid w:val="003E2151"/>
    <w:rsid w:val="003F16AA"/>
    <w:rsid w:val="003F16B4"/>
    <w:rsid w:val="003F3DB5"/>
    <w:rsid w:val="003F481A"/>
    <w:rsid w:val="00404C72"/>
    <w:rsid w:val="00435FC9"/>
    <w:rsid w:val="0044039F"/>
    <w:rsid w:val="00440CB6"/>
    <w:rsid w:val="0044639C"/>
    <w:rsid w:val="00454754"/>
    <w:rsid w:val="004654DD"/>
    <w:rsid w:val="004854EC"/>
    <w:rsid w:val="004936A6"/>
    <w:rsid w:val="004947BB"/>
    <w:rsid w:val="004A5EA9"/>
    <w:rsid w:val="004C2434"/>
    <w:rsid w:val="004D6FC7"/>
    <w:rsid w:val="004E58E3"/>
    <w:rsid w:val="004F0649"/>
    <w:rsid w:val="004F1043"/>
    <w:rsid w:val="004F1E99"/>
    <w:rsid w:val="0050432D"/>
    <w:rsid w:val="00504440"/>
    <w:rsid w:val="00510DBF"/>
    <w:rsid w:val="00510FA2"/>
    <w:rsid w:val="00510FE3"/>
    <w:rsid w:val="00521ABA"/>
    <w:rsid w:val="00525341"/>
    <w:rsid w:val="00527A31"/>
    <w:rsid w:val="00534611"/>
    <w:rsid w:val="00545D8C"/>
    <w:rsid w:val="00556ECD"/>
    <w:rsid w:val="005631B3"/>
    <w:rsid w:val="005633B0"/>
    <w:rsid w:val="005635FF"/>
    <w:rsid w:val="00573B90"/>
    <w:rsid w:val="005878FE"/>
    <w:rsid w:val="00593040"/>
    <w:rsid w:val="005B0A0E"/>
    <w:rsid w:val="005D3432"/>
    <w:rsid w:val="005E1C6C"/>
    <w:rsid w:val="005E65DF"/>
    <w:rsid w:val="006126D1"/>
    <w:rsid w:val="006326A2"/>
    <w:rsid w:val="00636147"/>
    <w:rsid w:val="00646630"/>
    <w:rsid w:val="00665C24"/>
    <w:rsid w:val="00690EC3"/>
    <w:rsid w:val="00692B60"/>
    <w:rsid w:val="00695F88"/>
    <w:rsid w:val="006A71AD"/>
    <w:rsid w:val="006C126E"/>
    <w:rsid w:val="006C2BFA"/>
    <w:rsid w:val="006C5FBA"/>
    <w:rsid w:val="006D0B5F"/>
    <w:rsid w:val="006D4E58"/>
    <w:rsid w:val="006D7624"/>
    <w:rsid w:val="006F137D"/>
    <w:rsid w:val="006F4D38"/>
    <w:rsid w:val="0070054B"/>
    <w:rsid w:val="00706480"/>
    <w:rsid w:val="00710DBB"/>
    <w:rsid w:val="00725F1C"/>
    <w:rsid w:val="007430C8"/>
    <w:rsid w:val="00755FCC"/>
    <w:rsid w:val="007675E4"/>
    <w:rsid w:val="00776AE2"/>
    <w:rsid w:val="007921CD"/>
    <w:rsid w:val="007C51F0"/>
    <w:rsid w:val="007C5713"/>
    <w:rsid w:val="007C791C"/>
    <w:rsid w:val="007D6D02"/>
    <w:rsid w:val="007D7DF4"/>
    <w:rsid w:val="007E0D23"/>
    <w:rsid w:val="007F196D"/>
    <w:rsid w:val="007F4C70"/>
    <w:rsid w:val="00805895"/>
    <w:rsid w:val="008075CB"/>
    <w:rsid w:val="00811771"/>
    <w:rsid w:val="008154DD"/>
    <w:rsid w:val="00831F57"/>
    <w:rsid w:val="008542DE"/>
    <w:rsid w:val="008638DE"/>
    <w:rsid w:val="00891182"/>
    <w:rsid w:val="008A28C8"/>
    <w:rsid w:val="008C75E4"/>
    <w:rsid w:val="008F6B58"/>
    <w:rsid w:val="0090282C"/>
    <w:rsid w:val="00906D0C"/>
    <w:rsid w:val="00934B34"/>
    <w:rsid w:val="009565F5"/>
    <w:rsid w:val="009825FF"/>
    <w:rsid w:val="00985097"/>
    <w:rsid w:val="00994EF1"/>
    <w:rsid w:val="009C4BCF"/>
    <w:rsid w:val="009C7F61"/>
    <w:rsid w:val="009E6A8B"/>
    <w:rsid w:val="00A04A96"/>
    <w:rsid w:val="00A40070"/>
    <w:rsid w:val="00A42E82"/>
    <w:rsid w:val="00A45259"/>
    <w:rsid w:val="00A46EE9"/>
    <w:rsid w:val="00A55E83"/>
    <w:rsid w:val="00A579BB"/>
    <w:rsid w:val="00A63D55"/>
    <w:rsid w:val="00A8441B"/>
    <w:rsid w:val="00A9088C"/>
    <w:rsid w:val="00A9168C"/>
    <w:rsid w:val="00A95D89"/>
    <w:rsid w:val="00AB3243"/>
    <w:rsid w:val="00AB5232"/>
    <w:rsid w:val="00B14DDC"/>
    <w:rsid w:val="00B30A5E"/>
    <w:rsid w:val="00B31505"/>
    <w:rsid w:val="00B6269C"/>
    <w:rsid w:val="00B70B76"/>
    <w:rsid w:val="00B74C73"/>
    <w:rsid w:val="00B93EB5"/>
    <w:rsid w:val="00B96F5A"/>
    <w:rsid w:val="00BA2247"/>
    <w:rsid w:val="00BA5D97"/>
    <w:rsid w:val="00BA6B19"/>
    <w:rsid w:val="00BB1C52"/>
    <w:rsid w:val="00BB2A50"/>
    <w:rsid w:val="00BC1E48"/>
    <w:rsid w:val="00BC5422"/>
    <w:rsid w:val="00BD3F03"/>
    <w:rsid w:val="00C0704D"/>
    <w:rsid w:val="00C214A6"/>
    <w:rsid w:val="00C24A51"/>
    <w:rsid w:val="00C25722"/>
    <w:rsid w:val="00C345FC"/>
    <w:rsid w:val="00C44E40"/>
    <w:rsid w:val="00C50517"/>
    <w:rsid w:val="00C618DB"/>
    <w:rsid w:val="00C6456D"/>
    <w:rsid w:val="00C93384"/>
    <w:rsid w:val="00CA28BA"/>
    <w:rsid w:val="00CD1729"/>
    <w:rsid w:val="00CD2E03"/>
    <w:rsid w:val="00CD38B1"/>
    <w:rsid w:val="00D102D9"/>
    <w:rsid w:val="00D1063F"/>
    <w:rsid w:val="00D11007"/>
    <w:rsid w:val="00D1420C"/>
    <w:rsid w:val="00D23470"/>
    <w:rsid w:val="00D2449B"/>
    <w:rsid w:val="00D54384"/>
    <w:rsid w:val="00D54E67"/>
    <w:rsid w:val="00D54F48"/>
    <w:rsid w:val="00D632BB"/>
    <w:rsid w:val="00D80310"/>
    <w:rsid w:val="00D9608A"/>
    <w:rsid w:val="00D96DF7"/>
    <w:rsid w:val="00D97AA3"/>
    <w:rsid w:val="00DA27B6"/>
    <w:rsid w:val="00DC3C8A"/>
    <w:rsid w:val="00DD62F6"/>
    <w:rsid w:val="00DD7E97"/>
    <w:rsid w:val="00DE740E"/>
    <w:rsid w:val="00DF42DA"/>
    <w:rsid w:val="00E03AFD"/>
    <w:rsid w:val="00E0485E"/>
    <w:rsid w:val="00E06DFC"/>
    <w:rsid w:val="00E23FB0"/>
    <w:rsid w:val="00E270CB"/>
    <w:rsid w:val="00E3317F"/>
    <w:rsid w:val="00E46243"/>
    <w:rsid w:val="00E66534"/>
    <w:rsid w:val="00E719D1"/>
    <w:rsid w:val="00E71A35"/>
    <w:rsid w:val="00E72F6C"/>
    <w:rsid w:val="00E80113"/>
    <w:rsid w:val="00EA09F9"/>
    <w:rsid w:val="00EA1673"/>
    <w:rsid w:val="00EB7D74"/>
    <w:rsid w:val="00EC23C7"/>
    <w:rsid w:val="00EC6946"/>
    <w:rsid w:val="00ED00B7"/>
    <w:rsid w:val="00EF1341"/>
    <w:rsid w:val="00EF44E6"/>
    <w:rsid w:val="00F012FA"/>
    <w:rsid w:val="00F055D3"/>
    <w:rsid w:val="00F129DD"/>
    <w:rsid w:val="00F16D0F"/>
    <w:rsid w:val="00F32789"/>
    <w:rsid w:val="00F71D53"/>
    <w:rsid w:val="00F731F5"/>
    <w:rsid w:val="00F75F59"/>
    <w:rsid w:val="00F8201E"/>
    <w:rsid w:val="00FC046F"/>
    <w:rsid w:val="00FC6A11"/>
    <w:rsid w:val="00FC77EC"/>
    <w:rsid w:val="00FD334A"/>
    <w:rsid w:val="00FD6AE3"/>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2E90"/>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D9C84-5DB3-466F-B82E-C6B11B16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2022-04-20T13:26:00Z</cp:lastPrinted>
  <dcterms:created xsi:type="dcterms:W3CDTF">2022-04-20T13:28:00Z</dcterms:created>
  <dcterms:modified xsi:type="dcterms:W3CDTF">2022-04-20T13:28:00Z</dcterms:modified>
</cp:coreProperties>
</file>