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236"/>
        <w:gridCol w:w="445"/>
        <w:gridCol w:w="201"/>
        <w:gridCol w:w="1030"/>
        <w:gridCol w:w="1030"/>
        <w:gridCol w:w="519"/>
        <w:gridCol w:w="579"/>
        <w:gridCol w:w="428"/>
        <w:gridCol w:w="602"/>
        <w:gridCol w:w="1030"/>
        <w:gridCol w:w="999"/>
      </w:tblGrid>
      <w:tr w:rsidR="008C75E4" w:rsidRPr="008C75E4" w14:paraId="59B39768" w14:textId="77777777" w:rsidTr="000E61F1">
        <w:trPr>
          <w:jc w:val="center"/>
        </w:trPr>
        <w:tc>
          <w:tcPr>
            <w:tcW w:w="9493" w:type="dxa"/>
            <w:gridSpan w:val="14"/>
            <w:tcMar>
              <w:top w:w="57" w:type="dxa"/>
              <w:bottom w:w="57" w:type="dxa"/>
            </w:tcMar>
          </w:tcPr>
          <w:p w14:paraId="3EB5A624"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77A66ABB" w14:textId="77777777" w:rsidTr="000E61F1">
        <w:trPr>
          <w:trHeight w:val="535"/>
          <w:jc w:val="center"/>
        </w:trPr>
        <w:tc>
          <w:tcPr>
            <w:tcW w:w="1296" w:type="dxa"/>
            <w:tcMar>
              <w:top w:w="57" w:type="dxa"/>
              <w:bottom w:w="57" w:type="dxa"/>
            </w:tcMar>
          </w:tcPr>
          <w:p w14:paraId="59C452F0" w14:textId="77777777" w:rsidR="004936A6" w:rsidRDefault="004936A6" w:rsidP="00D2449B">
            <w:pPr>
              <w:jc w:val="center"/>
              <w:rPr>
                <w:rFonts w:ascii="Calibri" w:hAnsi="Calibri"/>
                <w:b/>
                <w:szCs w:val="22"/>
              </w:rPr>
            </w:pPr>
            <w:r w:rsidRPr="008C75E4">
              <w:rPr>
                <w:rFonts w:ascii="Calibri" w:hAnsi="Calibri"/>
                <w:b/>
                <w:szCs w:val="22"/>
              </w:rPr>
              <w:t>Signed:</w:t>
            </w:r>
          </w:p>
          <w:p w14:paraId="5BAE9914" w14:textId="77777777" w:rsidR="00454754" w:rsidRPr="008C75E4" w:rsidRDefault="00454754" w:rsidP="00D2449B">
            <w:pPr>
              <w:jc w:val="center"/>
              <w:rPr>
                <w:rFonts w:ascii="Calibri" w:hAnsi="Calibri"/>
                <w:b/>
                <w:szCs w:val="22"/>
              </w:rPr>
            </w:pPr>
          </w:p>
        </w:tc>
        <w:tc>
          <w:tcPr>
            <w:tcW w:w="900" w:type="dxa"/>
          </w:tcPr>
          <w:p w14:paraId="54337094"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5472AF36" w14:textId="77777777" w:rsidR="004936A6" w:rsidRPr="008C75E4" w:rsidRDefault="004936A6" w:rsidP="00D2449B">
            <w:pPr>
              <w:jc w:val="center"/>
              <w:rPr>
                <w:rFonts w:ascii="Calibri" w:hAnsi="Calibri"/>
                <w:b/>
                <w:szCs w:val="22"/>
              </w:rPr>
            </w:pPr>
          </w:p>
        </w:tc>
        <w:tc>
          <w:tcPr>
            <w:tcW w:w="1030" w:type="dxa"/>
          </w:tcPr>
          <w:p w14:paraId="4EB89577"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1A4AD0D2" w14:textId="77777777" w:rsidR="004936A6" w:rsidRPr="008C75E4" w:rsidRDefault="004936A6" w:rsidP="00D2449B">
            <w:pPr>
              <w:jc w:val="center"/>
              <w:rPr>
                <w:rFonts w:ascii="Calibri" w:hAnsi="Calibri"/>
                <w:b/>
                <w:szCs w:val="22"/>
              </w:rPr>
            </w:pPr>
          </w:p>
        </w:tc>
        <w:tc>
          <w:tcPr>
            <w:tcW w:w="1098" w:type="dxa"/>
            <w:gridSpan w:val="2"/>
          </w:tcPr>
          <w:p w14:paraId="4339D2EB"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1C5D57EA" w14:textId="77777777" w:rsidR="004936A6" w:rsidRPr="008C75E4" w:rsidRDefault="004936A6" w:rsidP="00D2449B">
            <w:pPr>
              <w:jc w:val="center"/>
              <w:rPr>
                <w:rFonts w:ascii="Calibri" w:hAnsi="Calibri"/>
                <w:b/>
                <w:szCs w:val="22"/>
              </w:rPr>
            </w:pPr>
          </w:p>
        </w:tc>
        <w:tc>
          <w:tcPr>
            <w:tcW w:w="1030" w:type="dxa"/>
          </w:tcPr>
          <w:p w14:paraId="44027DFB"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999" w:type="dxa"/>
          </w:tcPr>
          <w:p w14:paraId="2EA7D516" w14:textId="77777777" w:rsidR="004936A6" w:rsidRPr="008C75E4" w:rsidRDefault="004936A6" w:rsidP="00D2449B">
            <w:pPr>
              <w:jc w:val="center"/>
              <w:rPr>
                <w:rFonts w:ascii="Calibri" w:hAnsi="Calibri"/>
                <w:b/>
                <w:szCs w:val="22"/>
              </w:rPr>
            </w:pPr>
          </w:p>
        </w:tc>
      </w:tr>
      <w:tr w:rsidR="00E06DFC" w:rsidRPr="008C75E4" w14:paraId="09147447" w14:textId="77777777" w:rsidTr="000E61F1">
        <w:trPr>
          <w:trHeight w:val="586"/>
          <w:jc w:val="center"/>
        </w:trPr>
        <w:tc>
          <w:tcPr>
            <w:tcW w:w="1296" w:type="dxa"/>
            <w:tcBorders>
              <w:bottom w:val="single" w:sz="4" w:space="0" w:color="BFBFBF" w:themeColor="background1" w:themeShade="BF"/>
            </w:tcBorders>
            <w:tcMar>
              <w:top w:w="57" w:type="dxa"/>
              <w:bottom w:w="57" w:type="dxa"/>
            </w:tcMar>
          </w:tcPr>
          <w:p w14:paraId="46597B8C"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71E58E30" w14:textId="77777777"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14:paraId="0E8CA999"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45530442" w14:textId="77777777" w:rsidR="00E06DFC" w:rsidRPr="004D670C" w:rsidRDefault="00E06DFC" w:rsidP="004D670C">
            <w:pPr>
              <w:ind w:left="360"/>
              <w:jc w:val="center"/>
              <w:rPr>
                <w:rFonts w:ascii="Calibri" w:hAnsi="Calibri"/>
                <w:b/>
                <w:szCs w:val="22"/>
              </w:rPr>
            </w:pPr>
          </w:p>
        </w:tc>
        <w:tc>
          <w:tcPr>
            <w:tcW w:w="5187" w:type="dxa"/>
            <w:gridSpan w:val="7"/>
            <w:tcBorders>
              <w:bottom w:val="single" w:sz="4" w:space="0" w:color="BFBFBF" w:themeColor="background1" w:themeShade="BF"/>
            </w:tcBorders>
          </w:tcPr>
          <w:p w14:paraId="1CD7423A" w14:textId="77777777" w:rsidR="00E06DFC" w:rsidRPr="008C75E4" w:rsidRDefault="00E06DFC" w:rsidP="00D2449B">
            <w:pPr>
              <w:jc w:val="center"/>
              <w:rPr>
                <w:rFonts w:ascii="Calibri" w:hAnsi="Calibri"/>
                <w:b/>
                <w:szCs w:val="22"/>
              </w:rPr>
            </w:pPr>
          </w:p>
        </w:tc>
      </w:tr>
      <w:tr w:rsidR="008C75E4" w:rsidRPr="008C75E4" w14:paraId="32D81917" w14:textId="77777777" w:rsidTr="000E61F1">
        <w:trPr>
          <w:jc w:val="center"/>
        </w:trPr>
        <w:tc>
          <w:tcPr>
            <w:tcW w:w="9493" w:type="dxa"/>
            <w:gridSpan w:val="14"/>
            <w:tcBorders>
              <w:left w:val="nil"/>
              <w:right w:val="nil"/>
            </w:tcBorders>
            <w:tcMar>
              <w:top w:w="57" w:type="dxa"/>
              <w:bottom w:w="57" w:type="dxa"/>
            </w:tcMar>
          </w:tcPr>
          <w:p w14:paraId="70BD8D06" w14:textId="77777777" w:rsidR="004A5EA9" w:rsidRPr="008C75E4" w:rsidRDefault="004A5EA9" w:rsidP="004A5EA9">
            <w:pPr>
              <w:jc w:val="center"/>
              <w:rPr>
                <w:rFonts w:ascii="Calibri" w:hAnsi="Calibri"/>
                <w:b/>
                <w:szCs w:val="22"/>
              </w:rPr>
            </w:pPr>
          </w:p>
        </w:tc>
      </w:tr>
      <w:tr w:rsidR="008C75E4" w:rsidRPr="008C75E4" w14:paraId="3B2C00FD" w14:textId="77777777" w:rsidTr="000E61F1">
        <w:trPr>
          <w:jc w:val="center"/>
        </w:trPr>
        <w:tc>
          <w:tcPr>
            <w:tcW w:w="2394" w:type="dxa"/>
            <w:gridSpan w:val="3"/>
            <w:tcMar>
              <w:top w:w="57" w:type="dxa"/>
              <w:bottom w:w="57" w:type="dxa"/>
            </w:tcMar>
          </w:tcPr>
          <w:p w14:paraId="27474F37"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75B6ABDF" w14:textId="53B83C01" w:rsidR="004A5EA9" w:rsidRPr="008C75E4" w:rsidRDefault="00555D53" w:rsidP="008F6B58">
            <w:pPr>
              <w:rPr>
                <w:rFonts w:ascii="Calibri" w:hAnsi="Calibri"/>
                <w:szCs w:val="22"/>
              </w:rPr>
            </w:pPr>
            <w:r>
              <w:rPr>
                <w:rFonts w:ascii="Calibri" w:hAnsi="Calibri"/>
                <w:szCs w:val="22"/>
              </w:rPr>
              <w:t>3/202</w:t>
            </w:r>
            <w:r w:rsidR="00CC4BC0">
              <w:rPr>
                <w:rFonts w:ascii="Calibri" w:hAnsi="Calibri"/>
                <w:szCs w:val="22"/>
              </w:rPr>
              <w:t>1/0785</w:t>
            </w:r>
          </w:p>
        </w:tc>
        <w:tc>
          <w:tcPr>
            <w:tcW w:w="3638" w:type="dxa"/>
            <w:gridSpan w:val="5"/>
            <w:vMerge w:val="restart"/>
            <w:tcMar>
              <w:top w:w="57" w:type="dxa"/>
              <w:bottom w:w="57" w:type="dxa"/>
            </w:tcMar>
          </w:tcPr>
          <w:p w14:paraId="7BEC815F"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223400B7" wp14:editId="400C4259">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60049E9C" w14:textId="77777777" w:rsidTr="000E61F1">
        <w:trPr>
          <w:jc w:val="center"/>
        </w:trPr>
        <w:tc>
          <w:tcPr>
            <w:tcW w:w="2394" w:type="dxa"/>
            <w:gridSpan w:val="3"/>
            <w:tcMar>
              <w:top w:w="57" w:type="dxa"/>
              <w:bottom w:w="57" w:type="dxa"/>
            </w:tcMar>
          </w:tcPr>
          <w:p w14:paraId="222EBDE8"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76383882" w14:textId="68D3D5EC" w:rsidR="004A5EA9" w:rsidRPr="008C75E4" w:rsidRDefault="0051712F" w:rsidP="002C6277">
            <w:pPr>
              <w:rPr>
                <w:rFonts w:ascii="Calibri" w:hAnsi="Calibri"/>
                <w:szCs w:val="22"/>
              </w:rPr>
            </w:pPr>
            <w:r>
              <w:rPr>
                <w:rFonts w:ascii="Calibri" w:hAnsi="Calibri"/>
                <w:szCs w:val="22"/>
              </w:rPr>
              <w:t>0</w:t>
            </w:r>
            <w:r w:rsidR="00CC4BC0">
              <w:rPr>
                <w:rFonts w:ascii="Calibri" w:hAnsi="Calibri"/>
                <w:szCs w:val="22"/>
              </w:rPr>
              <w:t>6/10/2021</w:t>
            </w:r>
          </w:p>
        </w:tc>
        <w:tc>
          <w:tcPr>
            <w:tcW w:w="3638" w:type="dxa"/>
            <w:gridSpan w:val="5"/>
            <w:vMerge/>
            <w:tcMar>
              <w:top w:w="57" w:type="dxa"/>
              <w:bottom w:w="57" w:type="dxa"/>
            </w:tcMar>
          </w:tcPr>
          <w:p w14:paraId="65DCBB26" w14:textId="77777777" w:rsidR="004A5EA9" w:rsidRPr="008C75E4" w:rsidRDefault="004A5EA9">
            <w:pPr>
              <w:rPr>
                <w:rFonts w:ascii="Calibri" w:hAnsi="Calibri"/>
                <w:szCs w:val="22"/>
              </w:rPr>
            </w:pPr>
          </w:p>
        </w:tc>
      </w:tr>
      <w:tr w:rsidR="008C75E4" w:rsidRPr="008C75E4" w14:paraId="5E08A385" w14:textId="77777777" w:rsidTr="000E61F1">
        <w:trPr>
          <w:jc w:val="center"/>
        </w:trPr>
        <w:tc>
          <w:tcPr>
            <w:tcW w:w="2394" w:type="dxa"/>
            <w:gridSpan w:val="3"/>
            <w:tcMar>
              <w:top w:w="57" w:type="dxa"/>
              <w:bottom w:w="57" w:type="dxa"/>
            </w:tcMar>
          </w:tcPr>
          <w:p w14:paraId="2C459F8A"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060634F2" w14:textId="77777777" w:rsidR="004A5EA9" w:rsidRPr="00454754" w:rsidRDefault="00555D53" w:rsidP="00811771">
            <w:pPr>
              <w:rPr>
                <w:rFonts w:ascii="Calibri" w:hAnsi="Calibri"/>
                <w:b/>
                <w:szCs w:val="22"/>
              </w:rPr>
            </w:pPr>
            <w:r>
              <w:rPr>
                <w:rFonts w:ascii="Calibri" w:hAnsi="Calibri"/>
                <w:b/>
                <w:szCs w:val="22"/>
              </w:rPr>
              <w:t>AB</w:t>
            </w:r>
          </w:p>
        </w:tc>
        <w:tc>
          <w:tcPr>
            <w:tcW w:w="3638" w:type="dxa"/>
            <w:gridSpan w:val="5"/>
            <w:vMerge/>
            <w:tcMar>
              <w:top w:w="57" w:type="dxa"/>
              <w:bottom w:w="57" w:type="dxa"/>
            </w:tcMar>
          </w:tcPr>
          <w:p w14:paraId="3729EA27" w14:textId="77777777" w:rsidR="004A5EA9" w:rsidRPr="008C75E4" w:rsidRDefault="004A5EA9">
            <w:pPr>
              <w:rPr>
                <w:rFonts w:ascii="Calibri" w:hAnsi="Calibri"/>
                <w:szCs w:val="22"/>
              </w:rPr>
            </w:pPr>
          </w:p>
        </w:tc>
      </w:tr>
      <w:tr w:rsidR="00FD334A" w:rsidRPr="008C75E4" w14:paraId="64E2FD26" w14:textId="77777777" w:rsidTr="000E61F1">
        <w:trPr>
          <w:jc w:val="center"/>
        </w:trPr>
        <w:tc>
          <w:tcPr>
            <w:tcW w:w="5855" w:type="dxa"/>
            <w:gridSpan w:val="9"/>
            <w:tcBorders>
              <w:bottom w:val="single" w:sz="4" w:space="0" w:color="BFBFBF" w:themeColor="background1" w:themeShade="BF"/>
            </w:tcBorders>
            <w:tcMar>
              <w:top w:w="57" w:type="dxa"/>
              <w:bottom w:w="57" w:type="dxa"/>
            </w:tcMar>
          </w:tcPr>
          <w:p w14:paraId="0C761EDB"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2A8A5C80" w14:textId="77777777" w:rsidR="00FD334A" w:rsidRPr="008C75E4" w:rsidRDefault="00FD334A" w:rsidP="00FD334A">
            <w:pPr>
              <w:rPr>
                <w:rFonts w:ascii="Calibri" w:hAnsi="Calibri"/>
                <w:b/>
                <w:szCs w:val="22"/>
              </w:rPr>
            </w:pPr>
            <w:r>
              <w:rPr>
                <w:rFonts w:ascii="Calibri" w:hAnsi="Calibri"/>
                <w:b/>
                <w:szCs w:val="22"/>
              </w:rPr>
              <w:t>Decision</w:t>
            </w:r>
          </w:p>
        </w:tc>
        <w:tc>
          <w:tcPr>
            <w:tcW w:w="2631" w:type="dxa"/>
            <w:gridSpan w:val="3"/>
            <w:tcBorders>
              <w:bottom w:val="single" w:sz="4" w:space="0" w:color="BFBFBF" w:themeColor="background1" w:themeShade="BF"/>
            </w:tcBorders>
          </w:tcPr>
          <w:p w14:paraId="190B6309" w14:textId="41A71439" w:rsidR="00FD334A" w:rsidRPr="008C75E4" w:rsidRDefault="00CC4BC0" w:rsidP="000B38CB">
            <w:pPr>
              <w:jc w:val="center"/>
              <w:rPr>
                <w:rFonts w:ascii="Calibri" w:hAnsi="Calibri"/>
                <w:b/>
                <w:szCs w:val="22"/>
              </w:rPr>
            </w:pPr>
            <w:r>
              <w:rPr>
                <w:rFonts w:ascii="Calibri" w:hAnsi="Calibri"/>
                <w:b/>
                <w:szCs w:val="22"/>
              </w:rPr>
              <w:t>REFUSED</w:t>
            </w:r>
          </w:p>
        </w:tc>
      </w:tr>
      <w:tr w:rsidR="008C75E4" w:rsidRPr="008C75E4" w14:paraId="44231A76" w14:textId="77777777" w:rsidTr="000E61F1">
        <w:trPr>
          <w:trHeight w:hRule="exact" w:val="144"/>
          <w:jc w:val="center"/>
        </w:trPr>
        <w:tc>
          <w:tcPr>
            <w:tcW w:w="9493" w:type="dxa"/>
            <w:gridSpan w:val="14"/>
            <w:tcBorders>
              <w:left w:val="nil"/>
              <w:right w:val="nil"/>
            </w:tcBorders>
            <w:tcMar>
              <w:top w:w="57" w:type="dxa"/>
              <w:bottom w:w="57" w:type="dxa"/>
            </w:tcMar>
          </w:tcPr>
          <w:p w14:paraId="73169370" w14:textId="77777777" w:rsidR="004A5EA9" w:rsidRPr="00504440" w:rsidRDefault="004A5EA9" w:rsidP="007E0D23">
            <w:pPr>
              <w:tabs>
                <w:tab w:val="left" w:pos="4007"/>
              </w:tabs>
              <w:rPr>
                <w:rFonts w:ascii="Calibri" w:hAnsi="Calibri"/>
                <w:b/>
                <w:sz w:val="4"/>
                <w:szCs w:val="4"/>
              </w:rPr>
            </w:pPr>
          </w:p>
        </w:tc>
      </w:tr>
      <w:tr w:rsidR="008C75E4" w:rsidRPr="008C75E4" w14:paraId="10381AF5" w14:textId="77777777" w:rsidTr="000E61F1">
        <w:trPr>
          <w:jc w:val="center"/>
        </w:trPr>
        <w:tc>
          <w:tcPr>
            <w:tcW w:w="3075" w:type="dxa"/>
            <w:gridSpan w:val="5"/>
            <w:tcMar>
              <w:top w:w="57" w:type="dxa"/>
              <w:bottom w:w="57" w:type="dxa"/>
            </w:tcMar>
          </w:tcPr>
          <w:p w14:paraId="11BAF491"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18" w:type="dxa"/>
            <w:gridSpan w:val="9"/>
          </w:tcPr>
          <w:p w14:paraId="4C450E08" w14:textId="0C6E60BF" w:rsidR="004A5EA9" w:rsidRPr="004E7CFB" w:rsidRDefault="00CC4BC0" w:rsidP="007D0F8F">
            <w:pPr>
              <w:rPr>
                <w:rFonts w:asciiTheme="minorHAnsi" w:hAnsiTheme="minorHAnsi" w:cstheme="minorHAnsi"/>
                <w:b/>
                <w:color w:val="000000" w:themeColor="text1"/>
                <w:szCs w:val="22"/>
              </w:rPr>
            </w:pPr>
            <w:r w:rsidRPr="00CC4BC0">
              <w:rPr>
                <w:rFonts w:asciiTheme="minorHAnsi" w:hAnsiTheme="minorHAnsi" w:cstheme="minorHAnsi"/>
                <w:b/>
                <w:color w:val="000000" w:themeColor="text1"/>
                <w:szCs w:val="22"/>
              </w:rPr>
              <w:t>Proposed balcony/patio area above the double garage, with 1.150m high glass balustrade, accessed by wooden steps from the garden.</w:t>
            </w:r>
          </w:p>
        </w:tc>
      </w:tr>
      <w:tr w:rsidR="008C75E4" w:rsidRPr="008C75E4" w14:paraId="42D78C3E" w14:textId="77777777" w:rsidTr="000E61F1">
        <w:trPr>
          <w:jc w:val="center"/>
        </w:trPr>
        <w:tc>
          <w:tcPr>
            <w:tcW w:w="3075" w:type="dxa"/>
            <w:gridSpan w:val="5"/>
            <w:tcBorders>
              <w:bottom w:val="single" w:sz="4" w:space="0" w:color="BFBFBF" w:themeColor="background1" w:themeShade="BF"/>
            </w:tcBorders>
            <w:tcMar>
              <w:top w:w="57" w:type="dxa"/>
              <w:bottom w:w="57" w:type="dxa"/>
            </w:tcMar>
          </w:tcPr>
          <w:p w14:paraId="536ED882"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18" w:type="dxa"/>
            <w:gridSpan w:val="9"/>
            <w:tcBorders>
              <w:bottom w:val="single" w:sz="4" w:space="0" w:color="BFBFBF" w:themeColor="background1" w:themeShade="BF"/>
            </w:tcBorders>
          </w:tcPr>
          <w:p w14:paraId="5E74D335" w14:textId="468D4F78" w:rsidR="002A01CF" w:rsidRPr="009F332E" w:rsidRDefault="00CC4BC0" w:rsidP="00A42E82">
            <w:pPr>
              <w:rPr>
                <w:rFonts w:asciiTheme="minorHAnsi" w:hAnsiTheme="minorHAnsi" w:cstheme="minorHAnsi"/>
                <w:b/>
                <w:szCs w:val="22"/>
              </w:rPr>
            </w:pPr>
            <w:r w:rsidRPr="00CC4BC0">
              <w:rPr>
                <w:rFonts w:asciiTheme="minorHAnsi" w:hAnsiTheme="minorHAnsi" w:cstheme="minorHAnsi"/>
                <w:b/>
                <w:szCs w:val="22"/>
              </w:rPr>
              <w:t>1 The Hazels Wilpshire BB1 9HZ</w:t>
            </w:r>
          </w:p>
        </w:tc>
      </w:tr>
      <w:tr w:rsidR="008C75E4" w:rsidRPr="008C75E4" w14:paraId="4E1F358F" w14:textId="77777777" w:rsidTr="000E61F1">
        <w:trPr>
          <w:trHeight w:hRule="exact" w:val="144"/>
          <w:jc w:val="center"/>
        </w:trPr>
        <w:tc>
          <w:tcPr>
            <w:tcW w:w="9493" w:type="dxa"/>
            <w:gridSpan w:val="14"/>
            <w:tcBorders>
              <w:left w:val="nil"/>
              <w:right w:val="nil"/>
            </w:tcBorders>
            <w:tcMar>
              <w:top w:w="57" w:type="dxa"/>
              <w:bottom w:w="57" w:type="dxa"/>
            </w:tcMar>
          </w:tcPr>
          <w:p w14:paraId="622C0741" w14:textId="77777777" w:rsidR="00A95D89" w:rsidRPr="00504440" w:rsidRDefault="00A95D89" w:rsidP="007E0D23">
            <w:pPr>
              <w:tabs>
                <w:tab w:val="left" w:pos="2667"/>
              </w:tabs>
              <w:rPr>
                <w:rFonts w:ascii="Calibri" w:hAnsi="Calibri"/>
                <w:b/>
                <w:sz w:val="4"/>
                <w:szCs w:val="4"/>
              </w:rPr>
            </w:pPr>
          </w:p>
        </w:tc>
      </w:tr>
      <w:tr w:rsidR="008C75E4" w:rsidRPr="008C75E4" w14:paraId="4E536B92" w14:textId="77777777" w:rsidTr="000E61F1">
        <w:trPr>
          <w:jc w:val="center"/>
        </w:trPr>
        <w:tc>
          <w:tcPr>
            <w:tcW w:w="3075" w:type="dxa"/>
            <w:gridSpan w:val="5"/>
            <w:tcMar>
              <w:top w:w="57" w:type="dxa"/>
              <w:bottom w:w="57" w:type="dxa"/>
            </w:tcMar>
          </w:tcPr>
          <w:p w14:paraId="1E568CD6" w14:textId="77777777" w:rsidR="00C618DB" w:rsidRPr="00CC4BC0" w:rsidRDefault="00C618DB">
            <w:pPr>
              <w:rPr>
                <w:rFonts w:ascii="Calibri" w:hAnsi="Calibri"/>
                <w:b/>
                <w:szCs w:val="22"/>
              </w:rPr>
            </w:pPr>
            <w:r w:rsidRPr="00CC4BC0">
              <w:rPr>
                <w:rFonts w:ascii="Calibri" w:hAnsi="Calibri"/>
                <w:b/>
                <w:szCs w:val="22"/>
              </w:rPr>
              <w:t xml:space="preserve">CONSULTATIONS: </w:t>
            </w:r>
          </w:p>
        </w:tc>
        <w:tc>
          <w:tcPr>
            <w:tcW w:w="6418" w:type="dxa"/>
            <w:gridSpan w:val="9"/>
          </w:tcPr>
          <w:p w14:paraId="7965B811"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4E7CFB" w14:paraId="0A338F69" w14:textId="77777777" w:rsidTr="000E61F1">
        <w:trPr>
          <w:jc w:val="center"/>
        </w:trPr>
        <w:tc>
          <w:tcPr>
            <w:tcW w:w="9493" w:type="dxa"/>
            <w:gridSpan w:val="14"/>
            <w:tcBorders>
              <w:bottom w:val="single" w:sz="4" w:space="0" w:color="BFBFBF" w:themeColor="background1" w:themeShade="BF"/>
            </w:tcBorders>
            <w:tcMar>
              <w:top w:w="57" w:type="dxa"/>
              <w:bottom w:w="57" w:type="dxa"/>
            </w:tcMar>
          </w:tcPr>
          <w:p w14:paraId="7152A291" w14:textId="30CCD6E1" w:rsidR="003A4376" w:rsidRPr="00CC4BC0" w:rsidRDefault="00CC4BC0" w:rsidP="00831115">
            <w:pPr>
              <w:pStyle w:val="PlainText"/>
              <w:rPr>
                <w:szCs w:val="22"/>
              </w:rPr>
            </w:pPr>
            <w:r w:rsidRPr="00CC4BC0">
              <w:rPr>
                <w:color w:val="000000"/>
                <w:szCs w:val="22"/>
              </w:rPr>
              <w:t>Object to this application as it would result in overlooking and loss of amenity to the neighbouring property at no. 2.</w:t>
            </w:r>
          </w:p>
        </w:tc>
      </w:tr>
      <w:tr w:rsidR="008C75E4" w:rsidRPr="008C75E4" w14:paraId="740F1C41" w14:textId="77777777" w:rsidTr="000E61F1">
        <w:trPr>
          <w:trHeight w:hRule="exact" w:val="144"/>
          <w:jc w:val="center"/>
        </w:trPr>
        <w:tc>
          <w:tcPr>
            <w:tcW w:w="9493" w:type="dxa"/>
            <w:gridSpan w:val="14"/>
            <w:tcBorders>
              <w:left w:val="nil"/>
              <w:right w:val="nil"/>
            </w:tcBorders>
            <w:tcMar>
              <w:top w:w="57" w:type="dxa"/>
              <w:bottom w:w="57" w:type="dxa"/>
            </w:tcMar>
          </w:tcPr>
          <w:p w14:paraId="771176FF" w14:textId="77777777" w:rsidR="00C618DB" w:rsidRPr="00504440" w:rsidRDefault="00C618DB" w:rsidP="006126D1">
            <w:pPr>
              <w:jc w:val="both"/>
              <w:rPr>
                <w:rFonts w:ascii="Calibri" w:hAnsi="Calibri"/>
                <w:bCs/>
                <w:sz w:val="4"/>
                <w:szCs w:val="4"/>
              </w:rPr>
            </w:pPr>
          </w:p>
        </w:tc>
      </w:tr>
      <w:tr w:rsidR="008C75E4" w:rsidRPr="008C75E4" w14:paraId="47085387" w14:textId="77777777" w:rsidTr="000E61F1">
        <w:trPr>
          <w:jc w:val="center"/>
        </w:trPr>
        <w:tc>
          <w:tcPr>
            <w:tcW w:w="3075" w:type="dxa"/>
            <w:gridSpan w:val="5"/>
            <w:tcMar>
              <w:top w:w="57" w:type="dxa"/>
              <w:bottom w:w="57" w:type="dxa"/>
            </w:tcMar>
          </w:tcPr>
          <w:p w14:paraId="02BBE121" w14:textId="77777777" w:rsidR="00C0704D" w:rsidRPr="000E61F1" w:rsidRDefault="00C0704D" w:rsidP="006126D1">
            <w:pPr>
              <w:jc w:val="both"/>
              <w:rPr>
                <w:rFonts w:asciiTheme="minorHAnsi" w:hAnsiTheme="minorHAnsi"/>
                <w:b/>
                <w:szCs w:val="22"/>
              </w:rPr>
            </w:pPr>
            <w:r w:rsidRPr="000E61F1">
              <w:rPr>
                <w:rFonts w:asciiTheme="minorHAnsi" w:hAnsiTheme="minorHAnsi"/>
                <w:b/>
                <w:szCs w:val="22"/>
              </w:rPr>
              <w:t xml:space="preserve">CONSULTATIONS: </w:t>
            </w:r>
          </w:p>
        </w:tc>
        <w:tc>
          <w:tcPr>
            <w:tcW w:w="6418" w:type="dxa"/>
            <w:gridSpan w:val="9"/>
          </w:tcPr>
          <w:p w14:paraId="7CB857AC"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37515AE5" w14:textId="77777777" w:rsidTr="000E61F1">
        <w:trPr>
          <w:jc w:val="center"/>
        </w:trPr>
        <w:tc>
          <w:tcPr>
            <w:tcW w:w="9493" w:type="dxa"/>
            <w:gridSpan w:val="14"/>
            <w:tcBorders>
              <w:bottom w:val="single" w:sz="4" w:space="0" w:color="BFBFBF" w:themeColor="background1" w:themeShade="BF"/>
            </w:tcBorders>
            <w:tcMar>
              <w:top w:w="57" w:type="dxa"/>
              <w:bottom w:w="57" w:type="dxa"/>
            </w:tcMar>
          </w:tcPr>
          <w:p w14:paraId="58F31309" w14:textId="77777777" w:rsidR="00CC4BC0" w:rsidRDefault="00CC4BC0" w:rsidP="006D54CD">
            <w:pPr>
              <w:jc w:val="both"/>
              <w:rPr>
                <w:rFonts w:asciiTheme="minorHAnsi" w:hAnsiTheme="minorHAnsi"/>
                <w:szCs w:val="22"/>
              </w:rPr>
            </w:pPr>
            <w:r>
              <w:rPr>
                <w:rFonts w:asciiTheme="minorHAnsi" w:hAnsiTheme="minorHAnsi"/>
                <w:szCs w:val="22"/>
              </w:rPr>
              <w:t>One letter of objection has been received and raises the following concerns:</w:t>
            </w:r>
          </w:p>
          <w:p w14:paraId="07136EA9" w14:textId="77777777" w:rsidR="00CC4BC0" w:rsidRDefault="00CC4BC0" w:rsidP="006D54CD">
            <w:pPr>
              <w:jc w:val="both"/>
              <w:rPr>
                <w:rFonts w:asciiTheme="minorHAnsi" w:hAnsiTheme="minorHAnsi"/>
                <w:szCs w:val="22"/>
              </w:rPr>
            </w:pPr>
          </w:p>
          <w:p w14:paraId="53F708E2" w14:textId="59CA6C9E" w:rsidR="00CC4BC0" w:rsidRPr="00CC4BC0" w:rsidRDefault="00CC4BC0" w:rsidP="00CC4BC0">
            <w:pPr>
              <w:pStyle w:val="ListParagraph"/>
              <w:numPr>
                <w:ilvl w:val="0"/>
                <w:numId w:val="20"/>
              </w:numPr>
              <w:jc w:val="both"/>
              <w:rPr>
                <w:rFonts w:asciiTheme="minorHAnsi" w:hAnsiTheme="minorHAnsi"/>
                <w:szCs w:val="22"/>
              </w:rPr>
            </w:pPr>
            <w:r w:rsidRPr="00CC4BC0">
              <w:rPr>
                <w:rFonts w:asciiTheme="minorHAnsi" w:hAnsiTheme="minorHAnsi"/>
                <w:szCs w:val="22"/>
              </w:rPr>
              <w:t>Overlooking and loss of privacy</w:t>
            </w:r>
          </w:p>
          <w:p w14:paraId="25793E22" w14:textId="283D551D" w:rsidR="00CC4BC0" w:rsidRPr="000E61F1" w:rsidRDefault="00CC4BC0" w:rsidP="006D54CD">
            <w:pPr>
              <w:jc w:val="both"/>
              <w:rPr>
                <w:rFonts w:asciiTheme="minorHAnsi" w:hAnsiTheme="minorHAnsi"/>
                <w:szCs w:val="22"/>
              </w:rPr>
            </w:pPr>
          </w:p>
        </w:tc>
      </w:tr>
      <w:tr w:rsidR="008C75E4" w:rsidRPr="008C75E4" w14:paraId="1E8B5D19" w14:textId="77777777" w:rsidTr="000E61F1">
        <w:trPr>
          <w:trHeight w:hRule="exact" w:val="144"/>
          <w:jc w:val="center"/>
        </w:trPr>
        <w:tc>
          <w:tcPr>
            <w:tcW w:w="9493" w:type="dxa"/>
            <w:gridSpan w:val="14"/>
            <w:tcBorders>
              <w:left w:val="nil"/>
              <w:right w:val="nil"/>
            </w:tcBorders>
            <w:tcMar>
              <w:top w:w="57" w:type="dxa"/>
              <w:bottom w:w="57" w:type="dxa"/>
            </w:tcMar>
          </w:tcPr>
          <w:p w14:paraId="4718D40A" w14:textId="77777777" w:rsidR="00C0704D" w:rsidRPr="00504440" w:rsidRDefault="00C0704D" w:rsidP="006126D1">
            <w:pPr>
              <w:jc w:val="both"/>
              <w:rPr>
                <w:rFonts w:ascii="Calibri" w:hAnsi="Calibri"/>
                <w:sz w:val="4"/>
                <w:szCs w:val="4"/>
              </w:rPr>
            </w:pPr>
          </w:p>
        </w:tc>
      </w:tr>
      <w:tr w:rsidR="008C75E4" w:rsidRPr="0042757D" w14:paraId="282A346D" w14:textId="77777777" w:rsidTr="000E61F1">
        <w:trPr>
          <w:jc w:val="center"/>
        </w:trPr>
        <w:tc>
          <w:tcPr>
            <w:tcW w:w="9493" w:type="dxa"/>
            <w:gridSpan w:val="14"/>
            <w:tcMar>
              <w:top w:w="57" w:type="dxa"/>
              <w:bottom w:w="57" w:type="dxa"/>
            </w:tcMar>
          </w:tcPr>
          <w:p w14:paraId="637F5D46" w14:textId="77777777" w:rsidR="00C0704D" w:rsidRPr="0042757D" w:rsidRDefault="00C0704D" w:rsidP="006126D1">
            <w:pPr>
              <w:jc w:val="both"/>
              <w:rPr>
                <w:rFonts w:asciiTheme="minorHAnsi" w:hAnsiTheme="minorHAnsi" w:cstheme="minorHAnsi"/>
                <w:b/>
                <w:szCs w:val="22"/>
              </w:rPr>
            </w:pPr>
            <w:r w:rsidRPr="0042757D">
              <w:rPr>
                <w:rFonts w:asciiTheme="minorHAnsi" w:hAnsiTheme="minorHAnsi" w:cstheme="minorHAnsi"/>
                <w:b/>
                <w:szCs w:val="22"/>
              </w:rPr>
              <w:t>RELEVANT POLICIES AND SITE PLANNING HISTORY:</w:t>
            </w:r>
          </w:p>
        </w:tc>
      </w:tr>
      <w:tr w:rsidR="008C75E4" w:rsidRPr="0042757D" w14:paraId="6770AF23" w14:textId="77777777" w:rsidTr="000E61F1">
        <w:trPr>
          <w:trHeight w:val="864"/>
          <w:jc w:val="center"/>
        </w:trPr>
        <w:tc>
          <w:tcPr>
            <w:tcW w:w="9493" w:type="dxa"/>
            <w:gridSpan w:val="14"/>
            <w:tcMar>
              <w:top w:w="57" w:type="dxa"/>
              <w:bottom w:w="57" w:type="dxa"/>
            </w:tcMar>
          </w:tcPr>
          <w:p w14:paraId="762A05F2" w14:textId="77777777" w:rsidR="0042757D" w:rsidRPr="004C08B6" w:rsidRDefault="0042757D" w:rsidP="0042757D">
            <w:pPr>
              <w:pStyle w:val="PLANNING"/>
              <w:rPr>
                <w:rFonts w:asciiTheme="minorHAnsi" w:hAnsiTheme="minorHAnsi" w:cstheme="minorHAnsi"/>
                <w:b/>
                <w:bCs/>
                <w:szCs w:val="22"/>
              </w:rPr>
            </w:pPr>
            <w:r w:rsidRPr="004C08B6">
              <w:rPr>
                <w:rFonts w:asciiTheme="minorHAnsi" w:hAnsiTheme="minorHAnsi" w:cstheme="minorHAnsi"/>
                <w:b/>
                <w:bCs/>
                <w:szCs w:val="22"/>
              </w:rPr>
              <w:t>Ribble Valley Core Strategy:</w:t>
            </w:r>
          </w:p>
          <w:p w14:paraId="54450BA4" w14:textId="68D08FAD" w:rsidR="00C4415A" w:rsidRPr="004C08B6" w:rsidRDefault="006825A9" w:rsidP="003520CC">
            <w:pPr>
              <w:jc w:val="both"/>
              <w:rPr>
                <w:rFonts w:asciiTheme="minorHAnsi" w:hAnsiTheme="minorHAnsi" w:cstheme="minorHAnsi"/>
                <w:szCs w:val="22"/>
              </w:rPr>
            </w:pPr>
            <w:r>
              <w:rPr>
                <w:rFonts w:asciiTheme="minorHAnsi" w:hAnsiTheme="minorHAnsi" w:cstheme="minorHAnsi"/>
                <w:szCs w:val="22"/>
              </w:rPr>
              <w:t>Policy DMG1 – General Considerations</w:t>
            </w:r>
          </w:p>
          <w:p w14:paraId="77DC7807" w14:textId="77777777" w:rsidR="004C08B6" w:rsidRPr="004C08B6" w:rsidRDefault="004C08B6" w:rsidP="003520CC">
            <w:pPr>
              <w:jc w:val="both"/>
              <w:rPr>
                <w:rFonts w:asciiTheme="minorHAnsi" w:hAnsiTheme="minorHAnsi" w:cstheme="minorHAnsi"/>
              </w:rPr>
            </w:pPr>
            <w:r w:rsidRPr="004C08B6">
              <w:rPr>
                <w:rFonts w:asciiTheme="minorHAnsi" w:hAnsiTheme="minorHAnsi" w:cstheme="minorHAnsi"/>
              </w:rPr>
              <w:t>Policy DMH5 – Residential and Curtilage Extensions</w:t>
            </w:r>
          </w:p>
          <w:p w14:paraId="5FF5A27F" w14:textId="77777777" w:rsidR="004C08B6" w:rsidRPr="004C08B6" w:rsidRDefault="004C08B6" w:rsidP="003520CC">
            <w:pPr>
              <w:jc w:val="both"/>
              <w:rPr>
                <w:rFonts w:asciiTheme="minorHAnsi" w:hAnsiTheme="minorHAnsi" w:cstheme="minorHAnsi"/>
              </w:rPr>
            </w:pPr>
          </w:p>
          <w:p w14:paraId="6D67C903" w14:textId="77777777" w:rsidR="0042757D" w:rsidRPr="004C08B6" w:rsidRDefault="0042757D" w:rsidP="0042757D">
            <w:pPr>
              <w:jc w:val="both"/>
              <w:rPr>
                <w:rFonts w:asciiTheme="minorHAnsi" w:hAnsiTheme="minorHAnsi" w:cstheme="minorHAnsi"/>
                <w:b/>
              </w:rPr>
            </w:pPr>
            <w:r w:rsidRPr="004C08B6">
              <w:rPr>
                <w:rFonts w:asciiTheme="minorHAnsi" w:hAnsiTheme="minorHAnsi" w:cstheme="minorHAnsi"/>
                <w:b/>
              </w:rPr>
              <w:t>National Planning Policy Framework</w:t>
            </w:r>
          </w:p>
          <w:p w14:paraId="419760FD" w14:textId="77777777" w:rsidR="000671C4" w:rsidRPr="004C08B6" w:rsidRDefault="0042757D" w:rsidP="0042757D">
            <w:pPr>
              <w:jc w:val="both"/>
              <w:rPr>
                <w:rFonts w:asciiTheme="minorHAnsi" w:hAnsiTheme="minorHAnsi" w:cstheme="minorHAnsi"/>
                <w:b/>
              </w:rPr>
            </w:pPr>
            <w:r w:rsidRPr="004C08B6">
              <w:rPr>
                <w:rFonts w:asciiTheme="minorHAnsi" w:hAnsiTheme="minorHAnsi" w:cstheme="minorHAnsi"/>
                <w:b/>
              </w:rPr>
              <w:t>National Planning Policy Guidance</w:t>
            </w:r>
          </w:p>
        </w:tc>
      </w:tr>
      <w:tr w:rsidR="008C75E4" w:rsidRPr="0042757D" w14:paraId="71F11D78" w14:textId="77777777" w:rsidTr="000E61F1">
        <w:trPr>
          <w:trHeight w:val="864"/>
          <w:jc w:val="center"/>
        </w:trPr>
        <w:tc>
          <w:tcPr>
            <w:tcW w:w="9493" w:type="dxa"/>
            <w:gridSpan w:val="14"/>
            <w:tcBorders>
              <w:bottom w:val="single" w:sz="4" w:space="0" w:color="BFBFBF" w:themeColor="background1" w:themeShade="BF"/>
            </w:tcBorders>
            <w:tcMar>
              <w:top w:w="57" w:type="dxa"/>
              <w:bottom w:w="57" w:type="dxa"/>
            </w:tcMar>
          </w:tcPr>
          <w:p w14:paraId="68FBBAC3" w14:textId="77777777" w:rsidR="004C08B6" w:rsidRPr="004C08B6" w:rsidRDefault="00C0704D" w:rsidP="004C08B6">
            <w:pPr>
              <w:pStyle w:val="PLANNING"/>
              <w:rPr>
                <w:rFonts w:asciiTheme="minorHAnsi" w:hAnsiTheme="minorHAnsi" w:cstheme="minorHAnsi"/>
                <w:b/>
                <w:bCs/>
                <w:szCs w:val="22"/>
              </w:rPr>
            </w:pPr>
            <w:r w:rsidRPr="004C08B6">
              <w:rPr>
                <w:rFonts w:asciiTheme="minorHAnsi" w:hAnsiTheme="minorHAnsi" w:cstheme="minorHAnsi"/>
                <w:b/>
                <w:bCs/>
                <w:szCs w:val="22"/>
              </w:rPr>
              <w:t>Relevant Planning History:</w:t>
            </w:r>
          </w:p>
          <w:p w14:paraId="26C296A7" w14:textId="77777777" w:rsidR="004C08B6" w:rsidRDefault="00CC4BC0" w:rsidP="00CC4BC0">
            <w:pPr>
              <w:pStyle w:val="PLANNING"/>
              <w:rPr>
                <w:rFonts w:asciiTheme="minorHAnsi" w:hAnsiTheme="minorHAnsi" w:cstheme="minorHAnsi"/>
              </w:rPr>
            </w:pPr>
            <w:r w:rsidRPr="00CC4BC0">
              <w:rPr>
                <w:rFonts w:asciiTheme="minorHAnsi" w:hAnsiTheme="minorHAnsi" w:cstheme="minorHAnsi"/>
              </w:rPr>
              <w:t>3/2006/0236</w:t>
            </w:r>
            <w:r>
              <w:rPr>
                <w:rFonts w:asciiTheme="minorHAnsi" w:hAnsiTheme="minorHAnsi" w:cstheme="minorHAnsi"/>
              </w:rPr>
              <w:t xml:space="preserve"> - </w:t>
            </w:r>
            <w:r w:rsidRPr="00CC4BC0">
              <w:rPr>
                <w:rFonts w:asciiTheme="minorHAnsi" w:hAnsiTheme="minorHAnsi" w:cstheme="minorHAnsi"/>
              </w:rPr>
              <w:t>First floor extension above garage with dormer windows to front and rear elevations with balcony area to front, and a ground floor single storey extension to rear elevation.</w:t>
            </w:r>
            <w:r>
              <w:rPr>
                <w:rFonts w:asciiTheme="minorHAnsi" w:hAnsiTheme="minorHAnsi" w:cstheme="minorHAnsi"/>
              </w:rPr>
              <w:t xml:space="preserve"> Approved with Conditions.</w:t>
            </w:r>
          </w:p>
          <w:p w14:paraId="621C4788" w14:textId="535609CB" w:rsidR="00CC4BC0" w:rsidRPr="004C08B6" w:rsidRDefault="00CC4BC0" w:rsidP="00CC4BC0">
            <w:pPr>
              <w:pStyle w:val="PLANNING"/>
              <w:rPr>
                <w:rFonts w:asciiTheme="minorHAnsi" w:hAnsiTheme="minorHAnsi" w:cstheme="minorHAnsi"/>
              </w:rPr>
            </w:pPr>
          </w:p>
        </w:tc>
      </w:tr>
      <w:tr w:rsidR="008C75E4" w:rsidRPr="008C75E4" w14:paraId="2AF43172" w14:textId="77777777" w:rsidTr="000E61F1">
        <w:trPr>
          <w:trHeight w:hRule="exact" w:val="144"/>
          <w:jc w:val="center"/>
        </w:trPr>
        <w:tc>
          <w:tcPr>
            <w:tcW w:w="9493" w:type="dxa"/>
            <w:gridSpan w:val="14"/>
            <w:tcBorders>
              <w:left w:val="nil"/>
              <w:right w:val="nil"/>
            </w:tcBorders>
            <w:tcMar>
              <w:top w:w="57" w:type="dxa"/>
              <w:bottom w:w="57" w:type="dxa"/>
            </w:tcMar>
          </w:tcPr>
          <w:p w14:paraId="4A048878" w14:textId="77777777" w:rsidR="003F16AA" w:rsidRPr="000D2CC4" w:rsidRDefault="003F16AA" w:rsidP="00504440">
            <w:pPr>
              <w:rPr>
                <w:sz w:val="4"/>
                <w:szCs w:val="4"/>
              </w:rPr>
            </w:pPr>
          </w:p>
        </w:tc>
      </w:tr>
      <w:tr w:rsidR="008C75E4" w:rsidRPr="008C75E4" w14:paraId="75C28D84" w14:textId="77777777" w:rsidTr="000E61F1">
        <w:trPr>
          <w:jc w:val="center"/>
        </w:trPr>
        <w:tc>
          <w:tcPr>
            <w:tcW w:w="9493" w:type="dxa"/>
            <w:gridSpan w:val="14"/>
            <w:tcMar>
              <w:top w:w="57" w:type="dxa"/>
              <w:bottom w:w="57" w:type="dxa"/>
            </w:tcMar>
          </w:tcPr>
          <w:p w14:paraId="7519B1AF" w14:textId="77777777" w:rsidR="00C0704D" w:rsidRPr="000D2CC4" w:rsidRDefault="00C0704D" w:rsidP="006126D1">
            <w:pPr>
              <w:jc w:val="both"/>
              <w:rPr>
                <w:rFonts w:ascii="Calibri" w:hAnsi="Calibri"/>
                <w:b/>
                <w:szCs w:val="22"/>
              </w:rPr>
            </w:pPr>
            <w:r w:rsidRPr="000D2CC4">
              <w:rPr>
                <w:rFonts w:ascii="Calibri" w:hAnsi="Calibri"/>
                <w:b/>
                <w:bCs/>
                <w:szCs w:val="22"/>
              </w:rPr>
              <w:t>ASSESSMENT PROPOSED DEVELOPMENT:</w:t>
            </w:r>
            <w:r w:rsidR="00A2019B">
              <w:rPr>
                <w:rFonts w:ascii="Calibri" w:hAnsi="Calibri"/>
                <w:b/>
                <w:bCs/>
                <w:szCs w:val="22"/>
              </w:rPr>
              <w:t xml:space="preserve"> </w:t>
            </w:r>
          </w:p>
        </w:tc>
      </w:tr>
      <w:tr w:rsidR="008C75E4" w:rsidRPr="008C75E4" w14:paraId="1D67D180" w14:textId="77777777" w:rsidTr="000E61F1">
        <w:trPr>
          <w:trHeight w:val="1152"/>
          <w:jc w:val="center"/>
        </w:trPr>
        <w:tc>
          <w:tcPr>
            <w:tcW w:w="9493" w:type="dxa"/>
            <w:gridSpan w:val="14"/>
            <w:tcMar>
              <w:top w:w="57" w:type="dxa"/>
              <w:bottom w:w="57" w:type="dxa"/>
            </w:tcMar>
          </w:tcPr>
          <w:p w14:paraId="43BC0667" w14:textId="77777777" w:rsidR="00AE4372" w:rsidRDefault="00C0704D" w:rsidP="007D0F8F">
            <w:pPr>
              <w:pStyle w:val="Header"/>
              <w:tabs>
                <w:tab w:val="clear" w:pos="4153"/>
                <w:tab w:val="clear" w:pos="8306"/>
              </w:tabs>
              <w:contextualSpacing/>
              <w:jc w:val="both"/>
              <w:rPr>
                <w:rFonts w:asciiTheme="minorHAnsi" w:hAnsiTheme="minorHAnsi" w:cstheme="minorHAnsi"/>
                <w:b/>
                <w:szCs w:val="22"/>
              </w:rPr>
            </w:pPr>
            <w:r w:rsidRPr="009F7A60">
              <w:rPr>
                <w:rFonts w:asciiTheme="minorHAnsi" w:hAnsiTheme="minorHAnsi" w:cstheme="minorHAnsi"/>
                <w:b/>
                <w:szCs w:val="22"/>
              </w:rPr>
              <w:t>Site Description and Surrounding Area:</w:t>
            </w:r>
          </w:p>
          <w:p w14:paraId="1F4E643A" w14:textId="332260C0" w:rsidR="009F0C77" w:rsidRPr="009F0C77" w:rsidRDefault="00CC4BC0" w:rsidP="007D0F8F">
            <w:pPr>
              <w:pStyle w:val="Header"/>
              <w:tabs>
                <w:tab w:val="clear" w:pos="4153"/>
                <w:tab w:val="clear" w:pos="8306"/>
              </w:tabs>
              <w:jc w:val="both"/>
              <w:rPr>
                <w:rFonts w:asciiTheme="minorHAnsi" w:hAnsiTheme="minorHAnsi" w:cstheme="minorHAnsi"/>
              </w:rPr>
            </w:pPr>
            <w:r>
              <w:rPr>
                <w:rFonts w:asciiTheme="minorHAnsi" w:hAnsiTheme="minorHAnsi" w:cstheme="minorHAnsi"/>
                <w:szCs w:val="22"/>
              </w:rPr>
              <w:t xml:space="preserve">The application property is located within the settlement of Wilpshire on a residential estate. The </w:t>
            </w:r>
            <w:r w:rsidR="00695D6E">
              <w:rPr>
                <w:rFonts w:asciiTheme="minorHAnsi" w:hAnsiTheme="minorHAnsi" w:cstheme="minorHAnsi"/>
                <w:szCs w:val="22"/>
              </w:rPr>
              <w:t>dwellings</w:t>
            </w:r>
            <w:r>
              <w:rPr>
                <w:rFonts w:asciiTheme="minorHAnsi" w:hAnsiTheme="minorHAnsi" w:cstheme="minorHAnsi"/>
                <w:szCs w:val="22"/>
              </w:rPr>
              <w:t xml:space="preserve"> in the immediate area are dormer bungalows, the same as the application property. The dwelling is situated on a corner plot. To the west of the dwelling is no.2 The Hazels</w:t>
            </w:r>
            <w:r w:rsidR="00695D6E">
              <w:rPr>
                <w:rFonts w:asciiTheme="minorHAnsi" w:hAnsiTheme="minorHAnsi" w:cstheme="minorHAnsi"/>
                <w:szCs w:val="22"/>
              </w:rPr>
              <w:t xml:space="preserve"> and on the opposite side of the cul-de-sac</w:t>
            </w:r>
            <w:r w:rsidR="00D35EB8">
              <w:rPr>
                <w:rFonts w:asciiTheme="minorHAnsi" w:hAnsiTheme="minorHAnsi" w:cstheme="minorHAnsi"/>
                <w:szCs w:val="22"/>
              </w:rPr>
              <w:t xml:space="preserve"> to the north</w:t>
            </w:r>
            <w:r w:rsidR="00695D6E">
              <w:rPr>
                <w:rFonts w:asciiTheme="minorHAnsi" w:hAnsiTheme="minorHAnsi" w:cstheme="minorHAnsi"/>
                <w:szCs w:val="22"/>
              </w:rPr>
              <w:t xml:space="preserve"> is no.5</w:t>
            </w:r>
            <w:r w:rsidR="00D35EB8">
              <w:rPr>
                <w:rFonts w:asciiTheme="minorHAnsi" w:hAnsiTheme="minorHAnsi" w:cstheme="minorHAnsi"/>
                <w:szCs w:val="22"/>
              </w:rPr>
              <w:t xml:space="preserve"> The Hazels</w:t>
            </w:r>
            <w:r w:rsidR="00695D6E">
              <w:rPr>
                <w:rFonts w:asciiTheme="minorHAnsi" w:hAnsiTheme="minorHAnsi" w:cstheme="minorHAnsi"/>
                <w:szCs w:val="22"/>
              </w:rPr>
              <w:t>.</w:t>
            </w:r>
          </w:p>
        </w:tc>
      </w:tr>
      <w:tr w:rsidR="008C75E4" w:rsidRPr="008C75E4" w14:paraId="5B9FC16D" w14:textId="77777777" w:rsidTr="000E61F1">
        <w:trPr>
          <w:trHeight w:val="1152"/>
          <w:jc w:val="center"/>
        </w:trPr>
        <w:tc>
          <w:tcPr>
            <w:tcW w:w="9493" w:type="dxa"/>
            <w:gridSpan w:val="14"/>
            <w:tcMar>
              <w:top w:w="57" w:type="dxa"/>
              <w:bottom w:w="57" w:type="dxa"/>
            </w:tcMar>
          </w:tcPr>
          <w:p w14:paraId="32DCD978" w14:textId="77777777" w:rsidR="00F8201E" w:rsidRPr="00014E55" w:rsidRDefault="00C0704D" w:rsidP="00454754">
            <w:pPr>
              <w:pStyle w:val="Header"/>
              <w:tabs>
                <w:tab w:val="clear" w:pos="4153"/>
                <w:tab w:val="clear" w:pos="8306"/>
              </w:tabs>
              <w:jc w:val="both"/>
              <w:rPr>
                <w:rFonts w:asciiTheme="minorHAnsi" w:hAnsiTheme="minorHAnsi" w:cstheme="minorHAnsi"/>
                <w:b/>
                <w:szCs w:val="22"/>
              </w:rPr>
            </w:pPr>
            <w:r w:rsidRPr="00014E55">
              <w:rPr>
                <w:rFonts w:asciiTheme="minorHAnsi" w:hAnsiTheme="minorHAnsi" w:cstheme="minorHAnsi"/>
                <w:b/>
                <w:szCs w:val="22"/>
              </w:rPr>
              <w:lastRenderedPageBreak/>
              <w:t>Proposed Development for which consent is sought:</w:t>
            </w:r>
          </w:p>
          <w:p w14:paraId="73FA72DE" w14:textId="5A2445AB" w:rsidR="00B470F6" w:rsidRDefault="00695D6E" w:rsidP="00AD7BDD">
            <w:pPr>
              <w:pStyle w:val="Header"/>
              <w:tabs>
                <w:tab w:val="clear" w:pos="4153"/>
                <w:tab w:val="clear" w:pos="8306"/>
              </w:tabs>
              <w:jc w:val="both"/>
              <w:rPr>
                <w:rFonts w:asciiTheme="minorHAnsi" w:hAnsiTheme="minorHAnsi" w:cstheme="minorHAnsi"/>
                <w:szCs w:val="22"/>
              </w:rPr>
            </w:pPr>
            <w:r>
              <w:rPr>
                <w:rFonts w:asciiTheme="minorHAnsi" w:hAnsiTheme="minorHAnsi" w:cstheme="minorHAnsi"/>
                <w:szCs w:val="22"/>
              </w:rPr>
              <w:t>The application proposes use of the flat roof of the existing single storey garage on the west side of the dwelling as a balcony. A timber staircase located to the rear of the garage has already been constructed to provide direct access from the rear garden. This application seeks permission to retain the staircase and for the erection of a perimeter glass balustrade.</w:t>
            </w:r>
          </w:p>
          <w:p w14:paraId="6A15A675" w14:textId="77777777" w:rsidR="00AD7BDD" w:rsidRPr="00BC6600" w:rsidRDefault="00AD7BDD" w:rsidP="00AD7BDD">
            <w:pPr>
              <w:pStyle w:val="Header"/>
              <w:tabs>
                <w:tab w:val="clear" w:pos="4153"/>
                <w:tab w:val="clear" w:pos="8306"/>
              </w:tabs>
              <w:jc w:val="both"/>
              <w:rPr>
                <w:rFonts w:asciiTheme="minorHAnsi" w:hAnsiTheme="minorHAnsi" w:cstheme="minorHAnsi"/>
                <w:szCs w:val="22"/>
              </w:rPr>
            </w:pPr>
          </w:p>
        </w:tc>
      </w:tr>
      <w:tr w:rsidR="005B1262" w:rsidRPr="008C75E4" w14:paraId="0BE67EAD" w14:textId="77777777" w:rsidTr="000E61F1">
        <w:trPr>
          <w:trHeight w:val="864"/>
          <w:jc w:val="center"/>
        </w:trPr>
        <w:tc>
          <w:tcPr>
            <w:tcW w:w="9493" w:type="dxa"/>
            <w:gridSpan w:val="14"/>
            <w:tcMar>
              <w:top w:w="57" w:type="dxa"/>
              <w:bottom w:w="57" w:type="dxa"/>
            </w:tcMar>
          </w:tcPr>
          <w:p w14:paraId="1ACC5428" w14:textId="77777777" w:rsidR="005B1262" w:rsidRDefault="00291F1E" w:rsidP="000671C4">
            <w:pPr>
              <w:contextualSpacing/>
              <w:jc w:val="both"/>
              <w:rPr>
                <w:rFonts w:asciiTheme="minorHAnsi" w:hAnsiTheme="minorHAnsi" w:cstheme="minorHAnsi"/>
                <w:b/>
                <w:bCs/>
                <w:szCs w:val="22"/>
              </w:rPr>
            </w:pPr>
            <w:r>
              <w:rPr>
                <w:rFonts w:asciiTheme="minorHAnsi" w:hAnsiTheme="minorHAnsi" w:cstheme="minorHAnsi"/>
                <w:b/>
                <w:bCs/>
                <w:szCs w:val="22"/>
              </w:rPr>
              <w:t>Design and Visual Appearance:</w:t>
            </w:r>
          </w:p>
          <w:p w14:paraId="1342BFDA" w14:textId="77777777" w:rsidR="006E42AF" w:rsidRDefault="00695D6E" w:rsidP="00695D6E">
            <w:pPr>
              <w:contextualSpacing/>
              <w:jc w:val="both"/>
              <w:rPr>
                <w:rFonts w:ascii="CIDFont+F2" w:eastAsiaTheme="minorHAnsi" w:hAnsi="CIDFont+F2" w:cs="CIDFont+F2"/>
                <w:szCs w:val="22"/>
              </w:rPr>
            </w:pPr>
            <w:r>
              <w:rPr>
                <w:rFonts w:ascii="CIDFont+F2" w:eastAsiaTheme="minorHAnsi" w:hAnsi="CIDFont+F2" w:cs="CIDFont+F2"/>
                <w:szCs w:val="22"/>
              </w:rPr>
              <w:t>Consideration must be given to the visual appearance of the proposed development. The timber staircase is located to the rear of the garage and so is not readily visible. It is noted that the proposed balcony, on the roof of the existing garage, would be highly visible in the street scene. However, there is a similar balcony arrangement at no.3 The Hazels and it is not considered that the proposals would be unduly harmful to the appearance of the dwelling or the surrou</w:t>
            </w:r>
            <w:r w:rsidR="00474386">
              <w:rPr>
                <w:rFonts w:ascii="CIDFont+F2" w:eastAsiaTheme="minorHAnsi" w:hAnsi="CIDFont+F2" w:cs="CIDFont+F2"/>
                <w:szCs w:val="22"/>
              </w:rPr>
              <w:t>nding area.</w:t>
            </w:r>
          </w:p>
          <w:p w14:paraId="4A8FDB8D" w14:textId="2DD303BA" w:rsidR="00474386" w:rsidRPr="00E61E20" w:rsidRDefault="00474386" w:rsidP="00695D6E">
            <w:pPr>
              <w:contextualSpacing/>
              <w:jc w:val="both"/>
              <w:rPr>
                <w:rFonts w:ascii="CIDFont+F2" w:eastAsiaTheme="minorHAnsi" w:hAnsi="CIDFont+F2" w:cs="CIDFont+F2"/>
                <w:szCs w:val="22"/>
              </w:rPr>
            </w:pPr>
          </w:p>
        </w:tc>
      </w:tr>
      <w:tr w:rsidR="00AD7BDD" w:rsidRPr="008C75E4" w14:paraId="739795AC" w14:textId="77777777" w:rsidTr="000E61F1">
        <w:trPr>
          <w:trHeight w:val="864"/>
          <w:jc w:val="center"/>
        </w:trPr>
        <w:tc>
          <w:tcPr>
            <w:tcW w:w="9493" w:type="dxa"/>
            <w:gridSpan w:val="14"/>
            <w:tcMar>
              <w:top w:w="57" w:type="dxa"/>
              <w:bottom w:w="57" w:type="dxa"/>
            </w:tcMar>
          </w:tcPr>
          <w:p w14:paraId="21B54A7B" w14:textId="686896CC" w:rsidR="00474386" w:rsidRDefault="00AD7BDD" w:rsidP="000671C4">
            <w:pPr>
              <w:contextualSpacing/>
              <w:jc w:val="both"/>
              <w:rPr>
                <w:rFonts w:asciiTheme="minorHAnsi" w:hAnsiTheme="minorHAnsi" w:cstheme="minorHAnsi"/>
                <w:b/>
                <w:bCs/>
                <w:szCs w:val="22"/>
              </w:rPr>
            </w:pPr>
            <w:r w:rsidRPr="00AD7BDD">
              <w:rPr>
                <w:rFonts w:asciiTheme="minorHAnsi" w:hAnsiTheme="minorHAnsi" w:cstheme="minorHAnsi"/>
                <w:b/>
                <w:bCs/>
                <w:szCs w:val="22"/>
              </w:rPr>
              <w:t>Impact on Residential Amenity:</w:t>
            </w:r>
          </w:p>
          <w:p w14:paraId="0F6E0E38" w14:textId="712E23BF" w:rsidR="00474386" w:rsidRDefault="00474386" w:rsidP="000671C4">
            <w:pPr>
              <w:contextualSpacing/>
              <w:jc w:val="both"/>
              <w:rPr>
                <w:rFonts w:asciiTheme="minorHAnsi" w:hAnsiTheme="minorHAnsi" w:cstheme="minorHAnsi"/>
                <w:szCs w:val="22"/>
              </w:rPr>
            </w:pPr>
            <w:r>
              <w:rPr>
                <w:rFonts w:asciiTheme="minorHAnsi" w:hAnsiTheme="minorHAnsi" w:cstheme="minorHAnsi"/>
                <w:szCs w:val="22"/>
              </w:rPr>
              <w:t>The proposed balcony is close to the shared boundary with no.2 The Hazels. It is considered that use of the roof as a balcony would result in an unacceptable loss of privacy and overlooking of the rear garden area of no.2 The Hazels due to its elevated position. In addition, the staircase is located such that any person gaining access to the balcony area would have direct and unrestricted views from an elevated position into the rear conservatory of no.2 The Hazels from a distance of around 9 metres.</w:t>
            </w:r>
          </w:p>
          <w:p w14:paraId="121E46A2" w14:textId="2E886C3A" w:rsidR="00474386" w:rsidRDefault="00474386" w:rsidP="000671C4">
            <w:pPr>
              <w:contextualSpacing/>
              <w:jc w:val="both"/>
              <w:rPr>
                <w:rFonts w:asciiTheme="minorHAnsi" w:hAnsiTheme="minorHAnsi" w:cstheme="minorHAnsi"/>
                <w:szCs w:val="22"/>
              </w:rPr>
            </w:pPr>
          </w:p>
          <w:p w14:paraId="42ACA976" w14:textId="4084216E" w:rsidR="00474386" w:rsidRDefault="00474386" w:rsidP="000671C4">
            <w:pPr>
              <w:contextualSpacing/>
              <w:jc w:val="both"/>
              <w:rPr>
                <w:rFonts w:asciiTheme="minorHAnsi" w:hAnsiTheme="minorHAnsi" w:cstheme="minorHAnsi"/>
                <w:szCs w:val="22"/>
              </w:rPr>
            </w:pPr>
            <w:r>
              <w:rPr>
                <w:rFonts w:asciiTheme="minorHAnsi" w:hAnsiTheme="minorHAnsi" w:cstheme="minorHAnsi"/>
                <w:szCs w:val="22"/>
              </w:rPr>
              <w:t>Regarding impact on no.5 to the north, there would be a distance of around 15 metres from the front of the balcony to the hedgerow denoting the residential plot of no.5. Whilst there may be some element of overlooking it is not considered in this case to be such to warrant refusal in isolation.</w:t>
            </w:r>
          </w:p>
          <w:p w14:paraId="28034551" w14:textId="2086EB6D" w:rsidR="00474386" w:rsidRDefault="00474386" w:rsidP="000671C4">
            <w:pPr>
              <w:contextualSpacing/>
              <w:jc w:val="both"/>
              <w:rPr>
                <w:rFonts w:asciiTheme="minorHAnsi" w:hAnsiTheme="minorHAnsi" w:cstheme="minorHAnsi"/>
                <w:szCs w:val="22"/>
              </w:rPr>
            </w:pPr>
          </w:p>
          <w:p w14:paraId="5B958476" w14:textId="468C323B" w:rsidR="00AD7BDD" w:rsidRDefault="00474386" w:rsidP="00474386">
            <w:pPr>
              <w:contextualSpacing/>
              <w:jc w:val="both"/>
              <w:rPr>
                <w:rFonts w:asciiTheme="minorHAnsi" w:hAnsiTheme="minorHAnsi" w:cstheme="minorHAnsi"/>
                <w:bCs/>
                <w:szCs w:val="22"/>
              </w:rPr>
            </w:pPr>
            <w:r>
              <w:rPr>
                <w:rFonts w:asciiTheme="minorHAnsi" w:hAnsiTheme="minorHAnsi" w:cstheme="minorHAnsi"/>
                <w:bCs/>
                <w:szCs w:val="22"/>
              </w:rPr>
              <w:t>Nonetheless, the proposals would result in undue harm to the residential amenity of the occupants of no.2 The Hazels as a result of a loss of privacy and overlooking of the rear conservatory and rear garden contrary to Policy DMG1.</w:t>
            </w:r>
          </w:p>
          <w:p w14:paraId="436ACF18" w14:textId="6EEED606" w:rsidR="00474386" w:rsidRPr="00AD7BDD" w:rsidRDefault="00474386" w:rsidP="00474386">
            <w:pPr>
              <w:contextualSpacing/>
              <w:jc w:val="both"/>
              <w:rPr>
                <w:rFonts w:asciiTheme="minorHAnsi" w:hAnsiTheme="minorHAnsi" w:cstheme="minorHAnsi"/>
                <w:bCs/>
                <w:szCs w:val="22"/>
              </w:rPr>
            </w:pPr>
          </w:p>
        </w:tc>
      </w:tr>
      <w:tr w:rsidR="00AD7BDD" w:rsidRPr="008C75E4" w14:paraId="40590EBB" w14:textId="77777777" w:rsidTr="000E61F1">
        <w:trPr>
          <w:trHeight w:val="864"/>
          <w:jc w:val="center"/>
        </w:trPr>
        <w:tc>
          <w:tcPr>
            <w:tcW w:w="9493" w:type="dxa"/>
            <w:gridSpan w:val="14"/>
            <w:tcMar>
              <w:top w:w="57" w:type="dxa"/>
              <w:bottom w:w="57" w:type="dxa"/>
            </w:tcMar>
          </w:tcPr>
          <w:p w14:paraId="267076B5" w14:textId="77777777" w:rsidR="00AD7BDD" w:rsidRPr="00AD7BDD" w:rsidRDefault="00AD7BDD" w:rsidP="00AD7BDD">
            <w:pPr>
              <w:pStyle w:val="BodyText2"/>
              <w:spacing w:after="0" w:line="240" w:lineRule="auto"/>
              <w:rPr>
                <w:rFonts w:asciiTheme="minorHAnsi" w:hAnsiTheme="minorHAnsi" w:cstheme="minorHAnsi"/>
                <w:b/>
                <w:szCs w:val="22"/>
              </w:rPr>
            </w:pPr>
            <w:r w:rsidRPr="00AD7BDD">
              <w:rPr>
                <w:rFonts w:asciiTheme="minorHAnsi" w:hAnsiTheme="minorHAnsi" w:cstheme="minorHAnsi"/>
                <w:b/>
                <w:szCs w:val="22"/>
              </w:rPr>
              <w:t>Conclusion:</w:t>
            </w:r>
          </w:p>
          <w:p w14:paraId="260F9F25" w14:textId="1C686D66" w:rsidR="00AD7BDD" w:rsidRPr="000671C4" w:rsidRDefault="00AD7BDD" w:rsidP="00474386">
            <w:pPr>
              <w:contextualSpacing/>
              <w:jc w:val="both"/>
              <w:rPr>
                <w:rFonts w:asciiTheme="minorHAnsi" w:hAnsiTheme="minorHAnsi" w:cstheme="minorHAnsi"/>
                <w:b/>
                <w:bCs/>
                <w:szCs w:val="22"/>
              </w:rPr>
            </w:pPr>
            <w:r>
              <w:rPr>
                <w:rFonts w:ascii="CIDFont+F2" w:eastAsiaTheme="minorHAnsi" w:hAnsi="CIDFont+F2" w:cs="CIDFont+F2"/>
                <w:szCs w:val="22"/>
              </w:rPr>
              <w:t xml:space="preserve">Having regard to the above, </w:t>
            </w:r>
            <w:r w:rsidR="00474386">
              <w:rPr>
                <w:rFonts w:ascii="CIDFont+F2" w:eastAsiaTheme="minorHAnsi" w:hAnsi="CIDFont+F2" w:cs="CIDFont+F2"/>
                <w:szCs w:val="22"/>
              </w:rPr>
              <w:t>it is recommended that the application be refused.</w:t>
            </w:r>
          </w:p>
        </w:tc>
      </w:tr>
      <w:tr w:rsidR="00A019BC" w14:paraId="6E146FDC" w14:textId="77777777" w:rsidTr="00FB39DA">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jc w:val="center"/>
        </w:trPr>
        <w:tc>
          <w:tcPr>
            <w:tcW w:w="26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left w:w="108" w:type="dxa"/>
              <w:bottom w:w="57" w:type="dxa"/>
              <w:right w:w="108" w:type="dxa"/>
            </w:tcMar>
            <w:hideMark/>
          </w:tcPr>
          <w:p w14:paraId="3396EFEE" w14:textId="77777777" w:rsidR="00A019BC" w:rsidRPr="00354E17" w:rsidRDefault="00A019BC" w:rsidP="00FB39DA">
            <w:pPr>
              <w:rPr>
                <w:rFonts w:asciiTheme="minorHAnsi" w:hAnsiTheme="minorHAnsi" w:cstheme="minorHAnsi"/>
                <w:b/>
                <w:bCs/>
              </w:rPr>
            </w:pPr>
            <w:r w:rsidRPr="00354E17">
              <w:rPr>
                <w:rFonts w:asciiTheme="minorHAnsi" w:hAnsiTheme="minorHAnsi" w:cstheme="minorHAnsi"/>
                <w:b/>
              </w:rPr>
              <w:t>RECOMMENDATION</w:t>
            </w:r>
            <w:r w:rsidRPr="00354E17">
              <w:rPr>
                <w:rFonts w:asciiTheme="minorHAnsi" w:hAnsiTheme="minorHAnsi" w:cstheme="minorHAnsi"/>
              </w:rPr>
              <w:t>:</w:t>
            </w:r>
          </w:p>
        </w:tc>
        <w:tc>
          <w:tcPr>
            <w:tcW w:w="686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07F48B0" w14:textId="0A1BD152" w:rsidR="00A019BC" w:rsidRPr="00354E17" w:rsidRDefault="00A019BC" w:rsidP="00FB39DA">
            <w:pPr>
              <w:rPr>
                <w:rFonts w:asciiTheme="minorHAnsi" w:hAnsiTheme="minorHAnsi" w:cstheme="minorHAnsi"/>
                <w:bCs/>
              </w:rPr>
            </w:pPr>
            <w:r w:rsidRPr="00354E17">
              <w:rPr>
                <w:rFonts w:asciiTheme="minorHAnsi" w:hAnsiTheme="minorHAnsi" w:cstheme="minorHAnsi"/>
                <w:bCs/>
              </w:rPr>
              <w:t xml:space="preserve">That planning consent be </w:t>
            </w:r>
            <w:r w:rsidR="00474386">
              <w:rPr>
                <w:rFonts w:asciiTheme="minorHAnsi" w:hAnsiTheme="minorHAnsi" w:cstheme="minorHAnsi"/>
                <w:bCs/>
              </w:rPr>
              <w:t>refused for the following reason:</w:t>
            </w:r>
          </w:p>
        </w:tc>
      </w:tr>
      <w:tr w:rsidR="00474386" w14:paraId="50FD24CD" w14:textId="77777777" w:rsidTr="00B50582">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jc w:val="center"/>
        </w:trPr>
        <w:tc>
          <w:tcPr>
            <w:tcW w:w="9493"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left w:w="108" w:type="dxa"/>
              <w:bottom w:w="57" w:type="dxa"/>
              <w:right w:w="108" w:type="dxa"/>
            </w:tcMar>
          </w:tcPr>
          <w:p w14:paraId="0D7E44BA" w14:textId="4C34C29B" w:rsidR="00474386" w:rsidRPr="00D35EB8" w:rsidRDefault="00D35EB8" w:rsidP="00FB39DA">
            <w:pPr>
              <w:rPr>
                <w:rFonts w:asciiTheme="minorHAnsi" w:hAnsiTheme="minorHAnsi" w:cstheme="minorHAnsi"/>
              </w:rPr>
            </w:pPr>
            <w:r w:rsidRPr="00D35EB8">
              <w:rPr>
                <w:rFonts w:asciiTheme="minorHAnsi" w:hAnsiTheme="minorHAnsi" w:cstheme="minorHAnsi"/>
                <w:bCs/>
              </w:rPr>
              <w:t xml:space="preserve">The proposed development, </w:t>
            </w:r>
            <w:proofErr w:type="gramStart"/>
            <w:r w:rsidRPr="00D35EB8">
              <w:rPr>
                <w:rFonts w:asciiTheme="minorHAnsi" w:hAnsiTheme="minorHAnsi" w:cstheme="minorHAnsi"/>
                <w:bCs/>
              </w:rPr>
              <w:t>as a result of</w:t>
            </w:r>
            <w:proofErr w:type="gramEnd"/>
            <w:r w:rsidRPr="00D35EB8">
              <w:rPr>
                <w:rFonts w:asciiTheme="minorHAnsi" w:hAnsiTheme="minorHAnsi" w:cstheme="minorHAnsi"/>
                <w:bCs/>
              </w:rPr>
              <w:t xml:space="preserve"> its design, elevated position and proximity to the shared boundary, </w:t>
            </w:r>
            <w:r w:rsidRPr="00D35EB8">
              <w:rPr>
                <w:rFonts w:asciiTheme="minorHAnsi" w:hAnsiTheme="minorHAnsi" w:cstheme="minorHAnsi"/>
              </w:rPr>
              <w:t>would lead to overlooking of the rear conservatory and garden areas</w:t>
            </w:r>
            <w:r>
              <w:rPr>
                <w:rFonts w:asciiTheme="minorHAnsi" w:hAnsiTheme="minorHAnsi" w:cstheme="minorHAnsi"/>
              </w:rPr>
              <w:t xml:space="preserve"> of no.2 The Hazels</w:t>
            </w:r>
            <w:r w:rsidRPr="00D35EB8">
              <w:rPr>
                <w:rFonts w:asciiTheme="minorHAnsi" w:hAnsiTheme="minorHAnsi" w:cstheme="minorHAnsi"/>
              </w:rPr>
              <w:t xml:space="preserve"> leading to a loss of privacy that would have a detrimental effect upon the residential amenities of </w:t>
            </w:r>
            <w:r>
              <w:rPr>
                <w:rFonts w:asciiTheme="minorHAnsi" w:hAnsiTheme="minorHAnsi" w:cstheme="minorHAnsi"/>
              </w:rPr>
              <w:t xml:space="preserve">the </w:t>
            </w:r>
            <w:r w:rsidRPr="00D35EB8">
              <w:rPr>
                <w:rFonts w:asciiTheme="minorHAnsi" w:hAnsiTheme="minorHAnsi" w:cstheme="minorHAnsi"/>
              </w:rPr>
              <w:t>neighbouring occupants.  This is considered contrary to Policy DMG1 of the Ribble Valley Core Strategy.</w:t>
            </w:r>
          </w:p>
          <w:p w14:paraId="666BCF50" w14:textId="32BCBBD2" w:rsidR="00D35EB8" w:rsidRPr="00354E17" w:rsidRDefault="00D35EB8" w:rsidP="00FB39DA">
            <w:pPr>
              <w:rPr>
                <w:rFonts w:asciiTheme="minorHAnsi" w:hAnsiTheme="minorHAnsi" w:cstheme="minorHAnsi"/>
                <w:bCs/>
              </w:rPr>
            </w:pPr>
          </w:p>
        </w:tc>
      </w:tr>
    </w:tbl>
    <w:p w14:paraId="211448A7" w14:textId="77777777" w:rsidR="00925FB4" w:rsidRPr="003452DF" w:rsidRDefault="00925FB4" w:rsidP="006126D1">
      <w:pPr>
        <w:jc w:val="both"/>
        <w:rPr>
          <w:rFonts w:ascii="Calibri" w:hAnsi="Calibri"/>
          <w:color w:val="FF0000"/>
          <w:szCs w:val="22"/>
        </w:rPr>
      </w:pPr>
    </w:p>
    <w:sectPr w:rsidR="00925FB4" w:rsidRPr="003452DF"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04CBF" w14:textId="77777777" w:rsidR="00925FB4" w:rsidRDefault="00925FB4" w:rsidP="006D0B5F">
      <w:r>
        <w:separator/>
      </w:r>
    </w:p>
  </w:endnote>
  <w:endnote w:type="continuationSeparator" w:id="0">
    <w:p w14:paraId="28B2C36A" w14:textId="77777777" w:rsidR="00925FB4" w:rsidRDefault="00925FB4"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IDFont+F2">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A3051" w14:textId="77777777" w:rsidR="00925FB4" w:rsidRDefault="00925FB4" w:rsidP="006D0B5F">
      <w:r>
        <w:separator/>
      </w:r>
    </w:p>
  </w:footnote>
  <w:footnote w:type="continuationSeparator" w:id="0">
    <w:p w14:paraId="4C241074" w14:textId="77777777" w:rsidR="00925FB4" w:rsidRDefault="00925FB4"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601B81"/>
    <w:multiLevelType w:val="hybridMultilevel"/>
    <w:tmpl w:val="96469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4F0E42"/>
    <w:multiLevelType w:val="hybridMultilevel"/>
    <w:tmpl w:val="4788B32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AE5A88"/>
    <w:multiLevelType w:val="hybridMultilevel"/>
    <w:tmpl w:val="345401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1C323E"/>
    <w:multiLevelType w:val="hybridMultilevel"/>
    <w:tmpl w:val="570E2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5733CF"/>
    <w:multiLevelType w:val="hybridMultilevel"/>
    <w:tmpl w:val="88BE8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366519"/>
    <w:multiLevelType w:val="hybridMultilevel"/>
    <w:tmpl w:val="9DE6F0A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073A5A"/>
    <w:multiLevelType w:val="hybridMultilevel"/>
    <w:tmpl w:val="A20C2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C33355"/>
    <w:multiLevelType w:val="hybridMultilevel"/>
    <w:tmpl w:val="E7426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940D17"/>
    <w:multiLevelType w:val="hybridMultilevel"/>
    <w:tmpl w:val="B40EF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6A4DA5"/>
    <w:multiLevelType w:val="hybridMultilevel"/>
    <w:tmpl w:val="0B6EEB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5"/>
  </w:num>
  <w:num w:numId="4">
    <w:abstractNumId w:val="6"/>
  </w:num>
  <w:num w:numId="5">
    <w:abstractNumId w:val="0"/>
  </w:num>
  <w:num w:numId="6">
    <w:abstractNumId w:val="2"/>
  </w:num>
  <w:num w:numId="7">
    <w:abstractNumId w:val="7"/>
  </w:num>
  <w:num w:numId="8">
    <w:abstractNumId w:val="16"/>
  </w:num>
  <w:num w:numId="9">
    <w:abstractNumId w:val="4"/>
  </w:num>
  <w:num w:numId="10">
    <w:abstractNumId w:val="8"/>
  </w:num>
  <w:num w:numId="11">
    <w:abstractNumId w:val="3"/>
  </w:num>
  <w:num w:numId="12">
    <w:abstractNumId w:val="18"/>
  </w:num>
  <w:num w:numId="13">
    <w:abstractNumId w:val="10"/>
  </w:num>
  <w:num w:numId="14">
    <w:abstractNumId w:val="1"/>
  </w:num>
  <w:num w:numId="15">
    <w:abstractNumId w:val="14"/>
  </w:num>
  <w:num w:numId="16">
    <w:abstractNumId w:val="17"/>
  </w:num>
  <w:num w:numId="17">
    <w:abstractNumId w:val="15"/>
  </w:num>
  <w:num w:numId="18">
    <w:abstractNumId w:val="12"/>
  </w:num>
  <w:num w:numId="19">
    <w:abstractNumId w:val="13"/>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4E55"/>
    <w:rsid w:val="00016A73"/>
    <w:rsid w:val="00022159"/>
    <w:rsid w:val="00041FBF"/>
    <w:rsid w:val="00055B13"/>
    <w:rsid w:val="00063C13"/>
    <w:rsid w:val="000671C4"/>
    <w:rsid w:val="000707BC"/>
    <w:rsid w:val="0007275C"/>
    <w:rsid w:val="0008638E"/>
    <w:rsid w:val="00095B4A"/>
    <w:rsid w:val="000A4F2E"/>
    <w:rsid w:val="000A5BCC"/>
    <w:rsid w:val="000A7F3F"/>
    <w:rsid w:val="000B38CB"/>
    <w:rsid w:val="000B4889"/>
    <w:rsid w:val="000B5CB5"/>
    <w:rsid w:val="000C7A57"/>
    <w:rsid w:val="000D2CC4"/>
    <w:rsid w:val="000E340E"/>
    <w:rsid w:val="000E61F1"/>
    <w:rsid w:val="00101855"/>
    <w:rsid w:val="0010371E"/>
    <w:rsid w:val="00106932"/>
    <w:rsid w:val="001108DE"/>
    <w:rsid w:val="00130035"/>
    <w:rsid w:val="00141512"/>
    <w:rsid w:val="00146BF5"/>
    <w:rsid w:val="00161FE9"/>
    <w:rsid w:val="0016428F"/>
    <w:rsid w:val="00174004"/>
    <w:rsid w:val="00187363"/>
    <w:rsid w:val="001946E0"/>
    <w:rsid w:val="00195741"/>
    <w:rsid w:val="00196722"/>
    <w:rsid w:val="001B5BCE"/>
    <w:rsid w:val="001B769B"/>
    <w:rsid w:val="001C1453"/>
    <w:rsid w:val="001C4A8B"/>
    <w:rsid w:val="001D4F7A"/>
    <w:rsid w:val="001D5ADD"/>
    <w:rsid w:val="001F264B"/>
    <w:rsid w:val="001F6CBD"/>
    <w:rsid w:val="00203F50"/>
    <w:rsid w:val="00206E24"/>
    <w:rsid w:val="00211FD6"/>
    <w:rsid w:val="00224E91"/>
    <w:rsid w:val="00237DA1"/>
    <w:rsid w:val="00250879"/>
    <w:rsid w:val="00284480"/>
    <w:rsid w:val="0028751A"/>
    <w:rsid w:val="00291F1E"/>
    <w:rsid w:val="0029334A"/>
    <w:rsid w:val="00295775"/>
    <w:rsid w:val="002A01CF"/>
    <w:rsid w:val="002A7DF7"/>
    <w:rsid w:val="002B7854"/>
    <w:rsid w:val="002C6277"/>
    <w:rsid w:val="002D2A75"/>
    <w:rsid w:val="002D4346"/>
    <w:rsid w:val="002E2952"/>
    <w:rsid w:val="002E7CC1"/>
    <w:rsid w:val="002F041D"/>
    <w:rsid w:val="002F2580"/>
    <w:rsid w:val="002F7502"/>
    <w:rsid w:val="003061BD"/>
    <w:rsid w:val="003137E0"/>
    <w:rsid w:val="00314B77"/>
    <w:rsid w:val="00316DB8"/>
    <w:rsid w:val="00320A6F"/>
    <w:rsid w:val="00321B6E"/>
    <w:rsid w:val="00333925"/>
    <w:rsid w:val="003359D0"/>
    <w:rsid w:val="00341E8D"/>
    <w:rsid w:val="003452DF"/>
    <w:rsid w:val="00345BCC"/>
    <w:rsid w:val="003469AF"/>
    <w:rsid w:val="00347F5E"/>
    <w:rsid w:val="003520CC"/>
    <w:rsid w:val="003634D9"/>
    <w:rsid w:val="00366AB8"/>
    <w:rsid w:val="0036759A"/>
    <w:rsid w:val="003825D5"/>
    <w:rsid w:val="00387489"/>
    <w:rsid w:val="003918E8"/>
    <w:rsid w:val="003A4376"/>
    <w:rsid w:val="003B5FA1"/>
    <w:rsid w:val="003C28E1"/>
    <w:rsid w:val="003C4196"/>
    <w:rsid w:val="003E2151"/>
    <w:rsid w:val="003F16AA"/>
    <w:rsid w:val="003F16B4"/>
    <w:rsid w:val="003F3DB5"/>
    <w:rsid w:val="003F481A"/>
    <w:rsid w:val="00401392"/>
    <w:rsid w:val="00404C72"/>
    <w:rsid w:val="00412187"/>
    <w:rsid w:val="00422600"/>
    <w:rsid w:val="004230B7"/>
    <w:rsid w:val="0042757D"/>
    <w:rsid w:val="00435FC9"/>
    <w:rsid w:val="0044039F"/>
    <w:rsid w:val="00440CB6"/>
    <w:rsid w:val="00441057"/>
    <w:rsid w:val="00454754"/>
    <w:rsid w:val="00463832"/>
    <w:rsid w:val="004654DD"/>
    <w:rsid w:val="00474386"/>
    <w:rsid w:val="004854EC"/>
    <w:rsid w:val="004936A6"/>
    <w:rsid w:val="004947BB"/>
    <w:rsid w:val="004A5EA9"/>
    <w:rsid w:val="004C08B6"/>
    <w:rsid w:val="004C2434"/>
    <w:rsid w:val="004D0BB4"/>
    <w:rsid w:val="004D670C"/>
    <w:rsid w:val="004D6FC7"/>
    <w:rsid w:val="004E58E3"/>
    <w:rsid w:val="004E7CFB"/>
    <w:rsid w:val="004F0649"/>
    <w:rsid w:val="004F1043"/>
    <w:rsid w:val="004F1E99"/>
    <w:rsid w:val="0050432D"/>
    <w:rsid w:val="00504440"/>
    <w:rsid w:val="00510DBF"/>
    <w:rsid w:val="00510FA2"/>
    <w:rsid w:val="00510FE3"/>
    <w:rsid w:val="0051712F"/>
    <w:rsid w:val="00521ABA"/>
    <w:rsid w:val="00525341"/>
    <w:rsid w:val="00527A31"/>
    <w:rsid w:val="00534611"/>
    <w:rsid w:val="005423C1"/>
    <w:rsid w:val="00545D8C"/>
    <w:rsid w:val="0055323C"/>
    <w:rsid w:val="00555D53"/>
    <w:rsid w:val="00556ECD"/>
    <w:rsid w:val="005631B3"/>
    <w:rsid w:val="005633B0"/>
    <w:rsid w:val="005635FF"/>
    <w:rsid w:val="00573B90"/>
    <w:rsid w:val="005878FE"/>
    <w:rsid w:val="00593040"/>
    <w:rsid w:val="005B0A0E"/>
    <w:rsid w:val="005B1262"/>
    <w:rsid w:val="005D01CF"/>
    <w:rsid w:val="005D3432"/>
    <w:rsid w:val="005E1C6C"/>
    <w:rsid w:val="005E22EA"/>
    <w:rsid w:val="005E374C"/>
    <w:rsid w:val="005E65DF"/>
    <w:rsid w:val="00611072"/>
    <w:rsid w:val="006126D1"/>
    <w:rsid w:val="006229E5"/>
    <w:rsid w:val="00627387"/>
    <w:rsid w:val="006326A2"/>
    <w:rsid w:val="00641F80"/>
    <w:rsid w:val="00665C24"/>
    <w:rsid w:val="00680ED9"/>
    <w:rsid w:val="006825A9"/>
    <w:rsid w:val="00690EC3"/>
    <w:rsid w:val="00692B60"/>
    <w:rsid w:val="00695D6E"/>
    <w:rsid w:val="00695F88"/>
    <w:rsid w:val="006A71AD"/>
    <w:rsid w:val="006C126E"/>
    <w:rsid w:val="006C2BFA"/>
    <w:rsid w:val="006D0B5F"/>
    <w:rsid w:val="006D4E58"/>
    <w:rsid w:val="006D54CD"/>
    <w:rsid w:val="006D7624"/>
    <w:rsid w:val="006E3308"/>
    <w:rsid w:val="006E42AF"/>
    <w:rsid w:val="006F137D"/>
    <w:rsid w:val="006F4D38"/>
    <w:rsid w:val="0070054B"/>
    <w:rsid w:val="0070168D"/>
    <w:rsid w:val="00706480"/>
    <w:rsid w:val="00710DBB"/>
    <w:rsid w:val="0071401C"/>
    <w:rsid w:val="00714436"/>
    <w:rsid w:val="00725F1C"/>
    <w:rsid w:val="007430C8"/>
    <w:rsid w:val="00755FCC"/>
    <w:rsid w:val="00762889"/>
    <w:rsid w:val="00776AE2"/>
    <w:rsid w:val="00776C26"/>
    <w:rsid w:val="007921CD"/>
    <w:rsid w:val="007B41C4"/>
    <w:rsid w:val="007C5713"/>
    <w:rsid w:val="007C791C"/>
    <w:rsid w:val="007D0F8F"/>
    <w:rsid w:val="007D6D02"/>
    <w:rsid w:val="007D7DF4"/>
    <w:rsid w:val="007E0D23"/>
    <w:rsid w:val="007E2F00"/>
    <w:rsid w:val="007F196D"/>
    <w:rsid w:val="00805895"/>
    <w:rsid w:val="008075CB"/>
    <w:rsid w:val="00811771"/>
    <w:rsid w:val="00811F38"/>
    <w:rsid w:val="008133B3"/>
    <w:rsid w:val="008154DD"/>
    <w:rsid w:val="00824647"/>
    <w:rsid w:val="00831115"/>
    <w:rsid w:val="00835CBB"/>
    <w:rsid w:val="008542DE"/>
    <w:rsid w:val="008638DE"/>
    <w:rsid w:val="00891182"/>
    <w:rsid w:val="008A28C8"/>
    <w:rsid w:val="008B46C0"/>
    <w:rsid w:val="008C75E4"/>
    <w:rsid w:val="008F0339"/>
    <w:rsid w:val="008F4EE4"/>
    <w:rsid w:val="008F6B58"/>
    <w:rsid w:val="0090282C"/>
    <w:rsid w:val="00903DD4"/>
    <w:rsid w:val="0090401A"/>
    <w:rsid w:val="00906D0C"/>
    <w:rsid w:val="00925FB4"/>
    <w:rsid w:val="00934B34"/>
    <w:rsid w:val="00940D6E"/>
    <w:rsid w:val="009565F5"/>
    <w:rsid w:val="009744F0"/>
    <w:rsid w:val="009825FF"/>
    <w:rsid w:val="00985097"/>
    <w:rsid w:val="00985279"/>
    <w:rsid w:val="00994EF1"/>
    <w:rsid w:val="009C4BCF"/>
    <w:rsid w:val="009C7F61"/>
    <w:rsid w:val="009D0395"/>
    <w:rsid w:val="009D5722"/>
    <w:rsid w:val="009D60E4"/>
    <w:rsid w:val="009E6A8B"/>
    <w:rsid w:val="009F0C77"/>
    <w:rsid w:val="009F332E"/>
    <w:rsid w:val="009F7A60"/>
    <w:rsid w:val="00A019BC"/>
    <w:rsid w:val="00A04A96"/>
    <w:rsid w:val="00A1089F"/>
    <w:rsid w:val="00A117E8"/>
    <w:rsid w:val="00A2019B"/>
    <w:rsid w:val="00A36D6F"/>
    <w:rsid w:val="00A40070"/>
    <w:rsid w:val="00A42E82"/>
    <w:rsid w:val="00A46EE9"/>
    <w:rsid w:val="00A55E83"/>
    <w:rsid w:val="00A579BB"/>
    <w:rsid w:val="00A57D11"/>
    <w:rsid w:val="00A63D55"/>
    <w:rsid w:val="00A64BC2"/>
    <w:rsid w:val="00A67781"/>
    <w:rsid w:val="00A74473"/>
    <w:rsid w:val="00A82792"/>
    <w:rsid w:val="00A8441B"/>
    <w:rsid w:val="00A9088C"/>
    <w:rsid w:val="00A9168C"/>
    <w:rsid w:val="00A92448"/>
    <w:rsid w:val="00A95D89"/>
    <w:rsid w:val="00AB3243"/>
    <w:rsid w:val="00AB3700"/>
    <w:rsid w:val="00AB5232"/>
    <w:rsid w:val="00AD02FA"/>
    <w:rsid w:val="00AD5B50"/>
    <w:rsid w:val="00AD7BDD"/>
    <w:rsid w:val="00AE4372"/>
    <w:rsid w:val="00B05C4C"/>
    <w:rsid w:val="00B14DDC"/>
    <w:rsid w:val="00B30A5E"/>
    <w:rsid w:val="00B31505"/>
    <w:rsid w:val="00B470F6"/>
    <w:rsid w:val="00B6269C"/>
    <w:rsid w:val="00B74C73"/>
    <w:rsid w:val="00B93EB5"/>
    <w:rsid w:val="00B96F5A"/>
    <w:rsid w:val="00BA12C7"/>
    <w:rsid w:val="00BA2247"/>
    <w:rsid w:val="00BA5D97"/>
    <w:rsid w:val="00BA6B19"/>
    <w:rsid w:val="00BB1C52"/>
    <w:rsid w:val="00BB2A50"/>
    <w:rsid w:val="00BC1E48"/>
    <w:rsid w:val="00BC6600"/>
    <w:rsid w:val="00BD3F03"/>
    <w:rsid w:val="00C0704D"/>
    <w:rsid w:val="00C10202"/>
    <w:rsid w:val="00C214A6"/>
    <w:rsid w:val="00C24A51"/>
    <w:rsid w:val="00C25722"/>
    <w:rsid w:val="00C4415A"/>
    <w:rsid w:val="00C44E40"/>
    <w:rsid w:val="00C50517"/>
    <w:rsid w:val="00C536CA"/>
    <w:rsid w:val="00C618DB"/>
    <w:rsid w:val="00C61B21"/>
    <w:rsid w:val="00C630B5"/>
    <w:rsid w:val="00C6456D"/>
    <w:rsid w:val="00C6777F"/>
    <w:rsid w:val="00C900A5"/>
    <w:rsid w:val="00C93384"/>
    <w:rsid w:val="00CA28BA"/>
    <w:rsid w:val="00CC2824"/>
    <w:rsid w:val="00CC4BC0"/>
    <w:rsid w:val="00CD1729"/>
    <w:rsid w:val="00CD2E03"/>
    <w:rsid w:val="00CD38B1"/>
    <w:rsid w:val="00D06CF2"/>
    <w:rsid w:val="00D102D9"/>
    <w:rsid w:val="00D1063F"/>
    <w:rsid w:val="00D11007"/>
    <w:rsid w:val="00D1420C"/>
    <w:rsid w:val="00D23470"/>
    <w:rsid w:val="00D2449B"/>
    <w:rsid w:val="00D35EB8"/>
    <w:rsid w:val="00D423D8"/>
    <w:rsid w:val="00D54384"/>
    <w:rsid w:val="00D54E67"/>
    <w:rsid w:val="00D54F48"/>
    <w:rsid w:val="00D632BB"/>
    <w:rsid w:val="00D729D7"/>
    <w:rsid w:val="00D80310"/>
    <w:rsid w:val="00D84821"/>
    <w:rsid w:val="00D9608A"/>
    <w:rsid w:val="00D96DF7"/>
    <w:rsid w:val="00D97AA3"/>
    <w:rsid w:val="00DA27B6"/>
    <w:rsid w:val="00DC3C8A"/>
    <w:rsid w:val="00DD62F6"/>
    <w:rsid w:val="00DD7E97"/>
    <w:rsid w:val="00DE740E"/>
    <w:rsid w:val="00DF1736"/>
    <w:rsid w:val="00DF2E9A"/>
    <w:rsid w:val="00DF42DA"/>
    <w:rsid w:val="00DF526A"/>
    <w:rsid w:val="00E03AFD"/>
    <w:rsid w:val="00E0485E"/>
    <w:rsid w:val="00E06DFC"/>
    <w:rsid w:val="00E07442"/>
    <w:rsid w:val="00E23FB0"/>
    <w:rsid w:val="00E2608A"/>
    <w:rsid w:val="00E46243"/>
    <w:rsid w:val="00E61E20"/>
    <w:rsid w:val="00E66534"/>
    <w:rsid w:val="00E719D1"/>
    <w:rsid w:val="00E71A35"/>
    <w:rsid w:val="00E72F6C"/>
    <w:rsid w:val="00E80113"/>
    <w:rsid w:val="00EA09F9"/>
    <w:rsid w:val="00EA1673"/>
    <w:rsid w:val="00EB0C6F"/>
    <w:rsid w:val="00EB7D74"/>
    <w:rsid w:val="00EC23C7"/>
    <w:rsid w:val="00ED00B7"/>
    <w:rsid w:val="00EE6AF6"/>
    <w:rsid w:val="00EF1341"/>
    <w:rsid w:val="00EF44E6"/>
    <w:rsid w:val="00F012FA"/>
    <w:rsid w:val="00F01F0C"/>
    <w:rsid w:val="00F055D3"/>
    <w:rsid w:val="00F129DD"/>
    <w:rsid w:val="00F16D0F"/>
    <w:rsid w:val="00F32789"/>
    <w:rsid w:val="00F351E7"/>
    <w:rsid w:val="00F35412"/>
    <w:rsid w:val="00F71D53"/>
    <w:rsid w:val="00F731F5"/>
    <w:rsid w:val="00F75F59"/>
    <w:rsid w:val="00F8201E"/>
    <w:rsid w:val="00F91B85"/>
    <w:rsid w:val="00FB20D7"/>
    <w:rsid w:val="00FB23AF"/>
    <w:rsid w:val="00FC046F"/>
    <w:rsid w:val="00FC2360"/>
    <w:rsid w:val="00FC6A11"/>
    <w:rsid w:val="00FC77EC"/>
    <w:rsid w:val="00FD334A"/>
    <w:rsid w:val="00FD6AE3"/>
    <w:rsid w:val="00FE511D"/>
    <w:rsid w:val="00FE7206"/>
    <w:rsid w:val="00FF218C"/>
    <w:rsid w:val="00FF5EFD"/>
    <w:rsid w:val="00FF68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E4A0E"/>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412187"/>
    <w:rPr>
      <w:b/>
      <w:bCs/>
    </w:rPr>
  </w:style>
  <w:style w:type="paragraph" w:styleId="PlainText">
    <w:name w:val="Plain Text"/>
    <w:basedOn w:val="Normal"/>
    <w:link w:val="PlainTextChar"/>
    <w:uiPriority w:val="99"/>
    <w:unhideWhenUsed/>
    <w:rsid w:val="00DF1736"/>
    <w:pPr>
      <w:overflowPunct/>
      <w:autoSpaceDE/>
      <w:autoSpaceDN/>
      <w:adjustRightInd/>
      <w:textAlignment w:val="auto"/>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DF1736"/>
    <w:rPr>
      <w:rFonts w:ascii="Calibri" w:hAnsi="Calibri"/>
      <w:szCs w:val="21"/>
    </w:rPr>
  </w:style>
  <w:style w:type="paragraph" w:customStyle="1" w:styleId="Default">
    <w:name w:val="Default"/>
    <w:rsid w:val="00DF526A"/>
    <w:pPr>
      <w:autoSpaceDE w:val="0"/>
      <w:autoSpaceDN w:val="0"/>
      <w:adjustRightInd w:val="0"/>
      <w:spacing w:after="0" w:line="240" w:lineRule="auto"/>
    </w:pPr>
    <w:rPr>
      <w:rFonts w:ascii="Arial" w:hAnsi="Arial" w:cs="Arial"/>
      <w:color w:val="000000"/>
      <w:sz w:val="24"/>
      <w:szCs w:val="24"/>
    </w:rPr>
  </w:style>
  <w:style w:type="paragraph" w:styleId="BodyText2">
    <w:name w:val="Body Text 2"/>
    <w:basedOn w:val="Normal"/>
    <w:link w:val="BodyText2Char"/>
    <w:uiPriority w:val="99"/>
    <w:unhideWhenUsed/>
    <w:rsid w:val="00925FB4"/>
    <w:pPr>
      <w:overflowPunct/>
      <w:autoSpaceDE/>
      <w:autoSpaceDN/>
      <w:adjustRightInd/>
      <w:spacing w:after="120" w:line="480" w:lineRule="auto"/>
      <w:jc w:val="both"/>
      <w:textAlignment w:val="auto"/>
    </w:pPr>
    <w:rPr>
      <w:szCs w:val="24"/>
    </w:rPr>
  </w:style>
  <w:style w:type="character" w:customStyle="1" w:styleId="BodyText2Char">
    <w:name w:val="Body Text 2 Char"/>
    <w:basedOn w:val="DefaultParagraphFont"/>
    <w:link w:val="BodyText2"/>
    <w:uiPriority w:val="99"/>
    <w:rsid w:val="00925FB4"/>
    <w:rPr>
      <w:rFonts w:ascii="Arial" w:eastAsia="Times New Roman"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475943">
      <w:bodyDiv w:val="1"/>
      <w:marLeft w:val="0"/>
      <w:marRight w:val="0"/>
      <w:marTop w:val="0"/>
      <w:marBottom w:val="0"/>
      <w:divBdr>
        <w:top w:val="none" w:sz="0" w:space="0" w:color="auto"/>
        <w:left w:val="none" w:sz="0" w:space="0" w:color="auto"/>
        <w:bottom w:val="none" w:sz="0" w:space="0" w:color="auto"/>
        <w:right w:val="none" w:sz="0" w:space="0" w:color="auto"/>
      </w:divBdr>
    </w:div>
    <w:div w:id="383524478">
      <w:bodyDiv w:val="1"/>
      <w:marLeft w:val="0"/>
      <w:marRight w:val="0"/>
      <w:marTop w:val="0"/>
      <w:marBottom w:val="0"/>
      <w:divBdr>
        <w:top w:val="none" w:sz="0" w:space="0" w:color="auto"/>
        <w:left w:val="none" w:sz="0" w:space="0" w:color="auto"/>
        <w:bottom w:val="none" w:sz="0" w:space="0" w:color="auto"/>
        <w:right w:val="none" w:sz="0" w:space="0" w:color="auto"/>
      </w:divBdr>
    </w:div>
    <w:div w:id="560866249">
      <w:bodyDiv w:val="1"/>
      <w:marLeft w:val="0"/>
      <w:marRight w:val="0"/>
      <w:marTop w:val="0"/>
      <w:marBottom w:val="0"/>
      <w:divBdr>
        <w:top w:val="none" w:sz="0" w:space="0" w:color="auto"/>
        <w:left w:val="none" w:sz="0" w:space="0" w:color="auto"/>
        <w:bottom w:val="none" w:sz="0" w:space="0" w:color="auto"/>
        <w:right w:val="none" w:sz="0" w:space="0" w:color="auto"/>
      </w:divBdr>
    </w:div>
    <w:div w:id="691536123">
      <w:bodyDiv w:val="1"/>
      <w:marLeft w:val="0"/>
      <w:marRight w:val="0"/>
      <w:marTop w:val="0"/>
      <w:marBottom w:val="0"/>
      <w:divBdr>
        <w:top w:val="none" w:sz="0" w:space="0" w:color="auto"/>
        <w:left w:val="none" w:sz="0" w:space="0" w:color="auto"/>
        <w:bottom w:val="none" w:sz="0" w:space="0" w:color="auto"/>
        <w:right w:val="none" w:sz="0" w:space="0" w:color="auto"/>
      </w:divBdr>
    </w:div>
    <w:div w:id="701370192">
      <w:bodyDiv w:val="1"/>
      <w:marLeft w:val="0"/>
      <w:marRight w:val="0"/>
      <w:marTop w:val="0"/>
      <w:marBottom w:val="0"/>
      <w:divBdr>
        <w:top w:val="none" w:sz="0" w:space="0" w:color="auto"/>
        <w:left w:val="none" w:sz="0" w:space="0" w:color="auto"/>
        <w:bottom w:val="none" w:sz="0" w:space="0" w:color="auto"/>
        <w:right w:val="none" w:sz="0" w:space="0" w:color="auto"/>
      </w:divBdr>
    </w:div>
    <w:div w:id="785657129">
      <w:bodyDiv w:val="1"/>
      <w:marLeft w:val="0"/>
      <w:marRight w:val="0"/>
      <w:marTop w:val="0"/>
      <w:marBottom w:val="0"/>
      <w:divBdr>
        <w:top w:val="none" w:sz="0" w:space="0" w:color="auto"/>
        <w:left w:val="none" w:sz="0" w:space="0" w:color="auto"/>
        <w:bottom w:val="none" w:sz="0" w:space="0" w:color="auto"/>
        <w:right w:val="none" w:sz="0" w:space="0" w:color="auto"/>
      </w:divBdr>
    </w:div>
    <w:div w:id="801968990">
      <w:bodyDiv w:val="1"/>
      <w:marLeft w:val="0"/>
      <w:marRight w:val="0"/>
      <w:marTop w:val="0"/>
      <w:marBottom w:val="0"/>
      <w:divBdr>
        <w:top w:val="none" w:sz="0" w:space="0" w:color="auto"/>
        <w:left w:val="none" w:sz="0" w:space="0" w:color="auto"/>
        <w:bottom w:val="none" w:sz="0" w:space="0" w:color="auto"/>
        <w:right w:val="none" w:sz="0" w:space="0" w:color="auto"/>
      </w:divBdr>
    </w:div>
    <w:div w:id="1022361709">
      <w:bodyDiv w:val="1"/>
      <w:marLeft w:val="0"/>
      <w:marRight w:val="0"/>
      <w:marTop w:val="0"/>
      <w:marBottom w:val="0"/>
      <w:divBdr>
        <w:top w:val="none" w:sz="0" w:space="0" w:color="auto"/>
        <w:left w:val="none" w:sz="0" w:space="0" w:color="auto"/>
        <w:bottom w:val="none" w:sz="0" w:space="0" w:color="auto"/>
        <w:right w:val="none" w:sz="0" w:space="0" w:color="auto"/>
      </w:divBdr>
    </w:div>
    <w:div w:id="1055349620">
      <w:bodyDiv w:val="1"/>
      <w:marLeft w:val="0"/>
      <w:marRight w:val="0"/>
      <w:marTop w:val="0"/>
      <w:marBottom w:val="0"/>
      <w:divBdr>
        <w:top w:val="none" w:sz="0" w:space="0" w:color="auto"/>
        <w:left w:val="none" w:sz="0" w:space="0" w:color="auto"/>
        <w:bottom w:val="none" w:sz="0" w:space="0" w:color="auto"/>
        <w:right w:val="none" w:sz="0" w:space="0" w:color="auto"/>
      </w:divBdr>
    </w:div>
    <w:div w:id="1140611153">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202126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285AF-270E-4451-BC8E-B1B67F59D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3659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Lesley Lund</cp:lastModifiedBy>
  <cp:revision>2</cp:revision>
  <cp:lastPrinted>2021-10-15T15:09:00Z</cp:lastPrinted>
  <dcterms:created xsi:type="dcterms:W3CDTF">2021-10-15T15:11:00Z</dcterms:created>
  <dcterms:modified xsi:type="dcterms:W3CDTF">2021-10-15T15:11:00Z</dcterms:modified>
</cp:coreProperties>
</file>