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BEBB0C0" w:rsidR="004936A6" w:rsidRPr="004D33C8" w:rsidRDefault="0016102D" w:rsidP="0016102D">
            <w:pPr>
              <w:rPr>
                <w:rFonts w:ascii="Calibri" w:hAnsi="Calibri"/>
                <w:szCs w:val="22"/>
              </w:rPr>
            </w:pPr>
            <w:r>
              <w:rPr>
                <w:rFonts w:ascii="Calibri" w:hAnsi="Calibri"/>
                <w:szCs w:val="22"/>
              </w:rPr>
              <w:t>1/11/2021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672395E" w:rsidR="004A5EA9" w:rsidRPr="008C75E4" w:rsidRDefault="006644F6" w:rsidP="008F6B58">
            <w:pPr>
              <w:rPr>
                <w:rFonts w:ascii="Calibri" w:hAnsi="Calibri"/>
                <w:szCs w:val="22"/>
              </w:rPr>
            </w:pPr>
            <w:r>
              <w:rPr>
                <w:rFonts w:ascii="Calibri" w:hAnsi="Calibri"/>
                <w:szCs w:val="22"/>
              </w:rPr>
              <w:t>3/2021/</w:t>
            </w:r>
            <w:r w:rsidR="003E5100">
              <w:rPr>
                <w:rFonts w:ascii="Calibri" w:hAnsi="Calibri"/>
                <w:szCs w:val="22"/>
              </w:rPr>
              <w:t>0</w:t>
            </w:r>
            <w:r w:rsidR="00930A2D">
              <w:rPr>
                <w:rFonts w:ascii="Calibri" w:hAnsi="Calibri"/>
                <w:szCs w:val="22"/>
              </w:rPr>
              <w:t>833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F47106A" w:rsidR="004A5EA9" w:rsidRPr="008C75E4" w:rsidRDefault="008C39D9" w:rsidP="002C6277">
            <w:pPr>
              <w:rPr>
                <w:rFonts w:ascii="Calibri" w:hAnsi="Calibri"/>
                <w:szCs w:val="22"/>
              </w:rPr>
            </w:pPr>
            <w:r>
              <w:rPr>
                <w:rFonts w:ascii="Calibri" w:hAnsi="Calibri"/>
                <w:szCs w:val="22"/>
              </w:rPr>
              <w:t>6</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2824338" w:rsidR="00FD334A" w:rsidRPr="000267F9" w:rsidRDefault="003E5100"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80B3471" w:rsidR="00D13259" w:rsidRPr="008C75E4" w:rsidRDefault="00930A2D">
            <w:pPr>
              <w:rPr>
                <w:rFonts w:ascii="Calibri" w:hAnsi="Calibri"/>
                <w:szCs w:val="22"/>
              </w:rPr>
            </w:pPr>
            <w:r w:rsidRPr="00930A2D">
              <w:rPr>
                <w:rFonts w:ascii="Calibri" w:hAnsi="Calibri"/>
                <w:szCs w:val="22"/>
              </w:rPr>
              <w:t>Raise ridge to extension by 500mm. Install two windows to east elevation of roof plane. Add balcony to rear elevation.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C49A270" w:rsidR="002A01CF" w:rsidRPr="00930A2D" w:rsidRDefault="00930A2D" w:rsidP="00A42E82">
            <w:pPr>
              <w:rPr>
                <w:rFonts w:ascii="Calibri" w:hAnsi="Calibri"/>
                <w:szCs w:val="22"/>
              </w:rPr>
            </w:pPr>
            <w:r w:rsidRPr="00930A2D">
              <w:rPr>
                <w:rFonts w:ascii="Calibri" w:hAnsi="Calibri"/>
                <w:szCs w:val="22"/>
              </w:rPr>
              <w:t>Highcroft</w:t>
            </w:r>
            <w:r>
              <w:rPr>
                <w:rFonts w:ascii="Calibri" w:hAnsi="Calibri"/>
                <w:szCs w:val="22"/>
              </w:rPr>
              <w:t xml:space="preserve">, </w:t>
            </w:r>
            <w:r w:rsidRPr="00930A2D">
              <w:rPr>
                <w:rFonts w:ascii="Calibri" w:hAnsi="Calibri"/>
                <w:szCs w:val="22"/>
              </w:rPr>
              <w:t>Painter Wood</w:t>
            </w:r>
            <w:r>
              <w:rPr>
                <w:rFonts w:ascii="Calibri" w:hAnsi="Calibri"/>
                <w:szCs w:val="22"/>
              </w:rPr>
              <w:t>,</w:t>
            </w:r>
            <w:r w:rsidRPr="00930A2D">
              <w:rPr>
                <w:rFonts w:ascii="Calibri" w:hAnsi="Calibri"/>
                <w:szCs w:val="22"/>
              </w:rPr>
              <w:t xml:space="preserve"> Billington</w:t>
            </w:r>
            <w:r>
              <w:rPr>
                <w:rFonts w:ascii="Calibri" w:hAnsi="Calibri"/>
                <w:szCs w:val="22"/>
              </w:rPr>
              <w:t>.</w:t>
            </w:r>
            <w:r w:rsidRPr="00930A2D">
              <w:rPr>
                <w:rFonts w:ascii="Calibri" w:hAnsi="Calibri"/>
                <w:szCs w:val="22"/>
              </w:rPr>
              <w:t xml:space="preserve"> BB7 9JD</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099587AF" w:rsidR="00BC0FF2" w:rsidRPr="00A47F23" w:rsidRDefault="00930A2D" w:rsidP="00A47F23">
            <w:pPr>
              <w:jc w:val="both"/>
              <w:rPr>
                <w:rFonts w:ascii="Calibri" w:hAnsi="Calibri"/>
                <w:szCs w:val="22"/>
              </w:rPr>
            </w:pPr>
            <w:r w:rsidRPr="00930A2D">
              <w:rPr>
                <w:rFonts w:ascii="Calibri" w:hAnsi="Calibri"/>
                <w:szCs w:val="22"/>
              </w:rPr>
              <w:t>Billington and Langho Parish Council consulted by email</w:t>
            </w:r>
            <w:r>
              <w:rPr>
                <w:rFonts w:ascii="Calibri" w:hAnsi="Calibri"/>
                <w:szCs w:val="22"/>
              </w:rPr>
              <w:t xml:space="preserve"> on 23</w:t>
            </w:r>
            <w:r w:rsidR="008C39D9">
              <w:rPr>
                <w:rFonts w:ascii="Calibri" w:hAnsi="Calibri"/>
                <w:szCs w:val="22"/>
              </w:rPr>
              <w:t>/9/2021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1801C0CE" w:rsidR="009130B6" w:rsidRPr="00537C15" w:rsidRDefault="00930A2D" w:rsidP="006126D1">
            <w:pPr>
              <w:jc w:val="both"/>
              <w:rPr>
                <w:rFonts w:ascii="Calibri" w:hAnsi="Calibri"/>
                <w:b/>
                <w:bCs/>
                <w:szCs w:val="22"/>
              </w:rPr>
            </w:pPr>
            <w:r>
              <w:rPr>
                <w:rFonts w:ascii="Calibri" w:hAnsi="Calibri"/>
                <w:b/>
                <w:bCs/>
                <w:szCs w:val="22"/>
              </w:rPr>
              <w:t>LCC Highways:</w:t>
            </w:r>
          </w:p>
        </w:tc>
      </w:tr>
      <w:tr w:rsidR="00537C15" w:rsidRPr="008C75E4" w14:paraId="696DB07F" w14:textId="77777777" w:rsidTr="003B4241">
        <w:trPr>
          <w:jc w:val="center"/>
        </w:trPr>
        <w:tc>
          <w:tcPr>
            <w:tcW w:w="9803" w:type="dxa"/>
            <w:gridSpan w:val="14"/>
            <w:tcMar>
              <w:top w:w="57" w:type="dxa"/>
              <w:bottom w:w="57" w:type="dxa"/>
            </w:tcMar>
          </w:tcPr>
          <w:p w14:paraId="146B0A0F" w14:textId="110788C0" w:rsidR="00537C15" w:rsidRPr="00537C15" w:rsidRDefault="00537C15" w:rsidP="006126D1">
            <w:pPr>
              <w:jc w:val="both"/>
              <w:rPr>
                <w:rFonts w:ascii="Calibri" w:hAnsi="Calibri"/>
                <w:szCs w:val="22"/>
              </w:rPr>
            </w:pPr>
            <w:r>
              <w:rPr>
                <w:rFonts w:ascii="Calibri" w:hAnsi="Calibri"/>
                <w:szCs w:val="22"/>
              </w:rPr>
              <w:t>No objection</w:t>
            </w:r>
            <w:r w:rsidR="00930A2D">
              <w:rPr>
                <w:rFonts w:ascii="Calibri" w:hAnsi="Calibri"/>
                <w:szCs w:val="22"/>
              </w:rPr>
              <w:t xml:space="preserve"> to the proposal.</w:t>
            </w:r>
          </w:p>
        </w:tc>
      </w:tr>
      <w:tr w:rsidR="00537C15" w:rsidRPr="008C75E4" w14:paraId="372A69D4" w14:textId="77777777" w:rsidTr="003B4241">
        <w:trPr>
          <w:jc w:val="center"/>
        </w:trPr>
        <w:tc>
          <w:tcPr>
            <w:tcW w:w="9803" w:type="dxa"/>
            <w:gridSpan w:val="14"/>
            <w:tcMar>
              <w:top w:w="57" w:type="dxa"/>
              <w:bottom w:w="57" w:type="dxa"/>
            </w:tcMar>
          </w:tcPr>
          <w:p w14:paraId="1F847287" w14:textId="5BF7F5AF" w:rsidR="00537C15" w:rsidRPr="00537C15" w:rsidRDefault="00930A2D" w:rsidP="006126D1">
            <w:pPr>
              <w:jc w:val="both"/>
              <w:rPr>
                <w:rFonts w:ascii="Calibri" w:hAnsi="Calibri"/>
                <w:b/>
                <w:bCs/>
                <w:szCs w:val="22"/>
              </w:rPr>
            </w:pPr>
            <w:r>
              <w:rPr>
                <w:rFonts w:ascii="Calibri" w:hAnsi="Calibri"/>
                <w:b/>
                <w:bCs/>
                <w:szCs w:val="22"/>
              </w:rPr>
              <w:t>LCC Footpaths</w:t>
            </w:r>
            <w:r w:rsidR="00537C15" w:rsidRPr="00537C15">
              <w:rPr>
                <w:rFonts w:ascii="Calibri" w:hAnsi="Calibri"/>
                <w:b/>
                <w:bCs/>
                <w:szCs w:val="22"/>
              </w:rPr>
              <w:t>:</w:t>
            </w:r>
          </w:p>
        </w:tc>
      </w:tr>
      <w:tr w:rsidR="00537C15" w:rsidRPr="008C75E4" w14:paraId="2AA43D0A" w14:textId="77777777" w:rsidTr="003B4241">
        <w:trPr>
          <w:jc w:val="center"/>
        </w:trPr>
        <w:tc>
          <w:tcPr>
            <w:tcW w:w="9803" w:type="dxa"/>
            <w:gridSpan w:val="14"/>
            <w:tcMar>
              <w:top w:w="57" w:type="dxa"/>
              <w:bottom w:w="57" w:type="dxa"/>
            </w:tcMar>
          </w:tcPr>
          <w:p w14:paraId="0F32CB0C" w14:textId="206415D9" w:rsidR="00537C15" w:rsidRDefault="00930A2D" w:rsidP="006126D1">
            <w:pPr>
              <w:jc w:val="both"/>
              <w:rPr>
                <w:rFonts w:ascii="Calibri" w:hAnsi="Calibri"/>
                <w:szCs w:val="22"/>
              </w:rPr>
            </w:pPr>
            <w:r>
              <w:rPr>
                <w:rFonts w:ascii="Calibri" w:hAnsi="Calibri"/>
                <w:szCs w:val="22"/>
              </w:rPr>
              <w:t>Consulted via email on 23/9/21 – no response.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06E0E991"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7D6D0C2E" w14:textId="600A1FDA" w:rsidR="003E5100" w:rsidRDefault="003E5100" w:rsidP="006126D1">
            <w:pPr>
              <w:jc w:val="both"/>
              <w:rPr>
                <w:rFonts w:ascii="Calibri" w:hAnsi="Calibri"/>
                <w:szCs w:val="22"/>
              </w:rPr>
            </w:pPr>
            <w:r>
              <w:rPr>
                <w:rFonts w:ascii="Calibri" w:hAnsi="Calibri"/>
                <w:szCs w:val="22"/>
              </w:rPr>
              <w:t>Key Statement EN1 – Green Belt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2413BDF"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D8CCAE7" w:rsidR="00D56225" w:rsidRDefault="00D56225" w:rsidP="007A3ADF">
            <w:pPr>
              <w:pStyle w:val="PLANNING"/>
              <w:rPr>
                <w:rFonts w:ascii="Calibri" w:hAnsi="Calibri"/>
                <w:bCs/>
                <w:szCs w:val="22"/>
              </w:rPr>
            </w:pPr>
          </w:p>
          <w:p w14:paraId="4ACF5309" w14:textId="68BA3741" w:rsidR="003E5100" w:rsidRPr="00930A2D" w:rsidRDefault="00930A2D" w:rsidP="00A47F23">
            <w:pPr>
              <w:pStyle w:val="PLANNING"/>
              <w:rPr>
                <w:rFonts w:ascii="Calibri" w:hAnsi="Calibri"/>
                <w:b/>
                <w:bCs/>
                <w:szCs w:val="22"/>
              </w:rPr>
            </w:pPr>
            <w:r w:rsidRPr="00930A2D">
              <w:rPr>
                <w:rFonts w:ascii="Calibri" w:hAnsi="Calibri"/>
                <w:b/>
                <w:bCs/>
                <w:szCs w:val="22"/>
              </w:rPr>
              <w:t>3/2019/0039:</w:t>
            </w:r>
          </w:p>
          <w:p w14:paraId="4AE6A196" w14:textId="614B7745" w:rsidR="00930A2D" w:rsidRPr="00930A2D" w:rsidRDefault="00930A2D" w:rsidP="00A47F23">
            <w:pPr>
              <w:pStyle w:val="PLANNING"/>
              <w:rPr>
                <w:rFonts w:ascii="Calibri" w:hAnsi="Calibri"/>
                <w:szCs w:val="22"/>
              </w:rPr>
            </w:pPr>
            <w:r w:rsidRPr="00930A2D">
              <w:rPr>
                <w:rFonts w:ascii="Calibri" w:hAnsi="Calibri"/>
                <w:szCs w:val="22"/>
              </w:rPr>
              <w:t>Two storey extension to side and raising of existing roof by approximately 1.5m (Approved)</w:t>
            </w:r>
          </w:p>
          <w:p w14:paraId="30A97D50" w14:textId="6A75F89B" w:rsidR="003E5100" w:rsidRPr="003E5100" w:rsidRDefault="003E5100"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D3A8E2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33DDA">
              <w:rPr>
                <w:rFonts w:asciiTheme="minorHAnsi" w:hAnsiTheme="minorHAnsi" w:cstheme="minorHAnsi"/>
                <w:szCs w:val="22"/>
              </w:rPr>
              <w:t xml:space="preserve">detached property in </w:t>
            </w:r>
            <w:r w:rsidR="00834972">
              <w:rPr>
                <w:rFonts w:asciiTheme="minorHAnsi" w:hAnsiTheme="minorHAnsi" w:cstheme="minorHAnsi"/>
                <w:szCs w:val="22"/>
              </w:rPr>
              <w:t>Billington</w:t>
            </w:r>
            <w:r w:rsidR="00233DDA">
              <w:rPr>
                <w:rFonts w:asciiTheme="minorHAnsi" w:hAnsiTheme="minorHAnsi" w:cstheme="minorHAnsi"/>
                <w:szCs w:val="22"/>
              </w:rPr>
              <w:t xml:space="preserve">. The property </w:t>
            </w:r>
            <w:r w:rsidR="00834972">
              <w:rPr>
                <w:rFonts w:asciiTheme="minorHAnsi" w:hAnsiTheme="minorHAnsi" w:cstheme="minorHAnsi"/>
                <w:szCs w:val="22"/>
              </w:rPr>
              <w:t>consists of</w:t>
            </w:r>
            <w:r w:rsidR="00233DDA">
              <w:rPr>
                <w:rFonts w:asciiTheme="minorHAnsi" w:hAnsiTheme="minorHAnsi" w:cstheme="minorHAnsi"/>
                <w:szCs w:val="22"/>
              </w:rPr>
              <w:t xml:space="preserve"> stone,</w:t>
            </w:r>
            <w:r w:rsidR="00834972">
              <w:rPr>
                <w:rFonts w:asciiTheme="minorHAnsi" w:hAnsiTheme="minorHAnsi" w:cstheme="minorHAnsi"/>
                <w:szCs w:val="22"/>
              </w:rPr>
              <w:t xml:space="preserve"> render, cladding</w:t>
            </w:r>
            <w:r w:rsidR="00233DDA">
              <w:rPr>
                <w:rFonts w:asciiTheme="minorHAnsi" w:hAnsiTheme="minorHAnsi" w:cstheme="minorHAnsi"/>
                <w:szCs w:val="22"/>
              </w:rPr>
              <w:t xml:space="preserve"> </w:t>
            </w:r>
            <w:r w:rsidR="00F86F3B">
              <w:rPr>
                <w:rFonts w:asciiTheme="minorHAnsi" w:hAnsiTheme="minorHAnsi" w:cstheme="minorHAnsi"/>
                <w:szCs w:val="22"/>
              </w:rPr>
              <w:t>concrete</w:t>
            </w:r>
            <w:r w:rsidR="00233DDA">
              <w:rPr>
                <w:rFonts w:asciiTheme="minorHAnsi" w:hAnsiTheme="minorHAnsi" w:cstheme="minorHAnsi"/>
                <w:szCs w:val="22"/>
              </w:rPr>
              <w:t xml:space="preserve"> roof tiles and </w:t>
            </w:r>
            <w:r w:rsidR="00834972">
              <w:rPr>
                <w:rFonts w:asciiTheme="minorHAnsi" w:hAnsiTheme="minorHAnsi" w:cstheme="minorHAnsi"/>
                <w:szCs w:val="22"/>
              </w:rPr>
              <w:t>UPVC / aluminium</w:t>
            </w:r>
            <w:r w:rsidR="00233DDA">
              <w:rPr>
                <w:rFonts w:asciiTheme="minorHAnsi" w:hAnsiTheme="minorHAnsi" w:cstheme="minorHAnsi"/>
                <w:szCs w:val="22"/>
              </w:rPr>
              <w:t xml:space="preserve"> UPVC doors and windows. The </w:t>
            </w:r>
            <w:r w:rsidR="00834972">
              <w:rPr>
                <w:rFonts w:asciiTheme="minorHAnsi" w:hAnsiTheme="minorHAnsi" w:cstheme="minorHAnsi"/>
                <w:szCs w:val="22"/>
              </w:rPr>
              <w:t>proposal site is located outside of Billington village centre and is bordered to the North</w:t>
            </w:r>
            <w:r w:rsidR="00F86F3B">
              <w:rPr>
                <w:rFonts w:asciiTheme="minorHAnsi" w:hAnsiTheme="minorHAnsi" w:cstheme="minorHAnsi"/>
                <w:szCs w:val="22"/>
              </w:rPr>
              <w:t xml:space="preserve"> </w:t>
            </w:r>
            <w:r w:rsidR="00834972">
              <w:rPr>
                <w:rFonts w:asciiTheme="minorHAnsi" w:hAnsiTheme="minorHAnsi" w:cstheme="minorHAnsi"/>
                <w:szCs w:val="22"/>
              </w:rPr>
              <w:t>by a cluster of houses</w:t>
            </w:r>
            <w:r w:rsidR="0036790A">
              <w:rPr>
                <w:rFonts w:asciiTheme="minorHAnsi" w:hAnsiTheme="minorHAnsi" w:cstheme="minorHAnsi"/>
                <w:szCs w:val="22"/>
              </w:rPr>
              <w:t xml:space="preserve"> and</w:t>
            </w:r>
            <w:r w:rsidR="00834972">
              <w:rPr>
                <w:rFonts w:asciiTheme="minorHAnsi" w:hAnsiTheme="minorHAnsi" w:cstheme="minorHAnsi"/>
                <w:szCs w:val="22"/>
              </w:rPr>
              <w:t xml:space="preserve"> a</w:t>
            </w:r>
            <w:r w:rsidR="0036790A">
              <w:rPr>
                <w:rFonts w:asciiTheme="minorHAnsi" w:hAnsiTheme="minorHAnsi" w:cstheme="minorHAnsi"/>
                <w:szCs w:val="22"/>
              </w:rPr>
              <w:t xml:space="preserve"> </w:t>
            </w:r>
            <w:r w:rsidR="00F86F3B">
              <w:rPr>
                <w:rFonts w:asciiTheme="minorHAnsi" w:hAnsiTheme="minorHAnsi" w:cstheme="minorHAnsi"/>
                <w:szCs w:val="22"/>
              </w:rPr>
              <w:t>large area of open countryside</w:t>
            </w:r>
            <w:r w:rsidR="00834972">
              <w:rPr>
                <w:rFonts w:asciiTheme="minorHAnsi" w:hAnsiTheme="minorHAnsi" w:cstheme="minorHAnsi"/>
                <w:szCs w:val="22"/>
              </w:rPr>
              <w:t xml:space="preserve"> to the South</w:t>
            </w:r>
            <w:r w:rsidR="0036790A">
              <w:rPr>
                <w:rFonts w:asciiTheme="minorHAnsi" w:hAnsiTheme="minorHAnsi" w:cstheme="minorHAnsi"/>
                <w:szCs w:val="22"/>
              </w:rPr>
              <w:t>.</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5A4FE57A" w14:textId="77777777" w:rsidR="00233DDA" w:rsidRDefault="00233DDA" w:rsidP="00BD6206">
            <w:pPr>
              <w:pStyle w:val="Header"/>
              <w:tabs>
                <w:tab w:val="clear" w:pos="4153"/>
                <w:tab w:val="clear" w:pos="8306"/>
              </w:tabs>
              <w:jc w:val="both"/>
              <w:rPr>
                <w:rFonts w:ascii="Calibri" w:hAnsi="Calibri"/>
                <w:szCs w:val="22"/>
              </w:rPr>
            </w:pPr>
          </w:p>
          <w:p w14:paraId="5C90BF72" w14:textId="0BDB0ADD" w:rsidR="003E5100" w:rsidRDefault="00A47F23" w:rsidP="00F86F3B">
            <w:pPr>
              <w:pStyle w:val="Header"/>
              <w:tabs>
                <w:tab w:val="clear" w:pos="4153"/>
                <w:tab w:val="clear" w:pos="8306"/>
              </w:tabs>
              <w:jc w:val="both"/>
              <w:rPr>
                <w:rFonts w:ascii="Calibri" w:hAnsi="Calibri"/>
                <w:szCs w:val="22"/>
              </w:rPr>
            </w:pPr>
            <w:r>
              <w:rPr>
                <w:rFonts w:ascii="Calibri" w:hAnsi="Calibri"/>
                <w:szCs w:val="22"/>
              </w:rPr>
              <w:t>Consent is sought for</w:t>
            </w:r>
            <w:r w:rsidR="0036790A">
              <w:rPr>
                <w:rFonts w:ascii="Calibri" w:hAnsi="Calibri"/>
                <w:szCs w:val="22"/>
              </w:rPr>
              <w:t xml:space="preserve"> a minor increase in height to </w:t>
            </w:r>
            <w:r w:rsidR="008750A7">
              <w:rPr>
                <w:rFonts w:ascii="Calibri" w:hAnsi="Calibri"/>
                <w:szCs w:val="22"/>
              </w:rPr>
              <w:t>a</w:t>
            </w:r>
            <w:r w:rsidR="0036790A">
              <w:rPr>
                <w:rFonts w:ascii="Calibri" w:hAnsi="Calibri"/>
                <w:szCs w:val="22"/>
              </w:rPr>
              <w:t xml:space="preserve"> previously approved</w:t>
            </w:r>
            <w:r>
              <w:rPr>
                <w:rFonts w:ascii="Calibri" w:hAnsi="Calibri"/>
                <w:szCs w:val="22"/>
              </w:rPr>
              <w:t xml:space="preserve"> </w:t>
            </w:r>
            <w:r w:rsidR="008750A7">
              <w:rPr>
                <w:rFonts w:ascii="Calibri" w:hAnsi="Calibri"/>
                <w:szCs w:val="22"/>
              </w:rPr>
              <w:t xml:space="preserve">two storey side </w:t>
            </w:r>
            <w:r w:rsidR="0036790A">
              <w:rPr>
                <w:rFonts w:ascii="Calibri" w:hAnsi="Calibri"/>
                <w:szCs w:val="22"/>
              </w:rPr>
              <w:t>extension</w:t>
            </w:r>
            <w:r w:rsidR="008750A7">
              <w:rPr>
                <w:rFonts w:ascii="Calibri" w:hAnsi="Calibri"/>
                <w:szCs w:val="22"/>
              </w:rPr>
              <w:t>, the addition of two roof lights to the Eastern roof slope of the previously approved extension</w:t>
            </w:r>
            <w:r w:rsidR="0036790A">
              <w:rPr>
                <w:rFonts w:ascii="Calibri" w:hAnsi="Calibri"/>
                <w:szCs w:val="22"/>
              </w:rPr>
              <w:t xml:space="preserve"> and for the construction </w:t>
            </w:r>
            <w:r>
              <w:rPr>
                <w:rFonts w:ascii="Calibri" w:hAnsi="Calibri"/>
                <w:szCs w:val="22"/>
              </w:rPr>
              <w:t xml:space="preserve">of a </w:t>
            </w:r>
            <w:r w:rsidR="0036790A">
              <w:rPr>
                <w:rFonts w:ascii="Calibri" w:hAnsi="Calibri"/>
                <w:szCs w:val="22"/>
              </w:rPr>
              <w:t>balcony to the rear of the property.</w:t>
            </w:r>
          </w:p>
          <w:p w14:paraId="2E79BDB6" w14:textId="3A6C01E0" w:rsidR="0036790A" w:rsidRPr="00096654" w:rsidRDefault="0036790A" w:rsidP="00F86F3B">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F74DCC9" w:rsid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1470F1E" w14:textId="5E1BD4BA" w:rsidR="003E5100" w:rsidRDefault="003E5100" w:rsidP="006644F6">
            <w:pPr>
              <w:pStyle w:val="Header"/>
              <w:rPr>
                <w:rFonts w:ascii="Calibri" w:hAnsi="Calibri"/>
                <w:szCs w:val="22"/>
              </w:rPr>
            </w:pPr>
          </w:p>
          <w:p w14:paraId="7EE75EC1" w14:textId="77777777" w:rsidR="003E5100" w:rsidRDefault="003E5100" w:rsidP="006644F6">
            <w:pPr>
              <w:pStyle w:val="Header"/>
              <w:rPr>
                <w:rFonts w:ascii="Calibri" w:hAnsi="Calibri"/>
                <w:szCs w:val="22"/>
              </w:rPr>
            </w:pPr>
            <w:r w:rsidRPr="003E5100">
              <w:rPr>
                <w:rFonts w:ascii="Calibri" w:hAnsi="Calibri"/>
                <w:szCs w:val="22"/>
              </w:rPr>
              <w:t xml:space="preserve">The proposal site is situated in the designated Green Belt. National planning legislation places considerable emphasis on the protection of greenbelt land with the primary aim of keeping green belt areas open wherever possible. </w:t>
            </w:r>
          </w:p>
          <w:p w14:paraId="456B01A1" w14:textId="77777777" w:rsidR="003E5100" w:rsidRDefault="003E5100" w:rsidP="006644F6">
            <w:pPr>
              <w:pStyle w:val="Header"/>
              <w:rPr>
                <w:rFonts w:ascii="Calibri" w:hAnsi="Calibri"/>
                <w:szCs w:val="22"/>
              </w:rPr>
            </w:pPr>
          </w:p>
          <w:p w14:paraId="327F390B" w14:textId="77777777" w:rsidR="003E5100" w:rsidRDefault="003E5100" w:rsidP="006644F6">
            <w:pPr>
              <w:pStyle w:val="Header"/>
              <w:rPr>
                <w:rFonts w:ascii="Calibri" w:hAnsi="Calibri"/>
                <w:szCs w:val="22"/>
              </w:rPr>
            </w:pPr>
            <w:r w:rsidRPr="003E5100">
              <w:rPr>
                <w:rFonts w:ascii="Calibri" w:hAnsi="Calibri"/>
                <w:szCs w:val="22"/>
              </w:rPr>
              <w:t xml:space="preserve">Green Belt areas are assigned optimum levels of protection from all types of development. The NPPF states that development proposals in Green Belt areas should be regarded as unacceptable unless they fall within the definition of specific exceptions which are detailed in para 145 of the NPPF. With specific regard to building alterations and extensions, paragraph 145, part C of the NPPF states that: </w:t>
            </w:r>
          </w:p>
          <w:p w14:paraId="31159DF9" w14:textId="77777777" w:rsidR="003E5100" w:rsidRDefault="003E5100" w:rsidP="006644F6">
            <w:pPr>
              <w:pStyle w:val="Header"/>
              <w:rPr>
                <w:rFonts w:ascii="Calibri" w:hAnsi="Calibri"/>
                <w:szCs w:val="22"/>
              </w:rPr>
            </w:pPr>
          </w:p>
          <w:p w14:paraId="11465296" w14:textId="77777777" w:rsidR="003E5100" w:rsidRDefault="003E5100" w:rsidP="006644F6">
            <w:pPr>
              <w:pStyle w:val="Header"/>
              <w:rPr>
                <w:rFonts w:ascii="Calibri" w:hAnsi="Calibri"/>
                <w:szCs w:val="22"/>
              </w:rPr>
            </w:pPr>
            <w:r w:rsidRPr="003E5100">
              <w:rPr>
                <w:rFonts w:ascii="Calibri" w:hAnsi="Calibri"/>
                <w:i/>
                <w:szCs w:val="22"/>
              </w:rPr>
              <w:t>‘A local planning authority should regard the construction of new buildings as inappropriate in the Green Belt. Exceptions to this are the extension or alteration of a building provided that it does not result in disproportionate additions over and above the size of the original building.’</w:t>
            </w:r>
            <w:r w:rsidRPr="003E5100">
              <w:rPr>
                <w:rFonts w:ascii="Calibri" w:hAnsi="Calibri"/>
                <w:szCs w:val="22"/>
              </w:rPr>
              <w:t xml:space="preserve"> </w:t>
            </w:r>
          </w:p>
          <w:p w14:paraId="58031B4A" w14:textId="77777777" w:rsidR="003E5100" w:rsidRDefault="003E5100" w:rsidP="006644F6">
            <w:pPr>
              <w:pStyle w:val="Header"/>
              <w:rPr>
                <w:rFonts w:ascii="Calibri" w:hAnsi="Calibri"/>
                <w:szCs w:val="22"/>
              </w:rPr>
            </w:pPr>
          </w:p>
          <w:p w14:paraId="0F26DC5A" w14:textId="77777777" w:rsidR="003E5100" w:rsidRPr="003E5100" w:rsidRDefault="003E5100" w:rsidP="006644F6">
            <w:pPr>
              <w:pStyle w:val="Header"/>
              <w:rPr>
                <w:rFonts w:ascii="Calibri" w:hAnsi="Calibri"/>
                <w:i/>
                <w:szCs w:val="22"/>
              </w:rPr>
            </w:pPr>
            <w:r w:rsidRPr="003E5100">
              <w:rPr>
                <w:rFonts w:ascii="Calibri" w:hAnsi="Calibri"/>
                <w:szCs w:val="22"/>
              </w:rPr>
              <w:t xml:space="preserve">Moreover, Key Statement EN1 of the Ribble Valley Core Strategy states that </w:t>
            </w:r>
            <w:r w:rsidRPr="003E5100">
              <w:rPr>
                <w:rFonts w:ascii="Calibri" w:hAnsi="Calibri"/>
                <w:i/>
                <w:szCs w:val="22"/>
              </w:rPr>
              <w:t xml:space="preserve">‘the overall extent of the Green Belt will be maintained to safeguard the surrounding countryside from inappropriate encroachment.’ </w:t>
            </w:r>
          </w:p>
          <w:p w14:paraId="0FC27FE0" w14:textId="77777777" w:rsidR="003E5100" w:rsidRDefault="003E5100" w:rsidP="006644F6">
            <w:pPr>
              <w:pStyle w:val="Header"/>
              <w:rPr>
                <w:rFonts w:ascii="Calibri" w:hAnsi="Calibri"/>
                <w:szCs w:val="22"/>
              </w:rPr>
            </w:pPr>
          </w:p>
          <w:p w14:paraId="6CBCD3CF" w14:textId="33B07A0F" w:rsidR="003E5100" w:rsidRDefault="003E5100" w:rsidP="006644F6">
            <w:pPr>
              <w:pStyle w:val="Header"/>
              <w:rPr>
                <w:rFonts w:ascii="Calibri" w:hAnsi="Calibri"/>
                <w:szCs w:val="22"/>
              </w:rPr>
            </w:pPr>
            <w:r w:rsidRPr="003E5100">
              <w:rPr>
                <w:rFonts w:ascii="Calibri" w:hAnsi="Calibri"/>
                <w:szCs w:val="22"/>
              </w:rPr>
              <w:t>There are no specific definitions within the NPPF framework or RVBC Core strategy in relation to what constitutes ‘disproportionate’ and ‘inappropriate encroachment’ however the generally accepted approach is for an assessment on the increased footprint and volume that the development would create.</w:t>
            </w:r>
          </w:p>
          <w:p w14:paraId="14476872" w14:textId="127E8C79" w:rsidR="003E5100" w:rsidRDefault="003E5100" w:rsidP="006644F6">
            <w:pPr>
              <w:pStyle w:val="Header"/>
              <w:rPr>
                <w:rFonts w:ascii="Calibri" w:hAnsi="Calibri"/>
                <w:szCs w:val="22"/>
              </w:rPr>
            </w:pPr>
          </w:p>
          <w:p w14:paraId="1BDFB422" w14:textId="72799591" w:rsidR="003E5100" w:rsidRPr="006644F6" w:rsidRDefault="008D4F9D" w:rsidP="006644F6">
            <w:pPr>
              <w:pStyle w:val="Header"/>
              <w:rPr>
                <w:rFonts w:ascii="Calibri" w:hAnsi="Calibri"/>
                <w:szCs w:val="22"/>
              </w:rPr>
            </w:pPr>
            <w:r w:rsidRPr="008D4F9D">
              <w:rPr>
                <w:rFonts w:ascii="Calibri" w:hAnsi="Calibri"/>
                <w:szCs w:val="22"/>
              </w:rPr>
              <w:t xml:space="preserve">Analysis shows that the </w:t>
            </w:r>
            <w:r w:rsidR="007502E8">
              <w:rPr>
                <w:rFonts w:ascii="Calibri" w:hAnsi="Calibri"/>
                <w:szCs w:val="22"/>
              </w:rPr>
              <w:t>proposed rear balcony area</w:t>
            </w:r>
            <w:r w:rsidR="008E1DBF">
              <w:rPr>
                <w:rFonts w:ascii="Calibri" w:hAnsi="Calibri"/>
                <w:szCs w:val="22"/>
              </w:rPr>
              <w:t xml:space="preserve"> </w:t>
            </w:r>
            <w:r w:rsidRPr="008D4F9D">
              <w:rPr>
                <w:rFonts w:ascii="Calibri" w:hAnsi="Calibri"/>
                <w:szCs w:val="22"/>
              </w:rPr>
              <w:t xml:space="preserve">would amount to a </w:t>
            </w:r>
            <w:r w:rsidR="00EB242F">
              <w:rPr>
                <w:rFonts w:ascii="Calibri" w:hAnsi="Calibri"/>
                <w:szCs w:val="22"/>
              </w:rPr>
              <w:t>footprint</w:t>
            </w:r>
            <w:r w:rsidRPr="008D4F9D">
              <w:rPr>
                <w:rFonts w:ascii="Calibri" w:hAnsi="Calibri"/>
                <w:szCs w:val="22"/>
              </w:rPr>
              <w:t xml:space="preserve"> increase o</w:t>
            </w:r>
            <w:r w:rsidR="008E1DBF">
              <w:rPr>
                <w:rFonts w:ascii="Calibri" w:hAnsi="Calibri"/>
                <w:szCs w:val="22"/>
              </w:rPr>
              <w:t xml:space="preserve">f </w:t>
            </w:r>
            <w:r w:rsidR="007502E8">
              <w:rPr>
                <w:rFonts w:ascii="Calibri" w:hAnsi="Calibri"/>
                <w:szCs w:val="22"/>
              </w:rPr>
              <w:t>less than 10</w:t>
            </w:r>
            <w:r w:rsidR="008E1DBF">
              <w:rPr>
                <w:rFonts w:ascii="Calibri" w:hAnsi="Calibri"/>
                <w:szCs w:val="22"/>
              </w:rPr>
              <w:t>% on</w:t>
            </w:r>
            <w:r w:rsidRPr="008D4F9D">
              <w:rPr>
                <w:rFonts w:ascii="Calibri" w:hAnsi="Calibri"/>
                <w:szCs w:val="22"/>
              </w:rPr>
              <w:t xml:space="preserve"> the original property</w:t>
            </w:r>
            <w:r w:rsidR="008E1DBF">
              <w:rPr>
                <w:rFonts w:ascii="Calibri" w:hAnsi="Calibri"/>
                <w:szCs w:val="22"/>
              </w:rPr>
              <w:t xml:space="preserve"> </w:t>
            </w:r>
            <w:r w:rsidR="00EB242F">
              <w:rPr>
                <w:rFonts w:ascii="Calibri" w:hAnsi="Calibri"/>
                <w:szCs w:val="22"/>
              </w:rPr>
              <w:t xml:space="preserve">with the relative cubic volume increase being significantly lower than the proposed increase in footprint. </w:t>
            </w:r>
            <w:r w:rsidRPr="008D4F9D">
              <w:rPr>
                <w:rFonts w:ascii="Calibri" w:hAnsi="Calibri"/>
                <w:szCs w:val="22"/>
              </w:rPr>
              <w:t>Accordingly, it is not considered that the proposed works would be a disproportionate addition to the existing dwelling that would in any way constrain the existing openness of the surrounding Green Belt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2EE8A326" w14:textId="4F84E88C" w:rsidR="007B49F8" w:rsidRDefault="000C1147" w:rsidP="00EB242F">
            <w:pPr>
              <w:contextualSpacing/>
              <w:jc w:val="both"/>
              <w:rPr>
                <w:rFonts w:ascii="Calibri" w:hAnsi="Calibri"/>
                <w:szCs w:val="22"/>
              </w:rPr>
            </w:pPr>
            <w:r>
              <w:rPr>
                <w:rFonts w:ascii="Calibri" w:hAnsi="Calibri"/>
                <w:szCs w:val="22"/>
              </w:rPr>
              <w:t xml:space="preserve">The </w:t>
            </w:r>
            <w:r w:rsidR="007B49F8">
              <w:rPr>
                <w:rFonts w:ascii="Calibri" w:hAnsi="Calibri"/>
                <w:szCs w:val="22"/>
              </w:rPr>
              <w:t xml:space="preserve">proposed rear </w:t>
            </w:r>
            <w:r>
              <w:rPr>
                <w:rFonts w:ascii="Calibri" w:hAnsi="Calibri"/>
                <w:szCs w:val="22"/>
              </w:rPr>
              <w:t xml:space="preserve">balcony </w:t>
            </w:r>
            <w:r w:rsidR="007B49F8">
              <w:rPr>
                <w:rFonts w:ascii="Calibri" w:hAnsi="Calibri"/>
                <w:szCs w:val="22"/>
              </w:rPr>
              <w:t xml:space="preserve">area </w:t>
            </w:r>
            <w:r>
              <w:rPr>
                <w:rFonts w:ascii="Calibri" w:hAnsi="Calibri"/>
                <w:szCs w:val="22"/>
              </w:rPr>
              <w:t xml:space="preserve">would allow sideways views towards the </w:t>
            </w:r>
            <w:r w:rsidR="007B49F8">
              <w:rPr>
                <w:rFonts w:ascii="Calibri" w:hAnsi="Calibri"/>
                <w:szCs w:val="22"/>
              </w:rPr>
              <w:t xml:space="preserve">South-western </w:t>
            </w:r>
            <w:r>
              <w:rPr>
                <w:rFonts w:ascii="Calibri" w:hAnsi="Calibri"/>
                <w:szCs w:val="22"/>
              </w:rPr>
              <w:t xml:space="preserve">boundary </w:t>
            </w:r>
            <w:r w:rsidR="00433C27">
              <w:rPr>
                <w:rFonts w:ascii="Calibri" w:hAnsi="Calibri"/>
                <w:szCs w:val="22"/>
              </w:rPr>
              <w:t xml:space="preserve">shared with </w:t>
            </w:r>
            <w:r>
              <w:rPr>
                <w:rFonts w:ascii="Calibri" w:hAnsi="Calibri"/>
                <w:szCs w:val="22"/>
              </w:rPr>
              <w:t>No. 34 Painter Wood however this boundary comprises extensive vegetation and landscaping and as such would restrict views</w:t>
            </w:r>
            <w:r w:rsidR="007B49F8">
              <w:rPr>
                <w:rFonts w:ascii="Calibri" w:hAnsi="Calibri"/>
                <w:szCs w:val="22"/>
              </w:rPr>
              <w:t xml:space="preserve"> from the balcony</w:t>
            </w:r>
            <w:r>
              <w:rPr>
                <w:rFonts w:ascii="Calibri" w:hAnsi="Calibri"/>
                <w:szCs w:val="22"/>
              </w:rPr>
              <w:t xml:space="preserve"> to within the rear garden</w:t>
            </w:r>
            <w:r w:rsidR="00433C27">
              <w:rPr>
                <w:rFonts w:ascii="Calibri" w:hAnsi="Calibri"/>
                <w:szCs w:val="22"/>
              </w:rPr>
              <w:t xml:space="preserve"> of the property</w:t>
            </w:r>
            <w:r>
              <w:rPr>
                <w:rFonts w:ascii="Calibri" w:hAnsi="Calibri"/>
                <w:szCs w:val="22"/>
              </w:rPr>
              <w:t>.</w:t>
            </w:r>
            <w:r w:rsidR="00433C27">
              <w:rPr>
                <w:rFonts w:ascii="Calibri" w:hAnsi="Calibri"/>
                <w:szCs w:val="22"/>
              </w:rPr>
              <w:t xml:space="preserve"> </w:t>
            </w:r>
            <w:r w:rsidR="007B49F8">
              <w:rPr>
                <w:rFonts w:ascii="Calibri" w:hAnsi="Calibri"/>
                <w:szCs w:val="22"/>
              </w:rPr>
              <w:t>Moreover, t</w:t>
            </w:r>
            <w:r w:rsidR="007B49F8" w:rsidRPr="00433C27">
              <w:rPr>
                <w:rFonts w:ascii="Calibri" w:hAnsi="Calibri"/>
                <w:szCs w:val="22"/>
              </w:rPr>
              <w:t xml:space="preserve">he proposed balcony area would be </w:t>
            </w:r>
            <w:r w:rsidR="007B49F8">
              <w:rPr>
                <w:rFonts w:ascii="Calibri" w:hAnsi="Calibri"/>
                <w:szCs w:val="22"/>
              </w:rPr>
              <w:t xml:space="preserve">set approximately </w:t>
            </w:r>
            <w:r w:rsidR="007B49F8" w:rsidRPr="00433C27">
              <w:rPr>
                <w:rFonts w:ascii="Calibri" w:hAnsi="Calibri"/>
                <w:szCs w:val="22"/>
              </w:rPr>
              <w:t>1</w:t>
            </w:r>
            <w:r w:rsidR="007B49F8">
              <w:rPr>
                <w:rFonts w:ascii="Calibri" w:hAnsi="Calibri"/>
                <w:szCs w:val="22"/>
              </w:rPr>
              <w:t>0</w:t>
            </w:r>
            <w:r w:rsidR="007B49F8" w:rsidRPr="00433C27">
              <w:rPr>
                <w:rFonts w:ascii="Calibri" w:hAnsi="Calibri"/>
                <w:szCs w:val="22"/>
              </w:rPr>
              <w:t xml:space="preserve"> metres</w:t>
            </w:r>
            <w:r w:rsidR="007B49F8">
              <w:rPr>
                <w:rFonts w:ascii="Calibri" w:hAnsi="Calibri"/>
                <w:szCs w:val="22"/>
              </w:rPr>
              <w:t xml:space="preserve"> back </w:t>
            </w:r>
            <w:r w:rsidR="007B49F8" w:rsidRPr="00433C27">
              <w:rPr>
                <w:rFonts w:ascii="Calibri" w:hAnsi="Calibri"/>
                <w:szCs w:val="22"/>
              </w:rPr>
              <w:t xml:space="preserve">from the rear elevation of </w:t>
            </w:r>
            <w:r w:rsidR="007B49F8">
              <w:rPr>
                <w:rFonts w:ascii="Calibri" w:hAnsi="Calibri"/>
                <w:szCs w:val="22"/>
              </w:rPr>
              <w:t>No. 34 Painter Wood which would prevent any sideways views into the neighbouring property. Accordingly,</w:t>
            </w:r>
            <w:r w:rsidR="00433C27">
              <w:rPr>
                <w:rFonts w:ascii="Calibri" w:hAnsi="Calibri"/>
                <w:szCs w:val="22"/>
              </w:rPr>
              <w:t xml:space="preserve"> it is not considered that the proposed balcony area would compromise the privacy of </w:t>
            </w:r>
            <w:r w:rsidR="007B49F8">
              <w:rPr>
                <w:rFonts w:ascii="Calibri" w:hAnsi="Calibri"/>
                <w:szCs w:val="22"/>
              </w:rPr>
              <w:t>the nearest</w:t>
            </w:r>
            <w:r w:rsidR="00433C27">
              <w:rPr>
                <w:rFonts w:ascii="Calibri" w:hAnsi="Calibri"/>
                <w:szCs w:val="22"/>
              </w:rPr>
              <w:t xml:space="preserve"> neighbouring residents. </w:t>
            </w:r>
          </w:p>
          <w:p w14:paraId="05C8B70C" w14:textId="5EB096C4" w:rsidR="003A6579" w:rsidRDefault="003A6579" w:rsidP="00EB242F">
            <w:pPr>
              <w:contextualSpacing/>
              <w:jc w:val="both"/>
              <w:rPr>
                <w:rFonts w:ascii="Calibri" w:hAnsi="Calibri"/>
                <w:szCs w:val="22"/>
              </w:rPr>
            </w:pPr>
            <w:r>
              <w:rPr>
                <w:rFonts w:ascii="Calibri" w:hAnsi="Calibri"/>
                <w:szCs w:val="22"/>
              </w:rPr>
              <w:lastRenderedPageBreak/>
              <w:t>Desktop analysis shows that t</w:t>
            </w:r>
            <w:r w:rsidR="00EB242F">
              <w:rPr>
                <w:rFonts w:ascii="Calibri" w:hAnsi="Calibri"/>
                <w:szCs w:val="22"/>
              </w:rPr>
              <w:t xml:space="preserve">he </w:t>
            </w:r>
            <w:r>
              <w:rPr>
                <w:rFonts w:ascii="Calibri" w:hAnsi="Calibri"/>
                <w:szCs w:val="22"/>
              </w:rPr>
              <w:t xml:space="preserve">previously approved two storey side extension would more than likely lead to some overshadowing however this would largely occur within the property’s front curtilage </w:t>
            </w:r>
            <w:r w:rsidR="00331DDD">
              <w:rPr>
                <w:rFonts w:ascii="Calibri" w:hAnsi="Calibri"/>
                <w:szCs w:val="22"/>
              </w:rPr>
              <w:t xml:space="preserve">away from </w:t>
            </w:r>
            <w:r>
              <w:rPr>
                <w:rFonts w:ascii="Calibri" w:hAnsi="Calibri"/>
                <w:szCs w:val="22"/>
              </w:rPr>
              <w:t>No.</w:t>
            </w:r>
            <w:r w:rsidR="00331DDD">
              <w:rPr>
                <w:rFonts w:ascii="Calibri" w:hAnsi="Calibri"/>
                <w:szCs w:val="22"/>
              </w:rPr>
              <w:t xml:space="preserve"> </w:t>
            </w:r>
            <w:r>
              <w:rPr>
                <w:rFonts w:ascii="Calibri" w:hAnsi="Calibri"/>
                <w:szCs w:val="22"/>
              </w:rPr>
              <w:t xml:space="preserve">34 Painter Wood </w:t>
            </w:r>
            <w:r w:rsidR="00331DDD">
              <w:rPr>
                <w:rFonts w:ascii="Calibri" w:hAnsi="Calibri"/>
                <w:szCs w:val="22"/>
              </w:rPr>
              <w:t xml:space="preserve">which lies to the South-west of Highcroft. </w:t>
            </w:r>
            <w:r>
              <w:rPr>
                <w:rFonts w:ascii="Calibri" w:hAnsi="Calibri"/>
                <w:szCs w:val="22"/>
              </w:rPr>
              <w:t>As such,</w:t>
            </w:r>
            <w:r w:rsidR="00331DDD">
              <w:rPr>
                <w:rFonts w:ascii="Calibri" w:hAnsi="Calibri"/>
                <w:szCs w:val="22"/>
              </w:rPr>
              <w:t xml:space="preserve"> it is not anticipated that</w:t>
            </w:r>
            <w:r>
              <w:rPr>
                <w:rFonts w:ascii="Calibri" w:hAnsi="Calibri"/>
                <w:szCs w:val="22"/>
              </w:rPr>
              <w:t xml:space="preserve"> the proposed increase in height of 0.5 metres to the roof pitch of the previously approved extension would lead to any </w:t>
            </w:r>
            <w:r w:rsidR="00331DDD">
              <w:rPr>
                <w:rFonts w:ascii="Calibri" w:hAnsi="Calibri"/>
                <w:szCs w:val="22"/>
              </w:rPr>
              <w:t xml:space="preserve">loss of light </w:t>
            </w:r>
            <w:r>
              <w:rPr>
                <w:rFonts w:ascii="Calibri" w:hAnsi="Calibri"/>
                <w:szCs w:val="22"/>
              </w:rPr>
              <w:t>for the residents of No. 34 Painter Wood</w:t>
            </w:r>
            <w:r w:rsidR="00331DDD">
              <w:rPr>
                <w:rFonts w:ascii="Calibri" w:hAnsi="Calibri"/>
                <w:szCs w:val="22"/>
              </w:rPr>
              <w:t>.</w:t>
            </w:r>
          </w:p>
          <w:p w14:paraId="7D13DE81" w14:textId="46E6923A" w:rsidR="00EB242F" w:rsidRPr="00D23470" w:rsidRDefault="00EB242F" w:rsidP="003A6579">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625D7D93" w14:textId="67315E61" w:rsidR="00C50517" w:rsidRDefault="00DF42DA" w:rsidP="00454754">
            <w:pPr>
              <w:contextualSpacing/>
              <w:jc w:val="both"/>
              <w:rPr>
                <w:rFonts w:ascii="Calibri" w:hAnsi="Calibri"/>
                <w:b/>
                <w:szCs w:val="22"/>
              </w:rPr>
            </w:pPr>
            <w:r w:rsidRPr="00DF42DA">
              <w:rPr>
                <w:rFonts w:ascii="Calibri" w:hAnsi="Calibri"/>
                <w:b/>
                <w:szCs w:val="22"/>
              </w:rPr>
              <w:lastRenderedPageBreak/>
              <w:t>Visual Amenity:</w:t>
            </w:r>
          </w:p>
          <w:p w14:paraId="6BFEB00A" w14:textId="77777777" w:rsidR="00831708" w:rsidRPr="00831708" w:rsidRDefault="00831708" w:rsidP="00454754">
            <w:pPr>
              <w:contextualSpacing/>
              <w:jc w:val="both"/>
              <w:rPr>
                <w:rFonts w:ascii="Calibri" w:hAnsi="Calibri"/>
                <w:b/>
                <w:szCs w:val="22"/>
              </w:rPr>
            </w:pPr>
          </w:p>
          <w:p w14:paraId="353DC43A" w14:textId="5BBB1434" w:rsidR="005F3D08" w:rsidRDefault="005F3D08" w:rsidP="00831708">
            <w:pPr>
              <w:contextualSpacing/>
              <w:jc w:val="both"/>
              <w:rPr>
                <w:rFonts w:ascii="Calibri" w:hAnsi="Calibri"/>
                <w:szCs w:val="22"/>
              </w:rPr>
            </w:pPr>
            <w:r>
              <w:rPr>
                <w:rFonts w:ascii="Calibri" w:hAnsi="Calibri"/>
                <w:szCs w:val="22"/>
              </w:rPr>
              <w:t xml:space="preserve">Highcroft commands a moderate level of visibility within the immediate cluster of houses due to its elevated position above Whalley Old Road however the property’s visual impact is significantly lessened by virtue of the property being set back approximately 30 metres from the road. </w:t>
            </w:r>
            <w:r w:rsidR="00AD3DF1">
              <w:rPr>
                <w:rFonts w:ascii="Calibri" w:hAnsi="Calibri"/>
                <w:szCs w:val="22"/>
              </w:rPr>
              <w:t xml:space="preserve">Given that the previously approved two storey side extension comprised a height of 7.7 metres, it is not considered that an additional increase in height of 0.5 metres to the extension would </w:t>
            </w:r>
            <w:r w:rsidR="005A01C4">
              <w:rPr>
                <w:rFonts w:ascii="Calibri" w:hAnsi="Calibri"/>
                <w:szCs w:val="22"/>
              </w:rPr>
              <w:t>be of detriment to</w:t>
            </w:r>
            <w:r w:rsidR="00AD3DF1">
              <w:rPr>
                <w:rFonts w:ascii="Calibri" w:hAnsi="Calibri"/>
                <w:szCs w:val="22"/>
              </w:rPr>
              <w:t xml:space="preserve"> the visual amenities of the area.</w:t>
            </w:r>
            <w:r w:rsidR="008750A7">
              <w:rPr>
                <w:rFonts w:ascii="Calibri" w:hAnsi="Calibri"/>
                <w:szCs w:val="22"/>
              </w:rPr>
              <w:t xml:space="preserve"> Furthermore, the visual impact of </w:t>
            </w:r>
            <w:r w:rsidR="002A0C18">
              <w:rPr>
                <w:rFonts w:ascii="Calibri" w:hAnsi="Calibri"/>
                <w:szCs w:val="22"/>
              </w:rPr>
              <w:t>incorporating</w:t>
            </w:r>
            <w:r w:rsidR="008750A7">
              <w:rPr>
                <w:rFonts w:ascii="Calibri" w:hAnsi="Calibri"/>
                <w:szCs w:val="22"/>
              </w:rPr>
              <w:t xml:space="preserve"> two roof lights to the Eastern roof slope of the approved extension would be negligible in as much that this roof slope </w:t>
            </w:r>
            <w:r w:rsidR="002A0C18">
              <w:rPr>
                <w:rFonts w:ascii="Calibri" w:hAnsi="Calibri"/>
                <w:szCs w:val="22"/>
              </w:rPr>
              <w:t>is not publicly visible.</w:t>
            </w:r>
          </w:p>
          <w:p w14:paraId="48A05795" w14:textId="77777777" w:rsidR="005F3D08" w:rsidRDefault="005F3D08" w:rsidP="00831708">
            <w:pPr>
              <w:contextualSpacing/>
              <w:jc w:val="both"/>
              <w:rPr>
                <w:rFonts w:ascii="Calibri" w:hAnsi="Calibri"/>
                <w:szCs w:val="22"/>
              </w:rPr>
            </w:pPr>
          </w:p>
          <w:p w14:paraId="37D9ACB9" w14:textId="3250BEB3" w:rsidR="005A01C4" w:rsidRDefault="00831708" w:rsidP="00831708">
            <w:pPr>
              <w:contextualSpacing/>
              <w:jc w:val="both"/>
              <w:rPr>
                <w:rFonts w:ascii="Calibri" w:hAnsi="Calibri"/>
                <w:szCs w:val="22"/>
              </w:rPr>
            </w:pPr>
            <w:r w:rsidRPr="00831708">
              <w:rPr>
                <w:rFonts w:ascii="Calibri" w:hAnsi="Calibri"/>
                <w:szCs w:val="22"/>
              </w:rPr>
              <w:t xml:space="preserve">The </w:t>
            </w:r>
            <w:r w:rsidR="004904DD">
              <w:rPr>
                <w:rFonts w:ascii="Calibri" w:hAnsi="Calibri"/>
                <w:szCs w:val="22"/>
              </w:rPr>
              <w:t>balcony</w:t>
            </w:r>
            <w:r w:rsidRPr="00831708">
              <w:rPr>
                <w:rFonts w:ascii="Calibri" w:hAnsi="Calibri"/>
                <w:szCs w:val="22"/>
              </w:rPr>
              <w:t xml:space="preserve"> would have a height of 2.</w:t>
            </w:r>
            <w:r w:rsidR="004904DD">
              <w:rPr>
                <w:rFonts w:ascii="Calibri" w:hAnsi="Calibri"/>
                <w:szCs w:val="22"/>
              </w:rPr>
              <w:t>4 metres</w:t>
            </w:r>
            <w:r w:rsidRPr="00831708">
              <w:rPr>
                <w:rFonts w:ascii="Calibri" w:hAnsi="Calibri"/>
                <w:szCs w:val="22"/>
              </w:rPr>
              <w:t xml:space="preserve"> making it wholly subservient to the primary dwelling in terms of height. </w:t>
            </w:r>
            <w:r w:rsidR="008C199F">
              <w:rPr>
                <w:rFonts w:ascii="Calibri" w:hAnsi="Calibri"/>
                <w:szCs w:val="22"/>
              </w:rPr>
              <w:t>The balcony area would span the entire width of the previously approved two storey side extension</w:t>
            </w:r>
            <w:r w:rsidR="007E0C84">
              <w:rPr>
                <w:rFonts w:ascii="Calibri" w:hAnsi="Calibri"/>
                <w:szCs w:val="22"/>
              </w:rPr>
              <w:t xml:space="preserve"> however its outward projection would be relatively small at just 1.4 metres with the </w:t>
            </w:r>
            <w:r w:rsidR="004904DD">
              <w:rPr>
                <w:rFonts w:ascii="Calibri" w:hAnsi="Calibri"/>
                <w:szCs w:val="22"/>
              </w:rPr>
              <w:t>balcony area</w:t>
            </w:r>
            <w:r w:rsidR="007E0C84">
              <w:rPr>
                <w:rFonts w:ascii="Calibri" w:hAnsi="Calibri"/>
                <w:szCs w:val="22"/>
              </w:rPr>
              <w:t xml:space="preserve"> primarily </w:t>
            </w:r>
            <w:r w:rsidR="004904DD">
              <w:rPr>
                <w:rFonts w:ascii="Calibri" w:hAnsi="Calibri"/>
                <w:szCs w:val="22"/>
              </w:rPr>
              <w:t>serv</w:t>
            </w:r>
            <w:r w:rsidR="007E0C84">
              <w:rPr>
                <w:rFonts w:ascii="Calibri" w:hAnsi="Calibri"/>
                <w:szCs w:val="22"/>
              </w:rPr>
              <w:t>ing</w:t>
            </w:r>
            <w:r w:rsidR="004904DD">
              <w:rPr>
                <w:rFonts w:ascii="Calibri" w:hAnsi="Calibri"/>
                <w:szCs w:val="22"/>
              </w:rPr>
              <w:t xml:space="preserve"> as a</w:t>
            </w:r>
            <w:r w:rsidR="008C199F">
              <w:rPr>
                <w:rFonts w:ascii="Calibri" w:hAnsi="Calibri"/>
                <w:szCs w:val="22"/>
              </w:rPr>
              <w:t xml:space="preserve"> modest</w:t>
            </w:r>
            <w:r w:rsidR="004904DD">
              <w:rPr>
                <w:rFonts w:ascii="Calibri" w:hAnsi="Calibri"/>
                <w:szCs w:val="22"/>
              </w:rPr>
              <w:t xml:space="preserve"> infill extension </w:t>
            </w:r>
            <w:r w:rsidR="005A01C4">
              <w:rPr>
                <w:rFonts w:ascii="Calibri" w:hAnsi="Calibri"/>
                <w:szCs w:val="22"/>
              </w:rPr>
              <w:t>in the trenched area</w:t>
            </w:r>
            <w:r w:rsidR="008750A7">
              <w:rPr>
                <w:rFonts w:ascii="Calibri" w:hAnsi="Calibri"/>
                <w:szCs w:val="22"/>
              </w:rPr>
              <w:t xml:space="preserve"> </w:t>
            </w:r>
            <w:r w:rsidR="004904DD">
              <w:rPr>
                <w:rFonts w:ascii="Calibri" w:hAnsi="Calibri"/>
                <w:szCs w:val="22"/>
              </w:rPr>
              <w:t xml:space="preserve">between the rear elevation of the </w:t>
            </w:r>
            <w:r w:rsidR="008C199F">
              <w:rPr>
                <w:rFonts w:ascii="Calibri" w:hAnsi="Calibri"/>
                <w:szCs w:val="22"/>
              </w:rPr>
              <w:t xml:space="preserve">previously approved </w:t>
            </w:r>
            <w:r w:rsidR="004904DD">
              <w:rPr>
                <w:rFonts w:ascii="Calibri" w:hAnsi="Calibri"/>
                <w:szCs w:val="22"/>
              </w:rPr>
              <w:t>two-storey side extension</w:t>
            </w:r>
            <w:r w:rsidR="008C199F">
              <w:rPr>
                <w:rFonts w:ascii="Calibri" w:hAnsi="Calibri"/>
                <w:szCs w:val="22"/>
              </w:rPr>
              <w:t xml:space="preserve"> and the elevated lawn of the rear garde</w:t>
            </w:r>
            <w:r w:rsidR="007E0C84">
              <w:rPr>
                <w:rFonts w:ascii="Calibri" w:hAnsi="Calibri"/>
                <w:szCs w:val="22"/>
              </w:rPr>
              <w:t xml:space="preserve">n. </w:t>
            </w:r>
          </w:p>
          <w:p w14:paraId="61DDE162" w14:textId="77777777" w:rsidR="005A01C4" w:rsidRDefault="005A01C4" w:rsidP="00831708">
            <w:pPr>
              <w:contextualSpacing/>
              <w:jc w:val="both"/>
              <w:rPr>
                <w:rFonts w:ascii="Calibri" w:hAnsi="Calibri"/>
                <w:szCs w:val="22"/>
              </w:rPr>
            </w:pPr>
          </w:p>
          <w:p w14:paraId="2279C899" w14:textId="74CC5255" w:rsidR="00831708" w:rsidRPr="00831708" w:rsidRDefault="005A01C4" w:rsidP="00831708">
            <w:pPr>
              <w:contextualSpacing/>
              <w:jc w:val="both"/>
              <w:rPr>
                <w:rFonts w:ascii="Calibri" w:hAnsi="Calibri"/>
                <w:szCs w:val="22"/>
              </w:rPr>
            </w:pPr>
            <w:r>
              <w:rPr>
                <w:rFonts w:ascii="Calibri" w:hAnsi="Calibri"/>
                <w:szCs w:val="22"/>
              </w:rPr>
              <w:t xml:space="preserve">Furthermore, the balcony would be sited to the rear of the property away from the public realm where it would only be partially viewable from two properties situated approximately 120 metres away on Moor Lane. </w:t>
            </w:r>
            <w:r w:rsidR="00831708" w:rsidRPr="00831708">
              <w:rPr>
                <w:rFonts w:ascii="Calibri" w:hAnsi="Calibri"/>
                <w:szCs w:val="22"/>
              </w:rPr>
              <w:t xml:space="preserve">As such, it is not considered that the </w:t>
            </w:r>
            <w:r w:rsidR="00C41BBA">
              <w:rPr>
                <w:rFonts w:ascii="Calibri" w:hAnsi="Calibri"/>
                <w:szCs w:val="22"/>
              </w:rPr>
              <w:t>proposed balcony area</w:t>
            </w:r>
            <w:r w:rsidR="00831708" w:rsidRPr="00831708">
              <w:rPr>
                <w:rFonts w:ascii="Calibri" w:hAnsi="Calibri"/>
                <w:szCs w:val="22"/>
              </w:rPr>
              <w:t xml:space="preserve"> would have any </w:t>
            </w:r>
            <w:r>
              <w:rPr>
                <w:rFonts w:ascii="Calibri" w:hAnsi="Calibri"/>
                <w:szCs w:val="22"/>
              </w:rPr>
              <w:t>undue</w:t>
            </w:r>
            <w:r w:rsidR="00831708" w:rsidRPr="00831708">
              <w:rPr>
                <w:rFonts w:ascii="Calibri" w:hAnsi="Calibri"/>
                <w:szCs w:val="22"/>
              </w:rPr>
              <w:t xml:space="preserve"> impact upon </w:t>
            </w:r>
            <w:r w:rsidR="00831708">
              <w:rPr>
                <w:rFonts w:ascii="Calibri" w:hAnsi="Calibri"/>
                <w:szCs w:val="22"/>
              </w:rPr>
              <w:t xml:space="preserve">the </w:t>
            </w:r>
            <w:r w:rsidR="00831708" w:rsidRPr="00831708">
              <w:rPr>
                <w:rFonts w:ascii="Calibri" w:hAnsi="Calibri"/>
                <w:szCs w:val="22"/>
              </w:rPr>
              <w:t>visual amenit</w:t>
            </w:r>
            <w:r w:rsidR="00831708">
              <w:rPr>
                <w:rFonts w:ascii="Calibri" w:hAnsi="Calibri"/>
                <w:szCs w:val="22"/>
              </w:rPr>
              <w:t>ies of the area</w:t>
            </w:r>
            <w:r w:rsidR="00831708" w:rsidRPr="00831708">
              <w:rPr>
                <w:rFonts w:ascii="Calibri" w:hAnsi="Calibri"/>
                <w:szCs w:val="22"/>
              </w:rPr>
              <w:t>.</w:t>
            </w:r>
          </w:p>
          <w:p w14:paraId="37A766A4" w14:textId="77777777" w:rsidR="00D2076E" w:rsidRPr="0091595C" w:rsidRDefault="00D2076E" w:rsidP="00ED16B9">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5973A576" w14:textId="77777777" w:rsidR="005F3D08" w:rsidRDefault="005F3D08" w:rsidP="005F3D08">
            <w:pPr>
              <w:contextualSpacing/>
              <w:jc w:val="both"/>
              <w:rPr>
                <w:rFonts w:ascii="Calibri" w:hAnsi="Calibri"/>
                <w:szCs w:val="22"/>
              </w:rPr>
            </w:pPr>
            <w:r w:rsidRPr="005F3D08">
              <w:rPr>
                <w:rFonts w:ascii="Calibri" w:hAnsi="Calibri"/>
                <w:szCs w:val="22"/>
              </w:rPr>
              <w:t xml:space="preserve">A bat survey conducted at the proposal site on </w:t>
            </w:r>
            <w:r>
              <w:rPr>
                <w:rFonts w:ascii="Calibri" w:hAnsi="Calibri"/>
                <w:szCs w:val="22"/>
              </w:rPr>
              <w:t>19</w:t>
            </w:r>
            <w:r w:rsidRPr="005F3D08">
              <w:rPr>
                <w:rFonts w:ascii="Calibri" w:hAnsi="Calibri"/>
                <w:szCs w:val="22"/>
              </w:rPr>
              <w:t>/</w:t>
            </w:r>
            <w:r>
              <w:rPr>
                <w:rFonts w:ascii="Calibri" w:hAnsi="Calibri"/>
                <w:szCs w:val="22"/>
              </w:rPr>
              <w:t>2</w:t>
            </w:r>
            <w:r w:rsidRPr="005F3D08">
              <w:rPr>
                <w:rFonts w:ascii="Calibri" w:hAnsi="Calibri"/>
                <w:szCs w:val="22"/>
              </w:rPr>
              <w:t>/2</w:t>
            </w:r>
            <w:r>
              <w:rPr>
                <w:rFonts w:ascii="Calibri" w:hAnsi="Calibri"/>
                <w:szCs w:val="22"/>
              </w:rPr>
              <w:t>1</w:t>
            </w:r>
            <w:r w:rsidRPr="005F3D08">
              <w:rPr>
                <w:rFonts w:ascii="Calibri" w:hAnsi="Calibri"/>
                <w:szCs w:val="22"/>
              </w:rPr>
              <w:t xml:space="preserve"> found no evidence of any bat related activity. </w:t>
            </w:r>
          </w:p>
          <w:p w14:paraId="214A45F2" w14:textId="488CB7CA" w:rsidR="005F3D08" w:rsidRPr="008C75E4" w:rsidRDefault="005F3D08" w:rsidP="005F3D08">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BB96B13"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w:t>
            </w:r>
            <w:r w:rsidR="00331DDD">
              <w:rPr>
                <w:rFonts w:ascii="Calibri" w:hAnsi="Calibri"/>
                <w:szCs w:val="22"/>
              </w:rPr>
              <w:t>reviewed the proposal and have no objections to the proposed development therefore</w:t>
            </w:r>
            <w:r>
              <w:rPr>
                <w:rFonts w:ascii="Calibri" w:hAnsi="Calibri"/>
                <w:szCs w:val="22"/>
              </w:rPr>
              <w:t xml:space="preserve"> it is not considered that the proposal w</w:t>
            </w:r>
            <w:r w:rsidR="00B10F81">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A2AFCC2" w14:textId="1CF51B76" w:rsidR="001A2558" w:rsidRPr="001A2558" w:rsidRDefault="001A2558" w:rsidP="001A2558">
            <w:pPr>
              <w:pStyle w:val="Header"/>
              <w:rPr>
                <w:rFonts w:ascii="Calibri" w:hAnsi="Calibri"/>
                <w:bCs/>
                <w:szCs w:val="22"/>
              </w:rPr>
            </w:pPr>
            <w:r w:rsidRPr="001A2558">
              <w:rPr>
                <w:rFonts w:ascii="Calibri" w:hAnsi="Calibri"/>
                <w:bCs/>
                <w:szCs w:val="22"/>
              </w:rPr>
              <w:t>The proposed works do not raise any concerns in relation to residential amenity and w</w:t>
            </w:r>
            <w:r>
              <w:rPr>
                <w:rFonts w:ascii="Calibri" w:hAnsi="Calibri"/>
                <w:bCs/>
                <w:szCs w:val="22"/>
              </w:rPr>
              <w:t xml:space="preserve">ould </w:t>
            </w:r>
            <w:r w:rsidRPr="001A2558">
              <w:rPr>
                <w:rFonts w:ascii="Calibri" w:hAnsi="Calibri"/>
                <w:bCs/>
                <w:szCs w:val="22"/>
              </w:rPr>
              <w:t>appropriately integrate with the primary dwelling without having any adverse impact upon visual amenity or the openness of surrounding Green Belt area.</w:t>
            </w:r>
          </w:p>
          <w:p w14:paraId="6745D61D" w14:textId="7D33FDDC" w:rsidR="00831708" w:rsidRDefault="00831708" w:rsidP="00640CA7">
            <w:pPr>
              <w:pStyle w:val="Header"/>
              <w:rPr>
                <w:rFonts w:ascii="Calibri" w:hAnsi="Calibri"/>
                <w:bCs/>
                <w:szCs w:val="22"/>
              </w:rPr>
            </w:pPr>
          </w:p>
          <w:p w14:paraId="036CBB8F" w14:textId="77777777" w:rsidR="00640CA7" w:rsidRDefault="00640CA7" w:rsidP="00B10F81">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3E5100">
              <w:rPr>
                <w:rFonts w:ascii="Calibri" w:hAnsi="Calibri"/>
                <w:bCs/>
                <w:szCs w:val="22"/>
              </w:rPr>
              <w:t>recommended for approval.</w:t>
            </w:r>
          </w:p>
          <w:p w14:paraId="17DEDB6A" w14:textId="01E68443" w:rsidR="00EB242F" w:rsidRPr="002840B2" w:rsidRDefault="00EB242F" w:rsidP="00B10F81">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22502AB"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3E5100">
              <w:rPr>
                <w:rFonts w:asciiTheme="minorHAnsi" w:hAnsiTheme="minorHAnsi"/>
                <w:bCs/>
                <w:szCs w:val="22"/>
              </w:rPr>
              <w:t>granted.</w:t>
            </w:r>
          </w:p>
        </w:tc>
      </w:tr>
    </w:tbl>
    <w:p w14:paraId="1E754A62" w14:textId="77777777" w:rsidR="0031197A" w:rsidRPr="008C75E4" w:rsidRDefault="002E480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BD00" w14:textId="77777777" w:rsidR="00E76574" w:rsidRDefault="00E76574" w:rsidP="006D0B5F">
      <w:r>
        <w:separator/>
      </w:r>
    </w:p>
  </w:endnote>
  <w:endnote w:type="continuationSeparator" w:id="0">
    <w:p w14:paraId="696DECB3" w14:textId="77777777" w:rsidR="00E76574" w:rsidRDefault="00E7657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167E" w14:textId="77777777" w:rsidR="00E76574" w:rsidRDefault="00E76574" w:rsidP="006D0B5F">
      <w:r>
        <w:separator/>
      </w:r>
    </w:p>
  </w:footnote>
  <w:footnote w:type="continuationSeparator" w:id="0">
    <w:p w14:paraId="7856E2F9" w14:textId="77777777" w:rsidR="00E76574" w:rsidRDefault="00E7657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4085"/>
    <w:rsid w:val="000B5CB5"/>
    <w:rsid w:val="000C1147"/>
    <w:rsid w:val="000C7A57"/>
    <w:rsid w:val="000D11A4"/>
    <w:rsid w:val="00101855"/>
    <w:rsid w:val="00103648"/>
    <w:rsid w:val="0010371E"/>
    <w:rsid w:val="001039F9"/>
    <w:rsid w:val="00106932"/>
    <w:rsid w:val="001162A9"/>
    <w:rsid w:val="00130035"/>
    <w:rsid w:val="00132FCC"/>
    <w:rsid w:val="0013474E"/>
    <w:rsid w:val="00141512"/>
    <w:rsid w:val="0016102D"/>
    <w:rsid w:val="0016428F"/>
    <w:rsid w:val="00164B55"/>
    <w:rsid w:val="001678C5"/>
    <w:rsid w:val="00171D54"/>
    <w:rsid w:val="00174004"/>
    <w:rsid w:val="001936C6"/>
    <w:rsid w:val="001946E0"/>
    <w:rsid w:val="00196722"/>
    <w:rsid w:val="001A2558"/>
    <w:rsid w:val="001A2C18"/>
    <w:rsid w:val="001B1038"/>
    <w:rsid w:val="001B6840"/>
    <w:rsid w:val="001B769B"/>
    <w:rsid w:val="001C1453"/>
    <w:rsid w:val="001C276A"/>
    <w:rsid w:val="001C63D5"/>
    <w:rsid w:val="001D38E1"/>
    <w:rsid w:val="001D4F7A"/>
    <w:rsid w:val="001D5ADD"/>
    <w:rsid w:val="001D6426"/>
    <w:rsid w:val="001F6F07"/>
    <w:rsid w:val="00203F50"/>
    <w:rsid w:val="00204ED1"/>
    <w:rsid w:val="00206E24"/>
    <w:rsid w:val="002122F4"/>
    <w:rsid w:val="0022611D"/>
    <w:rsid w:val="00230AE6"/>
    <w:rsid w:val="00233DDA"/>
    <w:rsid w:val="00237DA1"/>
    <w:rsid w:val="00242A1C"/>
    <w:rsid w:val="00250879"/>
    <w:rsid w:val="00261E1A"/>
    <w:rsid w:val="00263B45"/>
    <w:rsid w:val="00266D44"/>
    <w:rsid w:val="002840B2"/>
    <w:rsid w:val="00284480"/>
    <w:rsid w:val="0028751A"/>
    <w:rsid w:val="0029334A"/>
    <w:rsid w:val="002948B7"/>
    <w:rsid w:val="002A01CF"/>
    <w:rsid w:val="002A0C18"/>
    <w:rsid w:val="002A239D"/>
    <w:rsid w:val="002A7DF7"/>
    <w:rsid w:val="002B7854"/>
    <w:rsid w:val="002C6277"/>
    <w:rsid w:val="002D4346"/>
    <w:rsid w:val="002E2952"/>
    <w:rsid w:val="002E4807"/>
    <w:rsid w:val="002E7762"/>
    <w:rsid w:val="002E7CC1"/>
    <w:rsid w:val="002F041D"/>
    <w:rsid w:val="002F2580"/>
    <w:rsid w:val="002F6780"/>
    <w:rsid w:val="002F7502"/>
    <w:rsid w:val="00301F0E"/>
    <w:rsid w:val="003137E0"/>
    <w:rsid w:val="00320A6F"/>
    <w:rsid w:val="00321B6E"/>
    <w:rsid w:val="00331DDD"/>
    <w:rsid w:val="003359D0"/>
    <w:rsid w:val="0034083D"/>
    <w:rsid w:val="00341E8D"/>
    <w:rsid w:val="00345446"/>
    <w:rsid w:val="003454D6"/>
    <w:rsid w:val="00345FFD"/>
    <w:rsid w:val="00347F5E"/>
    <w:rsid w:val="003562A3"/>
    <w:rsid w:val="00356AE6"/>
    <w:rsid w:val="00362B4A"/>
    <w:rsid w:val="003634D9"/>
    <w:rsid w:val="0036536F"/>
    <w:rsid w:val="0036759A"/>
    <w:rsid w:val="0036790A"/>
    <w:rsid w:val="00374CB0"/>
    <w:rsid w:val="003770F1"/>
    <w:rsid w:val="003825D5"/>
    <w:rsid w:val="00391BCC"/>
    <w:rsid w:val="00392B0B"/>
    <w:rsid w:val="003A4376"/>
    <w:rsid w:val="003A6579"/>
    <w:rsid w:val="003C0C2B"/>
    <w:rsid w:val="003C28E1"/>
    <w:rsid w:val="003C4118"/>
    <w:rsid w:val="003D16BC"/>
    <w:rsid w:val="003D6F7B"/>
    <w:rsid w:val="003E2151"/>
    <w:rsid w:val="003E503F"/>
    <w:rsid w:val="003E5100"/>
    <w:rsid w:val="003F16AA"/>
    <w:rsid w:val="003F16B4"/>
    <w:rsid w:val="003F3DB5"/>
    <w:rsid w:val="003F481A"/>
    <w:rsid w:val="00404C72"/>
    <w:rsid w:val="00413615"/>
    <w:rsid w:val="00416BAF"/>
    <w:rsid w:val="00433C27"/>
    <w:rsid w:val="0043472B"/>
    <w:rsid w:val="00435FC9"/>
    <w:rsid w:val="0044039F"/>
    <w:rsid w:val="00440CB6"/>
    <w:rsid w:val="00444544"/>
    <w:rsid w:val="00454754"/>
    <w:rsid w:val="00457C80"/>
    <w:rsid w:val="004643EA"/>
    <w:rsid w:val="004654DD"/>
    <w:rsid w:val="00472615"/>
    <w:rsid w:val="00485386"/>
    <w:rsid w:val="004854EC"/>
    <w:rsid w:val="004904DD"/>
    <w:rsid w:val="004936A6"/>
    <w:rsid w:val="004947BB"/>
    <w:rsid w:val="004978AD"/>
    <w:rsid w:val="004A2C27"/>
    <w:rsid w:val="004A5EA9"/>
    <w:rsid w:val="004B3551"/>
    <w:rsid w:val="004B6F92"/>
    <w:rsid w:val="004C2434"/>
    <w:rsid w:val="004C6109"/>
    <w:rsid w:val="004D33C8"/>
    <w:rsid w:val="004D6FC7"/>
    <w:rsid w:val="004E346F"/>
    <w:rsid w:val="004E58E3"/>
    <w:rsid w:val="004E7979"/>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37C15"/>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01C4"/>
    <w:rsid w:val="005B0A0E"/>
    <w:rsid w:val="005D3432"/>
    <w:rsid w:val="005E1088"/>
    <w:rsid w:val="005E1241"/>
    <w:rsid w:val="005E1C6C"/>
    <w:rsid w:val="005E65DF"/>
    <w:rsid w:val="005F1593"/>
    <w:rsid w:val="005F3D08"/>
    <w:rsid w:val="005F5A32"/>
    <w:rsid w:val="006126D1"/>
    <w:rsid w:val="006326A2"/>
    <w:rsid w:val="0064032E"/>
    <w:rsid w:val="00640CA7"/>
    <w:rsid w:val="006644F6"/>
    <w:rsid w:val="00665C24"/>
    <w:rsid w:val="00690EC3"/>
    <w:rsid w:val="00692B60"/>
    <w:rsid w:val="00694BD3"/>
    <w:rsid w:val="00695F88"/>
    <w:rsid w:val="006A20B7"/>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CA0"/>
    <w:rsid w:val="00710DBB"/>
    <w:rsid w:val="00716AF6"/>
    <w:rsid w:val="00725F1C"/>
    <w:rsid w:val="00734E4F"/>
    <w:rsid w:val="007430C8"/>
    <w:rsid w:val="007502E8"/>
    <w:rsid w:val="00755FCC"/>
    <w:rsid w:val="00776AE2"/>
    <w:rsid w:val="00781B02"/>
    <w:rsid w:val="007921CD"/>
    <w:rsid w:val="007926E3"/>
    <w:rsid w:val="0079566C"/>
    <w:rsid w:val="007A0928"/>
    <w:rsid w:val="007A3ADF"/>
    <w:rsid w:val="007B49F8"/>
    <w:rsid w:val="007B76A8"/>
    <w:rsid w:val="007C5713"/>
    <w:rsid w:val="007C791C"/>
    <w:rsid w:val="007D69B7"/>
    <w:rsid w:val="007D6D02"/>
    <w:rsid w:val="007D7DF4"/>
    <w:rsid w:val="007E0BCB"/>
    <w:rsid w:val="007E0C84"/>
    <w:rsid w:val="007E0D23"/>
    <w:rsid w:val="007F196D"/>
    <w:rsid w:val="00805895"/>
    <w:rsid w:val="008075CB"/>
    <w:rsid w:val="00811771"/>
    <w:rsid w:val="008154DD"/>
    <w:rsid w:val="00831075"/>
    <w:rsid w:val="00831708"/>
    <w:rsid w:val="00834972"/>
    <w:rsid w:val="00835B4D"/>
    <w:rsid w:val="0084216B"/>
    <w:rsid w:val="008542DE"/>
    <w:rsid w:val="00854600"/>
    <w:rsid w:val="00861647"/>
    <w:rsid w:val="008638DE"/>
    <w:rsid w:val="008643DD"/>
    <w:rsid w:val="008750A7"/>
    <w:rsid w:val="00883142"/>
    <w:rsid w:val="00884D36"/>
    <w:rsid w:val="00891182"/>
    <w:rsid w:val="008A28C8"/>
    <w:rsid w:val="008B5461"/>
    <w:rsid w:val="008B702B"/>
    <w:rsid w:val="008C13E2"/>
    <w:rsid w:val="008C150B"/>
    <w:rsid w:val="008C199F"/>
    <w:rsid w:val="008C39D9"/>
    <w:rsid w:val="008C75E4"/>
    <w:rsid w:val="008D0FEE"/>
    <w:rsid w:val="008D4F9D"/>
    <w:rsid w:val="008E1DBF"/>
    <w:rsid w:val="008E2CC8"/>
    <w:rsid w:val="008F6B58"/>
    <w:rsid w:val="008F788B"/>
    <w:rsid w:val="0090282C"/>
    <w:rsid w:val="00906D0C"/>
    <w:rsid w:val="009130B6"/>
    <w:rsid w:val="00913F09"/>
    <w:rsid w:val="0091417C"/>
    <w:rsid w:val="0091595C"/>
    <w:rsid w:val="00930A2D"/>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97326"/>
    <w:rsid w:val="00AB2370"/>
    <w:rsid w:val="00AB2D43"/>
    <w:rsid w:val="00AB3243"/>
    <w:rsid w:val="00AB3437"/>
    <w:rsid w:val="00AB5232"/>
    <w:rsid w:val="00AC79F2"/>
    <w:rsid w:val="00AD3DF1"/>
    <w:rsid w:val="00AD5FBF"/>
    <w:rsid w:val="00AD627A"/>
    <w:rsid w:val="00AE60D2"/>
    <w:rsid w:val="00B00C4D"/>
    <w:rsid w:val="00B00EBC"/>
    <w:rsid w:val="00B02036"/>
    <w:rsid w:val="00B02CBA"/>
    <w:rsid w:val="00B042B2"/>
    <w:rsid w:val="00B07260"/>
    <w:rsid w:val="00B10A05"/>
    <w:rsid w:val="00B10F81"/>
    <w:rsid w:val="00B11C82"/>
    <w:rsid w:val="00B14DDC"/>
    <w:rsid w:val="00B245A6"/>
    <w:rsid w:val="00B30A5E"/>
    <w:rsid w:val="00B31505"/>
    <w:rsid w:val="00B45D11"/>
    <w:rsid w:val="00B6269C"/>
    <w:rsid w:val="00B72820"/>
    <w:rsid w:val="00B72CD1"/>
    <w:rsid w:val="00B7323F"/>
    <w:rsid w:val="00B74C73"/>
    <w:rsid w:val="00B80A22"/>
    <w:rsid w:val="00B82F0E"/>
    <w:rsid w:val="00B83851"/>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61DA"/>
    <w:rsid w:val="00C214A6"/>
    <w:rsid w:val="00C24A51"/>
    <w:rsid w:val="00C25722"/>
    <w:rsid w:val="00C351D8"/>
    <w:rsid w:val="00C37FD5"/>
    <w:rsid w:val="00C41BBA"/>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7F83"/>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76574"/>
    <w:rsid w:val="00E80113"/>
    <w:rsid w:val="00E86F64"/>
    <w:rsid w:val="00EA09F9"/>
    <w:rsid w:val="00EA1673"/>
    <w:rsid w:val="00EA6D57"/>
    <w:rsid w:val="00EB242F"/>
    <w:rsid w:val="00EB7D74"/>
    <w:rsid w:val="00EC048F"/>
    <w:rsid w:val="00EC23C7"/>
    <w:rsid w:val="00ED00B7"/>
    <w:rsid w:val="00ED16B9"/>
    <w:rsid w:val="00ED5DDE"/>
    <w:rsid w:val="00EF1341"/>
    <w:rsid w:val="00EF44E6"/>
    <w:rsid w:val="00EF5101"/>
    <w:rsid w:val="00EF7B30"/>
    <w:rsid w:val="00F012FA"/>
    <w:rsid w:val="00F055D3"/>
    <w:rsid w:val="00F10979"/>
    <w:rsid w:val="00F129DD"/>
    <w:rsid w:val="00F16D0F"/>
    <w:rsid w:val="00F308B2"/>
    <w:rsid w:val="00F32789"/>
    <w:rsid w:val="00F32831"/>
    <w:rsid w:val="00F40C28"/>
    <w:rsid w:val="00F4140E"/>
    <w:rsid w:val="00F71D53"/>
    <w:rsid w:val="00F731F5"/>
    <w:rsid w:val="00F75F59"/>
    <w:rsid w:val="00F804C4"/>
    <w:rsid w:val="00F8201E"/>
    <w:rsid w:val="00F86F3B"/>
    <w:rsid w:val="00F874F3"/>
    <w:rsid w:val="00FA2FDF"/>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90E-D59C-4B97-8A43-4C4BD684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2021-11-01T11:58:00Z</cp:lastPrinted>
  <dcterms:created xsi:type="dcterms:W3CDTF">2021-11-01T12:01:00Z</dcterms:created>
  <dcterms:modified xsi:type="dcterms:W3CDTF">2021-11-01T12:01:00Z</dcterms:modified>
</cp:coreProperties>
</file>