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500EC82A" w:rsidR="004936A6" w:rsidRPr="004D33C8" w:rsidRDefault="004A6F3B" w:rsidP="004A6F3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12/10/2021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51045F83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BF2804">
              <w:rPr>
                <w:rFonts w:ascii="Calibri" w:hAnsi="Calibri"/>
                <w:szCs w:val="22"/>
              </w:rPr>
              <w:t>08</w:t>
            </w:r>
            <w:r w:rsidR="00DE187E">
              <w:rPr>
                <w:rFonts w:ascii="Calibri" w:hAnsi="Calibri"/>
                <w:szCs w:val="22"/>
              </w:rPr>
              <w:t>50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664AF998" w:rsidR="004A5EA9" w:rsidRPr="008C75E4" w:rsidRDefault="00BF2804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9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1E5B4268" w:rsidR="00D13259" w:rsidRPr="008C75E4" w:rsidRDefault="00DE187E">
            <w:pPr>
              <w:rPr>
                <w:rFonts w:ascii="Calibri" w:hAnsi="Calibri"/>
                <w:szCs w:val="22"/>
              </w:rPr>
            </w:pPr>
            <w:r w:rsidRPr="00DE187E">
              <w:rPr>
                <w:rFonts w:ascii="Calibri" w:hAnsi="Calibri"/>
                <w:szCs w:val="22"/>
              </w:rPr>
              <w:t>Proposed single storey rear extension.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1FE21503" w:rsidR="002A01CF" w:rsidRPr="00BC0FF2" w:rsidRDefault="00DE187E" w:rsidP="00A42E82">
            <w:pPr>
              <w:rPr>
                <w:rFonts w:ascii="Calibri" w:hAnsi="Calibri"/>
                <w:szCs w:val="22"/>
              </w:rPr>
            </w:pPr>
            <w:r w:rsidRPr="00DE187E">
              <w:rPr>
                <w:rFonts w:ascii="Calibri" w:hAnsi="Calibri"/>
                <w:szCs w:val="22"/>
              </w:rPr>
              <w:t>20 Little Lane</w:t>
            </w:r>
            <w:r>
              <w:rPr>
                <w:rFonts w:ascii="Calibri" w:hAnsi="Calibri"/>
                <w:szCs w:val="22"/>
              </w:rPr>
              <w:t>,</w:t>
            </w:r>
            <w:r w:rsidRPr="00DE187E">
              <w:rPr>
                <w:rFonts w:ascii="Calibri" w:hAnsi="Calibri"/>
                <w:szCs w:val="22"/>
              </w:rPr>
              <w:t xml:space="preserve"> Longridge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DE187E">
              <w:rPr>
                <w:rFonts w:ascii="Calibri" w:hAnsi="Calibri"/>
                <w:szCs w:val="22"/>
              </w:rPr>
              <w:t>PR3 3NS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5471138E" w:rsidR="00BC0FF2" w:rsidRPr="00A47F23" w:rsidRDefault="00BF2804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Longridge Town </w:t>
            </w:r>
            <w:r w:rsidR="00A47F23">
              <w:rPr>
                <w:rFonts w:ascii="Calibri" w:hAnsi="Calibri"/>
                <w:szCs w:val="22"/>
              </w:rPr>
              <w:t xml:space="preserve">Council </w:t>
            </w:r>
            <w:r>
              <w:rPr>
                <w:rFonts w:ascii="Calibri" w:hAnsi="Calibri"/>
                <w:szCs w:val="22"/>
              </w:rPr>
              <w:t>consulted via email on 2</w:t>
            </w:r>
            <w:r w:rsidR="00DE187E">
              <w:rPr>
                <w:rFonts w:ascii="Calibri" w:hAnsi="Calibri"/>
                <w:szCs w:val="22"/>
              </w:rPr>
              <w:t>7</w:t>
            </w:r>
            <w:r>
              <w:rPr>
                <w:rFonts w:ascii="Calibri" w:hAnsi="Calibri"/>
                <w:szCs w:val="22"/>
              </w:rPr>
              <w:t>/8/21 – no response.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E7E89DB" w:rsidR="009130B6" w:rsidRPr="002A239D" w:rsidRDefault="00BC0FF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0DC0141B" w:rsidR="005878FE" w:rsidRPr="00435FC9" w:rsidRDefault="00DE187E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0A97D50" w14:textId="78570420" w:rsidR="00C52703" w:rsidRPr="00C52703" w:rsidRDefault="00BF2804" w:rsidP="00A47F23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None.</w:t>
            </w: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CE6957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501EEBF" w14:textId="77777777" w:rsidR="00AD627A" w:rsidRDefault="00AD627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BA04858" w14:textId="3499EA09" w:rsidR="006644F6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</w:t>
            </w:r>
            <w:r w:rsidR="00DE187E">
              <w:rPr>
                <w:rFonts w:asciiTheme="minorHAnsi" w:hAnsiTheme="minorHAnsi" w:cstheme="minorHAnsi"/>
                <w:szCs w:val="22"/>
              </w:rPr>
              <w:t>a</w:t>
            </w:r>
            <w:r w:rsidR="00F604C2">
              <w:rPr>
                <w:rFonts w:asciiTheme="minorHAnsi" w:hAnsiTheme="minorHAnsi" w:cstheme="minorHAnsi"/>
                <w:szCs w:val="22"/>
              </w:rPr>
              <w:t xml:space="preserve"> terraced property in Longridge. The property consists of</w:t>
            </w:r>
            <w:r w:rsidR="00DE187E">
              <w:rPr>
                <w:rFonts w:asciiTheme="minorHAnsi" w:hAnsiTheme="minorHAnsi" w:cstheme="minorHAnsi"/>
                <w:szCs w:val="22"/>
              </w:rPr>
              <w:t xml:space="preserve"> stone, slate roof tiles </w:t>
            </w:r>
            <w:r w:rsidR="00F604C2">
              <w:rPr>
                <w:rFonts w:asciiTheme="minorHAnsi" w:hAnsiTheme="minorHAnsi" w:cstheme="minorHAnsi"/>
                <w:szCs w:val="22"/>
              </w:rPr>
              <w:t>and white</w:t>
            </w:r>
            <w:r w:rsidR="00DE187E">
              <w:rPr>
                <w:rFonts w:asciiTheme="minorHAnsi" w:hAnsiTheme="minorHAnsi" w:cstheme="minorHAnsi"/>
                <w:szCs w:val="22"/>
              </w:rPr>
              <w:t xml:space="preserve"> wood effect</w:t>
            </w:r>
            <w:r w:rsidR="00F604C2">
              <w:rPr>
                <w:rFonts w:asciiTheme="minorHAnsi" w:hAnsiTheme="minorHAnsi" w:cstheme="minorHAnsi"/>
                <w:szCs w:val="22"/>
              </w:rPr>
              <w:t xml:space="preserve"> UPVC doors and windows. </w:t>
            </w:r>
            <w:r w:rsidR="00207916">
              <w:rPr>
                <w:rFonts w:asciiTheme="minorHAnsi" w:hAnsiTheme="minorHAnsi" w:cstheme="minorHAnsi"/>
                <w:szCs w:val="22"/>
              </w:rPr>
              <w:t>The surrounding area is residential comprising numerous terraced properties.</w:t>
            </w:r>
          </w:p>
          <w:p w14:paraId="4630E569" w14:textId="30724A7C" w:rsidR="00C52703" w:rsidRPr="003C0C2B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536F62CB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2C79B9">
              <w:rPr>
                <w:rFonts w:ascii="Calibri" w:hAnsi="Calibri"/>
                <w:szCs w:val="22"/>
              </w:rPr>
              <w:t xml:space="preserve">rear single storey </w:t>
            </w:r>
            <w:r w:rsidR="00A3751A">
              <w:rPr>
                <w:rFonts w:ascii="Calibri" w:hAnsi="Calibri"/>
                <w:szCs w:val="22"/>
              </w:rPr>
              <w:t xml:space="preserve">infill </w:t>
            </w:r>
            <w:r w:rsidR="002C79B9">
              <w:rPr>
                <w:rFonts w:ascii="Calibri" w:hAnsi="Calibri"/>
                <w:szCs w:val="22"/>
              </w:rPr>
              <w:t>extension.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C4F6D78" w14:textId="0FFD5168" w:rsidR="00C37FD5" w:rsidRDefault="002C79B9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extension would incorporate a window on its rear </w:t>
            </w:r>
            <w:r w:rsidR="00DE187E">
              <w:rPr>
                <w:rFonts w:ascii="Calibri" w:hAnsi="Calibri"/>
                <w:szCs w:val="22"/>
              </w:rPr>
              <w:t>South</w:t>
            </w:r>
            <w:r>
              <w:rPr>
                <w:rFonts w:ascii="Calibri" w:hAnsi="Calibri"/>
                <w:szCs w:val="22"/>
              </w:rPr>
              <w:t>-</w:t>
            </w:r>
            <w:r w:rsidR="00DE187E">
              <w:rPr>
                <w:rFonts w:ascii="Calibri" w:hAnsi="Calibri"/>
                <w:szCs w:val="22"/>
              </w:rPr>
              <w:t>we</w:t>
            </w:r>
            <w:r>
              <w:rPr>
                <w:rFonts w:ascii="Calibri" w:hAnsi="Calibri"/>
                <w:szCs w:val="22"/>
              </w:rPr>
              <w:t xml:space="preserve">stern elevation </w:t>
            </w:r>
            <w:r w:rsidR="00DE187E">
              <w:rPr>
                <w:rFonts w:ascii="Calibri" w:hAnsi="Calibri"/>
                <w:szCs w:val="22"/>
              </w:rPr>
              <w:t>which</w:t>
            </w:r>
            <w:r w:rsidR="0063372F">
              <w:rPr>
                <w:rFonts w:ascii="Calibri" w:hAnsi="Calibri"/>
                <w:szCs w:val="22"/>
              </w:rPr>
              <w:t xml:space="preserve"> would solely provide views into the property’s rear </w:t>
            </w:r>
            <w:r w:rsidR="00DE187E">
              <w:rPr>
                <w:rFonts w:ascii="Calibri" w:hAnsi="Calibri"/>
                <w:szCs w:val="22"/>
              </w:rPr>
              <w:t>yard</w:t>
            </w:r>
            <w:r w:rsidR="0063372F">
              <w:rPr>
                <w:rFonts w:ascii="Calibri" w:hAnsi="Calibri"/>
                <w:szCs w:val="22"/>
              </w:rPr>
              <w:t xml:space="preserve"> therefore it is not considered that the proposed works would compromise the privacy of any neighbouring residents.</w:t>
            </w:r>
          </w:p>
          <w:p w14:paraId="07554BAE" w14:textId="6E451232" w:rsidR="0063372F" w:rsidRDefault="0063372F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AABF747" w14:textId="78331D86" w:rsidR="00496601" w:rsidRDefault="00C839F8" w:rsidP="0009597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extension would incorporate a lean-to design which would symmetrically adjoin </w:t>
            </w:r>
            <w:r w:rsidR="00095975">
              <w:rPr>
                <w:rFonts w:ascii="Calibri" w:hAnsi="Calibri"/>
                <w:szCs w:val="22"/>
              </w:rPr>
              <w:t xml:space="preserve">to </w:t>
            </w:r>
            <w:r>
              <w:rPr>
                <w:rFonts w:ascii="Calibri" w:hAnsi="Calibri"/>
                <w:szCs w:val="22"/>
              </w:rPr>
              <w:t>the eaves</w:t>
            </w:r>
            <w:r w:rsidR="00A3751A">
              <w:rPr>
                <w:rFonts w:ascii="Calibri" w:hAnsi="Calibri"/>
                <w:szCs w:val="22"/>
              </w:rPr>
              <w:t xml:space="preserve">, </w:t>
            </w:r>
            <w:r>
              <w:rPr>
                <w:rFonts w:ascii="Calibri" w:hAnsi="Calibri"/>
                <w:szCs w:val="22"/>
              </w:rPr>
              <w:t xml:space="preserve">roof pitch </w:t>
            </w:r>
            <w:r w:rsidR="00A3751A">
              <w:rPr>
                <w:rFonts w:ascii="Calibri" w:hAnsi="Calibri"/>
                <w:szCs w:val="22"/>
              </w:rPr>
              <w:t xml:space="preserve">and side elevation </w:t>
            </w:r>
            <w:r>
              <w:rPr>
                <w:rFonts w:ascii="Calibri" w:hAnsi="Calibri"/>
                <w:szCs w:val="22"/>
              </w:rPr>
              <w:t>of an existing lean-to extension forming part of No. 1</w:t>
            </w:r>
            <w:r w:rsidR="00DE187E">
              <w:rPr>
                <w:rFonts w:ascii="Calibri" w:hAnsi="Calibri"/>
                <w:szCs w:val="22"/>
              </w:rPr>
              <w:t>9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DE187E">
              <w:rPr>
                <w:rFonts w:ascii="Calibri" w:hAnsi="Calibri"/>
                <w:szCs w:val="22"/>
              </w:rPr>
              <w:t>Little Lane</w:t>
            </w:r>
            <w:r w:rsidR="00095975">
              <w:rPr>
                <w:rFonts w:ascii="Calibri" w:hAnsi="Calibri"/>
                <w:szCs w:val="22"/>
              </w:rPr>
              <w:t>. The</w:t>
            </w:r>
            <w:r w:rsidR="00A3751A">
              <w:rPr>
                <w:rFonts w:ascii="Calibri" w:hAnsi="Calibri"/>
                <w:szCs w:val="22"/>
              </w:rPr>
              <w:t xml:space="preserve"> proposed extension would not extend beyond the adjoined </w:t>
            </w:r>
            <w:r w:rsidR="00095975">
              <w:rPr>
                <w:rFonts w:ascii="Calibri" w:hAnsi="Calibri"/>
                <w:szCs w:val="22"/>
              </w:rPr>
              <w:t xml:space="preserve">neighbouring extension in terms of its outwards projection. </w:t>
            </w:r>
            <w:r w:rsidR="00095975" w:rsidRPr="00095975">
              <w:rPr>
                <w:rFonts w:ascii="Calibri" w:hAnsi="Calibri"/>
                <w:szCs w:val="22"/>
              </w:rPr>
              <w:t xml:space="preserve">As such, it is not considered that the </w:t>
            </w:r>
            <w:r w:rsidR="00A3751A">
              <w:rPr>
                <w:rFonts w:ascii="Calibri" w:hAnsi="Calibri"/>
                <w:szCs w:val="22"/>
              </w:rPr>
              <w:t>proposal</w:t>
            </w:r>
            <w:r w:rsidR="00095975" w:rsidRPr="00095975">
              <w:rPr>
                <w:rFonts w:ascii="Calibri" w:hAnsi="Calibri"/>
                <w:szCs w:val="22"/>
              </w:rPr>
              <w:t xml:space="preserve"> would lead to any loss of light or outlook for </w:t>
            </w:r>
            <w:r w:rsidR="00496601">
              <w:rPr>
                <w:rFonts w:ascii="Calibri" w:hAnsi="Calibri"/>
                <w:szCs w:val="22"/>
              </w:rPr>
              <w:t>the</w:t>
            </w:r>
            <w:r w:rsidR="00095975" w:rsidRPr="00095975">
              <w:rPr>
                <w:rFonts w:ascii="Calibri" w:hAnsi="Calibri"/>
                <w:szCs w:val="22"/>
              </w:rPr>
              <w:t xml:space="preserve"> residents</w:t>
            </w:r>
            <w:r w:rsidR="00496601">
              <w:rPr>
                <w:rFonts w:ascii="Calibri" w:hAnsi="Calibri"/>
                <w:szCs w:val="22"/>
              </w:rPr>
              <w:t xml:space="preserve"> </w:t>
            </w:r>
            <w:r w:rsidR="00A3751A">
              <w:rPr>
                <w:rFonts w:ascii="Calibri" w:hAnsi="Calibri"/>
                <w:szCs w:val="22"/>
              </w:rPr>
              <w:t>of 19 Little Lane</w:t>
            </w:r>
            <w:r w:rsidR="00664B3C">
              <w:rPr>
                <w:rFonts w:ascii="Calibri" w:hAnsi="Calibri"/>
                <w:szCs w:val="22"/>
              </w:rPr>
              <w:t xml:space="preserve"> or any other neighbouring residents.</w:t>
            </w:r>
          </w:p>
          <w:p w14:paraId="7D13DE81" w14:textId="52E3AE7A" w:rsidR="00095975" w:rsidRPr="00D23470" w:rsidRDefault="00095975" w:rsidP="00A3751A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2C06658D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25D7D93" w14:textId="419B3450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4EA51C5" w14:textId="1A987276" w:rsidR="00664B3C" w:rsidRDefault="008671B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extension would have an eaves and roof pitch height of 2.</w:t>
            </w:r>
            <w:r w:rsidR="00926243">
              <w:rPr>
                <w:rFonts w:ascii="Calibri" w:hAnsi="Calibri"/>
                <w:szCs w:val="22"/>
              </w:rPr>
              <w:t>7</w:t>
            </w:r>
            <w:r>
              <w:rPr>
                <w:rFonts w:ascii="Calibri" w:hAnsi="Calibri"/>
                <w:szCs w:val="22"/>
              </w:rPr>
              <w:t xml:space="preserve"> and 3.</w:t>
            </w:r>
            <w:r w:rsidR="00926243">
              <w:rPr>
                <w:rFonts w:ascii="Calibri" w:hAnsi="Calibri"/>
                <w:szCs w:val="22"/>
              </w:rPr>
              <w:t>9</w:t>
            </w:r>
            <w:r>
              <w:rPr>
                <w:rFonts w:ascii="Calibri" w:hAnsi="Calibri"/>
                <w:szCs w:val="22"/>
              </w:rPr>
              <w:t xml:space="preserve"> metres respectively making it wholly subservient to the main property in terms of height. </w:t>
            </w:r>
            <w:r w:rsidR="00F32092" w:rsidRPr="00F32092">
              <w:rPr>
                <w:rFonts w:ascii="Calibri" w:hAnsi="Calibri"/>
                <w:szCs w:val="22"/>
              </w:rPr>
              <w:t xml:space="preserve">The proposed </w:t>
            </w:r>
            <w:r w:rsidR="00926243">
              <w:rPr>
                <w:rFonts w:ascii="Calibri" w:hAnsi="Calibri"/>
                <w:szCs w:val="22"/>
              </w:rPr>
              <w:t xml:space="preserve">infill </w:t>
            </w:r>
            <w:r w:rsidR="00F32092" w:rsidRPr="00F32092">
              <w:rPr>
                <w:rFonts w:ascii="Calibri" w:hAnsi="Calibri"/>
                <w:szCs w:val="22"/>
              </w:rPr>
              <w:t xml:space="preserve">extension </w:t>
            </w:r>
            <w:r w:rsidR="00926243">
              <w:rPr>
                <w:rFonts w:ascii="Calibri" w:hAnsi="Calibri"/>
                <w:szCs w:val="22"/>
              </w:rPr>
              <w:t xml:space="preserve">would span less than half the width of the main property with a relatively small footprint therefore the proposal would be a modest addition to the existing property. </w:t>
            </w:r>
            <w:r w:rsidR="00664B3C">
              <w:rPr>
                <w:rFonts w:ascii="Calibri" w:hAnsi="Calibri"/>
                <w:szCs w:val="22"/>
              </w:rPr>
              <w:t>Moreover, the extension would only have a minimal visual impact in as much that it would be sited to the rear of the property outside of the public realm.</w:t>
            </w:r>
          </w:p>
          <w:p w14:paraId="0010591D" w14:textId="77777777" w:rsidR="00664B3C" w:rsidRDefault="00664B3C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A32BC66" w14:textId="5C4FE4FB" w:rsidR="00091A2A" w:rsidRDefault="00FB1851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Furthermore, </w:t>
            </w:r>
            <w:r w:rsidR="00357C0A">
              <w:rPr>
                <w:rFonts w:ascii="Calibri" w:hAnsi="Calibri"/>
                <w:szCs w:val="22"/>
              </w:rPr>
              <w:t xml:space="preserve">the </w:t>
            </w:r>
            <w:r>
              <w:rPr>
                <w:rFonts w:ascii="Calibri" w:hAnsi="Calibri"/>
                <w:szCs w:val="22"/>
              </w:rPr>
              <w:t xml:space="preserve">extension would be constructed from </w:t>
            </w:r>
            <w:r w:rsidR="00926243">
              <w:rPr>
                <w:rFonts w:ascii="Calibri" w:hAnsi="Calibri"/>
                <w:szCs w:val="22"/>
              </w:rPr>
              <w:t xml:space="preserve">stone, slate roof tiles and </w:t>
            </w:r>
            <w:r>
              <w:rPr>
                <w:rFonts w:ascii="Calibri" w:hAnsi="Calibri"/>
                <w:szCs w:val="22"/>
              </w:rPr>
              <w:t xml:space="preserve">white </w:t>
            </w:r>
            <w:r w:rsidR="00926243">
              <w:rPr>
                <w:rFonts w:ascii="Calibri" w:hAnsi="Calibri"/>
                <w:szCs w:val="22"/>
              </w:rPr>
              <w:t xml:space="preserve">wood effect </w:t>
            </w:r>
            <w:r>
              <w:rPr>
                <w:rFonts w:ascii="Calibri" w:hAnsi="Calibri"/>
                <w:szCs w:val="22"/>
              </w:rPr>
              <w:t xml:space="preserve">UPVC doors </w:t>
            </w:r>
            <w:r w:rsidR="00664B3C">
              <w:rPr>
                <w:rFonts w:ascii="Calibri" w:hAnsi="Calibri"/>
                <w:szCs w:val="22"/>
              </w:rPr>
              <w:t xml:space="preserve">and windows </w:t>
            </w:r>
            <w:r>
              <w:rPr>
                <w:rFonts w:ascii="Calibri" w:hAnsi="Calibri"/>
                <w:szCs w:val="22"/>
              </w:rPr>
              <w:t>which would merge well with the external features of the main property</w:t>
            </w:r>
            <w:r w:rsidR="00357C0A">
              <w:rPr>
                <w:rFonts w:ascii="Calibri" w:hAnsi="Calibri"/>
                <w:szCs w:val="22"/>
              </w:rPr>
              <w:t xml:space="preserve"> and other properties in the area.</w:t>
            </w:r>
            <w:r w:rsidR="000701EB">
              <w:rPr>
                <w:rFonts w:ascii="Calibri" w:hAnsi="Calibri"/>
                <w:szCs w:val="22"/>
              </w:rPr>
              <w:t xml:space="preserve"> </w:t>
            </w:r>
            <w:r w:rsidR="00F32092">
              <w:rPr>
                <w:rFonts w:ascii="Calibri" w:hAnsi="Calibri"/>
                <w:szCs w:val="22"/>
              </w:rPr>
              <w:t>Accordingly, it is not considered that the proposed works would have any undue impact upon the visual amenities of the area.</w:t>
            </w:r>
          </w:p>
          <w:p w14:paraId="37A766A4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122DCFC8" w14:textId="77777777" w:rsidR="00B11C82" w:rsidRDefault="002C79B9" w:rsidP="008A657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2B450717" w:rsidR="002C79B9" w:rsidRPr="008C75E4" w:rsidRDefault="002C79B9" w:rsidP="008A6574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E320C46" w14:textId="6FCC43DE" w:rsidR="00A47F23" w:rsidRPr="00A47F23" w:rsidRDefault="00A47F23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>Lancashire County Council Highways have not been consulted on the proposal however given that</w:t>
            </w:r>
            <w:r>
              <w:rPr>
                <w:rFonts w:ascii="Calibri" w:hAnsi="Calibri"/>
                <w:szCs w:val="22"/>
              </w:rPr>
              <w:t xml:space="preserve"> the proposed works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affect the property’s existing parking arrangement it is not considered that the proposal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any undue impact upon highway safety.</w:t>
            </w:r>
          </w:p>
          <w:p w14:paraId="72741D21" w14:textId="07565F25" w:rsidR="00D13259" w:rsidRPr="008C75E4" w:rsidRDefault="00D13259" w:rsidP="00A47F23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0288D7A5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E54595C" w14:textId="77777777" w:rsidR="00F32092" w:rsidRPr="00F32092" w:rsidRDefault="00F32092" w:rsidP="00F32092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F32092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not lead to any loss of privacy, natural </w:t>
            </w:r>
            <w:proofErr w:type="gramStart"/>
            <w:r w:rsidRPr="00F32092"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 w:rsidRPr="00F32092">
              <w:rPr>
                <w:rFonts w:ascii="Calibri" w:hAnsi="Calibri"/>
                <w:bCs/>
                <w:szCs w:val="22"/>
              </w:rPr>
              <w:t xml:space="preserve"> or outlook for any neighbouring residents.</w:t>
            </w:r>
          </w:p>
          <w:p w14:paraId="14F4FB90" w14:textId="77777777" w:rsidR="00F32092" w:rsidRPr="00F32092" w:rsidRDefault="00F32092" w:rsidP="00F32092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15636E53" w14:textId="5C0086F4" w:rsidR="00F32092" w:rsidRPr="00F32092" w:rsidRDefault="00F32092" w:rsidP="00F32092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32092">
              <w:rPr>
                <w:rFonts w:ascii="Calibri" w:hAnsi="Calibri"/>
                <w:bCs/>
                <w:szCs w:val="22"/>
              </w:rPr>
              <w:t xml:space="preserve">The extension would not be an over dominant feature and would </w:t>
            </w:r>
            <w:r w:rsidR="000701EB">
              <w:rPr>
                <w:rFonts w:ascii="Calibri" w:hAnsi="Calibri"/>
                <w:bCs/>
                <w:szCs w:val="22"/>
              </w:rPr>
              <w:t>remain</w:t>
            </w:r>
            <w:r w:rsidR="00357C0A">
              <w:rPr>
                <w:rFonts w:ascii="Calibri" w:hAnsi="Calibri"/>
                <w:bCs/>
                <w:szCs w:val="22"/>
              </w:rPr>
              <w:t xml:space="preserve"> </w:t>
            </w:r>
            <w:r w:rsidRPr="00F32092">
              <w:rPr>
                <w:rFonts w:ascii="Calibri" w:hAnsi="Calibri"/>
                <w:bCs/>
                <w:szCs w:val="22"/>
              </w:rPr>
              <w:t>s</w:t>
            </w:r>
            <w:r>
              <w:rPr>
                <w:rFonts w:ascii="Calibri" w:hAnsi="Calibri"/>
                <w:bCs/>
                <w:szCs w:val="22"/>
              </w:rPr>
              <w:t>creened</w:t>
            </w:r>
            <w:r w:rsidRPr="00F32092">
              <w:rPr>
                <w:rFonts w:ascii="Calibri" w:hAnsi="Calibri"/>
                <w:bCs/>
                <w:szCs w:val="22"/>
              </w:rPr>
              <w:t xml:space="preserve"> from the public realm without having any undue impact upon visual amenity.</w:t>
            </w:r>
          </w:p>
          <w:p w14:paraId="706CC56D" w14:textId="3A111DBC"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lastRenderedPageBreak/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77777777"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193052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657C" w14:textId="77777777" w:rsidR="004762D3" w:rsidRDefault="004762D3" w:rsidP="006D0B5F">
      <w:r>
        <w:separator/>
      </w:r>
    </w:p>
  </w:endnote>
  <w:endnote w:type="continuationSeparator" w:id="0">
    <w:p w14:paraId="5F088802" w14:textId="77777777" w:rsidR="004762D3" w:rsidRDefault="004762D3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6992" w14:textId="77777777" w:rsidR="004762D3" w:rsidRDefault="004762D3" w:rsidP="006D0B5F">
      <w:r>
        <w:separator/>
      </w:r>
    </w:p>
  </w:footnote>
  <w:footnote w:type="continuationSeparator" w:id="0">
    <w:p w14:paraId="16444C36" w14:textId="77777777" w:rsidR="004762D3" w:rsidRDefault="004762D3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F3D2B"/>
    <w:multiLevelType w:val="hybridMultilevel"/>
    <w:tmpl w:val="B934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55B13"/>
    <w:rsid w:val="0006136E"/>
    <w:rsid w:val="000701EB"/>
    <w:rsid w:val="00085F04"/>
    <w:rsid w:val="0008638E"/>
    <w:rsid w:val="00091A2A"/>
    <w:rsid w:val="00095975"/>
    <w:rsid w:val="00096654"/>
    <w:rsid w:val="000A037A"/>
    <w:rsid w:val="000A13A1"/>
    <w:rsid w:val="000A4B0D"/>
    <w:rsid w:val="000B5CB5"/>
    <w:rsid w:val="000C7A57"/>
    <w:rsid w:val="000D11A4"/>
    <w:rsid w:val="00101855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6428F"/>
    <w:rsid w:val="00164B55"/>
    <w:rsid w:val="00171D54"/>
    <w:rsid w:val="00174004"/>
    <w:rsid w:val="00193052"/>
    <w:rsid w:val="001936C6"/>
    <w:rsid w:val="001946E0"/>
    <w:rsid w:val="00196722"/>
    <w:rsid w:val="001A2C18"/>
    <w:rsid w:val="001B1038"/>
    <w:rsid w:val="001B4232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07916"/>
    <w:rsid w:val="002122F4"/>
    <w:rsid w:val="0022611D"/>
    <w:rsid w:val="00230AE6"/>
    <w:rsid w:val="00237DA1"/>
    <w:rsid w:val="00242A1C"/>
    <w:rsid w:val="00250879"/>
    <w:rsid w:val="00261E1A"/>
    <w:rsid w:val="00263B45"/>
    <w:rsid w:val="00266D44"/>
    <w:rsid w:val="002840B2"/>
    <w:rsid w:val="00284480"/>
    <w:rsid w:val="0028751A"/>
    <w:rsid w:val="0029334A"/>
    <w:rsid w:val="002948B7"/>
    <w:rsid w:val="002A01CF"/>
    <w:rsid w:val="002A239D"/>
    <w:rsid w:val="002A7DF7"/>
    <w:rsid w:val="002B7854"/>
    <w:rsid w:val="002C6277"/>
    <w:rsid w:val="002C79B9"/>
    <w:rsid w:val="002D4346"/>
    <w:rsid w:val="002E2952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C0A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D16BC"/>
    <w:rsid w:val="003D6F7B"/>
    <w:rsid w:val="003E2151"/>
    <w:rsid w:val="003E503F"/>
    <w:rsid w:val="003F1313"/>
    <w:rsid w:val="003F16AA"/>
    <w:rsid w:val="003F16B4"/>
    <w:rsid w:val="003F3DB5"/>
    <w:rsid w:val="003F481A"/>
    <w:rsid w:val="00404C72"/>
    <w:rsid w:val="00413615"/>
    <w:rsid w:val="0043472B"/>
    <w:rsid w:val="00435FC9"/>
    <w:rsid w:val="0044039F"/>
    <w:rsid w:val="00440CB6"/>
    <w:rsid w:val="00444544"/>
    <w:rsid w:val="00454754"/>
    <w:rsid w:val="004643EA"/>
    <w:rsid w:val="004654DD"/>
    <w:rsid w:val="00472615"/>
    <w:rsid w:val="004762D3"/>
    <w:rsid w:val="00485386"/>
    <w:rsid w:val="004854EC"/>
    <w:rsid w:val="004936A6"/>
    <w:rsid w:val="004947BB"/>
    <w:rsid w:val="00496601"/>
    <w:rsid w:val="004978AD"/>
    <w:rsid w:val="004A2C27"/>
    <w:rsid w:val="004A5EA9"/>
    <w:rsid w:val="004A6F3B"/>
    <w:rsid w:val="004B3551"/>
    <w:rsid w:val="004B6F92"/>
    <w:rsid w:val="004C2434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3372F"/>
    <w:rsid w:val="0064032E"/>
    <w:rsid w:val="00640CA7"/>
    <w:rsid w:val="006644F6"/>
    <w:rsid w:val="00664B3C"/>
    <w:rsid w:val="00665C24"/>
    <w:rsid w:val="00690EC3"/>
    <w:rsid w:val="00692B60"/>
    <w:rsid w:val="00694BD3"/>
    <w:rsid w:val="00695F88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4565C"/>
    <w:rsid w:val="00755FCC"/>
    <w:rsid w:val="00776AE2"/>
    <w:rsid w:val="007921CD"/>
    <w:rsid w:val="007926E3"/>
    <w:rsid w:val="007948DA"/>
    <w:rsid w:val="0079566C"/>
    <w:rsid w:val="007A0928"/>
    <w:rsid w:val="007A3ADF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54DD"/>
    <w:rsid w:val="00831075"/>
    <w:rsid w:val="00835B4D"/>
    <w:rsid w:val="0084216B"/>
    <w:rsid w:val="008542DE"/>
    <w:rsid w:val="00854600"/>
    <w:rsid w:val="00861647"/>
    <w:rsid w:val="008638DE"/>
    <w:rsid w:val="008643DD"/>
    <w:rsid w:val="008671B4"/>
    <w:rsid w:val="00883142"/>
    <w:rsid w:val="00884D36"/>
    <w:rsid w:val="00891182"/>
    <w:rsid w:val="008A28C8"/>
    <w:rsid w:val="008A6574"/>
    <w:rsid w:val="008B5461"/>
    <w:rsid w:val="008B702B"/>
    <w:rsid w:val="008C13E2"/>
    <w:rsid w:val="008C150B"/>
    <w:rsid w:val="008C75E4"/>
    <w:rsid w:val="008D0FEE"/>
    <w:rsid w:val="008E1A16"/>
    <w:rsid w:val="008E2CC8"/>
    <w:rsid w:val="008F6B58"/>
    <w:rsid w:val="008F788B"/>
    <w:rsid w:val="0090282C"/>
    <w:rsid w:val="00906D0C"/>
    <w:rsid w:val="009130B6"/>
    <w:rsid w:val="00913F09"/>
    <w:rsid w:val="0091595C"/>
    <w:rsid w:val="00926243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94EF1"/>
    <w:rsid w:val="009A2F73"/>
    <w:rsid w:val="009A6574"/>
    <w:rsid w:val="009B2C97"/>
    <w:rsid w:val="009B5A2C"/>
    <w:rsid w:val="009C4BCF"/>
    <w:rsid w:val="009C7F61"/>
    <w:rsid w:val="009E4064"/>
    <w:rsid w:val="009E6A8B"/>
    <w:rsid w:val="009F2222"/>
    <w:rsid w:val="00A04A96"/>
    <w:rsid w:val="00A153BF"/>
    <w:rsid w:val="00A30351"/>
    <w:rsid w:val="00A33747"/>
    <w:rsid w:val="00A3751A"/>
    <w:rsid w:val="00A40070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5D89"/>
    <w:rsid w:val="00AB2370"/>
    <w:rsid w:val="00AB2D43"/>
    <w:rsid w:val="00AB3243"/>
    <w:rsid w:val="00AB3437"/>
    <w:rsid w:val="00AB5232"/>
    <w:rsid w:val="00AD5FBF"/>
    <w:rsid w:val="00AD627A"/>
    <w:rsid w:val="00AE60D2"/>
    <w:rsid w:val="00B00C4D"/>
    <w:rsid w:val="00B02036"/>
    <w:rsid w:val="00B02CBA"/>
    <w:rsid w:val="00B042B2"/>
    <w:rsid w:val="00B07260"/>
    <w:rsid w:val="00B10A05"/>
    <w:rsid w:val="00B11C82"/>
    <w:rsid w:val="00B14DDC"/>
    <w:rsid w:val="00B245A6"/>
    <w:rsid w:val="00B30A5E"/>
    <w:rsid w:val="00B31505"/>
    <w:rsid w:val="00B45D11"/>
    <w:rsid w:val="00B6269C"/>
    <w:rsid w:val="00B72820"/>
    <w:rsid w:val="00B72CD1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D3F03"/>
    <w:rsid w:val="00BD4102"/>
    <w:rsid w:val="00BD6206"/>
    <w:rsid w:val="00BF1898"/>
    <w:rsid w:val="00BF2804"/>
    <w:rsid w:val="00BF57DC"/>
    <w:rsid w:val="00C01CF1"/>
    <w:rsid w:val="00C03259"/>
    <w:rsid w:val="00C065A2"/>
    <w:rsid w:val="00C0704D"/>
    <w:rsid w:val="00C214A6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839F8"/>
    <w:rsid w:val="00C847C5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54384"/>
    <w:rsid w:val="00D54E67"/>
    <w:rsid w:val="00D54F48"/>
    <w:rsid w:val="00D56225"/>
    <w:rsid w:val="00D632BB"/>
    <w:rsid w:val="00D80310"/>
    <w:rsid w:val="00D82FD6"/>
    <w:rsid w:val="00D83D2D"/>
    <w:rsid w:val="00D9608A"/>
    <w:rsid w:val="00D96DF7"/>
    <w:rsid w:val="00D97AA3"/>
    <w:rsid w:val="00DA27B6"/>
    <w:rsid w:val="00DC258F"/>
    <w:rsid w:val="00DC3C8A"/>
    <w:rsid w:val="00DD62F6"/>
    <w:rsid w:val="00DD7E97"/>
    <w:rsid w:val="00DE187E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35E72"/>
    <w:rsid w:val="00E46243"/>
    <w:rsid w:val="00E5248C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308B2"/>
    <w:rsid w:val="00F32092"/>
    <w:rsid w:val="00F32789"/>
    <w:rsid w:val="00F32831"/>
    <w:rsid w:val="00F4140E"/>
    <w:rsid w:val="00F433A9"/>
    <w:rsid w:val="00F604C2"/>
    <w:rsid w:val="00F71D53"/>
    <w:rsid w:val="00F731F5"/>
    <w:rsid w:val="00F75F59"/>
    <w:rsid w:val="00F804C4"/>
    <w:rsid w:val="00F8201E"/>
    <w:rsid w:val="00F874F3"/>
    <w:rsid w:val="00F87761"/>
    <w:rsid w:val="00FB1851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2021-10-12T11:44:00Z</cp:lastPrinted>
  <dcterms:created xsi:type="dcterms:W3CDTF">2021-10-12T11:47:00Z</dcterms:created>
  <dcterms:modified xsi:type="dcterms:W3CDTF">2021-10-12T11:47:00Z</dcterms:modified>
</cp:coreProperties>
</file>