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39BFE1A" w:rsidR="004A5EA9" w:rsidRPr="008C75E4" w:rsidRDefault="008D6366" w:rsidP="008F6B58">
            <w:pPr>
              <w:rPr>
                <w:rFonts w:ascii="Calibri" w:hAnsi="Calibri"/>
                <w:szCs w:val="22"/>
              </w:rPr>
            </w:pPr>
            <w:r>
              <w:rPr>
                <w:rFonts w:ascii="Calibri" w:hAnsi="Calibri"/>
                <w:szCs w:val="22"/>
              </w:rPr>
              <w:t>3/2021/0857</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3A8A9305" w:rsidR="004A5EA9" w:rsidRPr="008C75E4" w:rsidRDefault="008D6366" w:rsidP="002C6277">
            <w:pPr>
              <w:rPr>
                <w:rFonts w:ascii="Calibri" w:hAnsi="Calibri"/>
                <w:szCs w:val="22"/>
              </w:rPr>
            </w:pPr>
            <w:r>
              <w:rPr>
                <w:rFonts w:ascii="Calibri" w:hAnsi="Calibri"/>
                <w:szCs w:val="22"/>
              </w:rPr>
              <w:t>10/9/2021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454754" w:rsidRDefault="008D5A3A"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10B4418E" w:rsidR="004A5EA9" w:rsidRPr="008D6366" w:rsidRDefault="008D6366">
            <w:pPr>
              <w:rPr>
                <w:rFonts w:asciiTheme="minorHAnsi" w:hAnsiTheme="minorHAnsi" w:cstheme="minorHAnsi"/>
                <w:szCs w:val="22"/>
              </w:rPr>
            </w:pPr>
            <w:r w:rsidRPr="008D6366">
              <w:rPr>
                <w:rFonts w:asciiTheme="minorHAnsi" w:hAnsiTheme="minorHAnsi" w:cstheme="minorHAnsi"/>
                <w:szCs w:val="22"/>
                <w:lang w:val="en"/>
              </w:rPr>
              <w:t>Proposed erection of a Class B2 (light industrial) building on former coach depot. Build of random stone height 1200mm with green metal sheet cladding above and green metal sheet roofing with roof lights.</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3690FB41" w:rsidR="002A01CF" w:rsidRPr="008D6366" w:rsidRDefault="008D6366" w:rsidP="00A42E82">
            <w:pPr>
              <w:rPr>
                <w:rFonts w:asciiTheme="minorHAnsi" w:hAnsiTheme="minorHAnsi" w:cstheme="minorHAnsi"/>
                <w:b/>
                <w:bCs/>
                <w:szCs w:val="22"/>
              </w:rPr>
            </w:pPr>
            <w:r w:rsidRPr="008D6366">
              <w:rPr>
                <w:rStyle w:val="Strong"/>
                <w:rFonts w:asciiTheme="minorHAnsi" w:hAnsiTheme="minorHAnsi" w:cstheme="minorHAnsi"/>
                <w:b w:val="0"/>
                <w:bCs w:val="0"/>
                <w:szCs w:val="22"/>
              </w:rPr>
              <w:t>Pimlico House Gisburn Road Gisburn BB7 4ES</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1B8C370F" w:rsidR="003A4376" w:rsidRPr="009825FF" w:rsidRDefault="003A7AD2"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911C201" w14:textId="735D3A31" w:rsidR="003A7AD2" w:rsidRDefault="00F412D8" w:rsidP="00FC046F">
            <w:pPr>
              <w:jc w:val="both"/>
              <w:rPr>
                <w:rFonts w:ascii="Calibri" w:hAnsi="Calibri"/>
                <w:szCs w:val="22"/>
              </w:rPr>
            </w:pPr>
            <w:r>
              <w:rPr>
                <w:rFonts w:ascii="CIDFont+F2" w:eastAsiaTheme="minorHAnsi" w:hAnsi="CIDFont+F2" w:cs="CIDFont+F2"/>
                <w:sz w:val="24"/>
                <w:szCs w:val="24"/>
              </w:rPr>
              <w:t>No objection subject to conditions (Construction Management Plan).</w:t>
            </w:r>
          </w:p>
          <w:p w14:paraId="6B308380" w14:textId="77777777" w:rsidR="00F412D8" w:rsidRDefault="00F412D8" w:rsidP="00FC046F">
            <w:pPr>
              <w:jc w:val="both"/>
              <w:rPr>
                <w:rFonts w:ascii="Calibri" w:hAnsi="Calibri"/>
                <w:szCs w:val="22"/>
              </w:rPr>
            </w:pPr>
          </w:p>
          <w:p w14:paraId="3ACCF6F4" w14:textId="4BE00501" w:rsidR="003A7AD2" w:rsidRDefault="005A6D76" w:rsidP="00FC046F">
            <w:pPr>
              <w:jc w:val="both"/>
              <w:rPr>
                <w:rFonts w:ascii="Calibri" w:hAnsi="Calibri"/>
                <w:b/>
                <w:bCs/>
                <w:szCs w:val="22"/>
              </w:rPr>
            </w:pPr>
            <w:r w:rsidRPr="005A6D76">
              <w:rPr>
                <w:rFonts w:ascii="Calibri" w:hAnsi="Calibri"/>
                <w:b/>
                <w:bCs/>
                <w:szCs w:val="22"/>
              </w:rPr>
              <w:t>Lancashire Fire and Rescue Service:</w:t>
            </w:r>
          </w:p>
          <w:p w14:paraId="6C2CDACA" w14:textId="04561EDF" w:rsidR="005A6D76" w:rsidRPr="005A6D76" w:rsidRDefault="004D7A32" w:rsidP="00FC046F">
            <w:pPr>
              <w:jc w:val="both"/>
              <w:rPr>
                <w:rFonts w:ascii="Calibri" w:hAnsi="Calibri"/>
                <w:b/>
                <w:bCs/>
                <w:szCs w:val="22"/>
              </w:rPr>
            </w:pPr>
            <w:proofErr w:type="spellStart"/>
            <w:r>
              <w:rPr>
                <w:rFonts w:ascii="CIDFont+F2" w:eastAsiaTheme="minorHAnsi" w:hAnsi="CIDFont+F2" w:cs="CIDFont+F2"/>
                <w:sz w:val="23"/>
                <w:szCs w:val="23"/>
              </w:rPr>
              <w:t>Informatives</w:t>
            </w:r>
            <w:proofErr w:type="spellEnd"/>
            <w:r>
              <w:rPr>
                <w:rFonts w:ascii="CIDFont+F2" w:eastAsiaTheme="minorHAnsi" w:hAnsi="CIDFont+F2" w:cs="CIDFont+F2"/>
                <w:sz w:val="23"/>
                <w:szCs w:val="23"/>
              </w:rPr>
              <w:t xml:space="preserve"> in respect of the Building Regulations and access for fire appliances and water supplies.</w:t>
            </w:r>
          </w:p>
          <w:p w14:paraId="4FD1EF0A" w14:textId="77777777" w:rsidR="005A6D76" w:rsidRDefault="005A6D76" w:rsidP="00FC046F">
            <w:pPr>
              <w:jc w:val="both"/>
              <w:rPr>
                <w:rFonts w:ascii="Calibri" w:hAnsi="Calibri"/>
                <w:szCs w:val="22"/>
              </w:rPr>
            </w:pPr>
          </w:p>
          <w:p w14:paraId="0510746B" w14:textId="694C9A6B" w:rsidR="00D841DA" w:rsidRPr="003A7AD2" w:rsidRDefault="003A7AD2" w:rsidP="00FC046F">
            <w:pPr>
              <w:jc w:val="both"/>
              <w:rPr>
                <w:rFonts w:ascii="Calibri" w:hAnsi="Calibri"/>
                <w:b/>
                <w:bCs/>
                <w:szCs w:val="22"/>
              </w:rPr>
            </w:pPr>
            <w:r w:rsidRPr="003A7AD2">
              <w:rPr>
                <w:rFonts w:ascii="Calibri" w:hAnsi="Calibri"/>
                <w:b/>
                <w:bCs/>
                <w:szCs w:val="22"/>
              </w:rPr>
              <w:t>LCC Archaeology:</w:t>
            </w:r>
          </w:p>
          <w:p w14:paraId="45202803" w14:textId="190AF578" w:rsidR="003A7AD2" w:rsidRDefault="00437E11" w:rsidP="00FC046F">
            <w:pPr>
              <w:jc w:val="both"/>
              <w:rPr>
                <w:rFonts w:ascii="Calibri" w:hAnsi="Calibri"/>
                <w:szCs w:val="22"/>
              </w:rPr>
            </w:pPr>
            <w:r>
              <w:rPr>
                <w:rFonts w:ascii="CIDFont+F1" w:eastAsiaTheme="minorHAnsi" w:hAnsi="CIDFont+F1" w:cs="CIDFont+F1"/>
                <w:sz w:val="24"/>
                <w:szCs w:val="24"/>
              </w:rPr>
              <w:t>N</w:t>
            </w:r>
            <w:r w:rsidR="003A7AD2">
              <w:rPr>
                <w:rFonts w:ascii="CIDFont+F1" w:eastAsiaTheme="minorHAnsi" w:hAnsi="CIDFont+F1" w:cs="CIDFont+F1"/>
                <w:sz w:val="24"/>
                <w:szCs w:val="24"/>
              </w:rPr>
              <w:t>egligible archaeological potential</w:t>
            </w:r>
            <w:r>
              <w:rPr>
                <w:rFonts w:ascii="CIDFont+F1" w:eastAsiaTheme="minorHAnsi" w:hAnsi="CIDFont+F1" w:cs="CIDFont+F1"/>
                <w:sz w:val="24"/>
                <w:szCs w:val="24"/>
              </w:rPr>
              <w:t>.</w:t>
            </w:r>
          </w:p>
          <w:p w14:paraId="4481BB38" w14:textId="77777777" w:rsidR="003A7AD2" w:rsidRDefault="003A7AD2" w:rsidP="00FC046F">
            <w:pPr>
              <w:jc w:val="both"/>
              <w:rPr>
                <w:rFonts w:ascii="Calibri" w:hAnsi="Calibri"/>
                <w:szCs w:val="22"/>
              </w:rPr>
            </w:pPr>
          </w:p>
          <w:p w14:paraId="35DC4A58" w14:textId="3FF82996" w:rsidR="003A7AD2" w:rsidRPr="003A7AD2" w:rsidRDefault="003A7AD2" w:rsidP="00FC046F">
            <w:pPr>
              <w:jc w:val="both"/>
              <w:rPr>
                <w:rFonts w:ascii="Calibri" w:hAnsi="Calibri"/>
                <w:b/>
                <w:bCs/>
                <w:szCs w:val="22"/>
              </w:rPr>
            </w:pPr>
            <w:r w:rsidRPr="003A7AD2">
              <w:rPr>
                <w:rFonts w:ascii="Calibri" w:hAnsi="Calibri"/>
                <w:b/>
                <w:bCs/>
                <w:szCs w:val="22"/>
              </w:rPr>
              <w:t>United Utilities:</w:t>
            </w:r>
          </w:p>
          <w:p w14:paraId="2E603BF5" w14:textId="44040E36" w:rsidR="003A7AD2" w:rsidRDefault="00437E11" w:rsidP="00FC046F">
            <w:pPr>
              <w:jc w:val="both"/>
              <w:rPr>
                <w:rFonts w:ascii="Calibri" w:hAnsi="Calibri"/>
                <w:szCs w:val="22"/>
              </w:rPr>
            </w:pPr>
            <w:r>
              <w:rPr>
                <w:rFonts w:ascii="Calibri" w:hAnsi="Calibri"/>
                <w:szCs w:val="22"/>
              </w:rPr>
              <w:t xml:space="preserve">Drainage conditions </w:t>
            </w:r>
            <w:r w:rsidR="00E33D00">
              <w:rPr>
                <w:rFonts w:ascii="Calibri" w:hAnsi="Calibri"/>
                <w:szCs w:val="22"/>
              </w:rPr>
              <w:t xml:space="preserve">and </w:t>
            </w:r>
            <w:proofErr w:type="spellStart"/>
            <w:r>
              <w:rPr>
                <w:rFonts w:ascii="Calibri" w:hAnsi="Calibri"/>
                <w:szCs w:val="22"/>
              </w:rPr>
              <w:t>informatives</w:t>
            </w:r>
            <w:proofErr w:type="spellEnd"/>
            <w:r>
              <w:rPr>
                <w:rFonts w:ascii="Calibri" w:hAnsi="Calibri"/>
                <w:szCs w:val="22"/>
              </w:rPr>
              <w:t xml:space="preserve"> to applicant</w:t>
            </w:r>
            <w:r w:rsidR="00E33D00">
              <w:rPr>
                <w:rFonts w:ascii="Calibri" w:hAnsi="Calibri"/>
                <w:szCs w:val="22"/>
              </w:rPr>
              <w:t xml:space="preserve"> suggested</w:t>
            </w:r>
            <w:r>
              <w:rPr>
                <w:rFonts w:ascii="Calibri" w:hAnsi="Calibri"/>
                <w:szCs w:val="22"/>
              </w:rPr>
              <w:t>.</w:t>
            </w:r>
          </w:p>
          <w:p w14:paraId="4CC0CBC9" w14:textId="77777777" w:rsidR="003A7AD2" w:rsidRDefault="003A7AD2" w:rsidP="00FC046F">
            <w:pPr>
              <w:jc w:val="both"/>
              <w:rPr>
                <w:rFonts w:ascii="Calibri" w:hAnsi="Calibri"/>
                <w:szCs w:val="22"/>
              </w:rPr>
            </w:pPr>
          </w:p>
          <w:p w14:paraId="1EAE8506" w14:textId="7E15DA14" w:rsidR="003A7AD2" w:rsidRPr="003A7AD2" w:rsidRDefault="003A7AD2" w:rsidP="00FC046F">
            <w:pPr>
              <w:jc w:val="both"/>
              <w:rPr>
                <w:rFonts w:ascii="Calibri" w:hAnsi="Calibri"/>
                <w:b/>
                <w:bCs/>
                <w:szCs w:val="22"/>
              </w:rPr>
            </w:pPr>
            <w:r w:rsidRPr="003A7AD2">
              <w:rPr>
                <w:rFonts w:ascii="Calibri" w:hAnsi="Calibri"/>
                <w:b/>
                <w:bCs/>
                <w:szCs w:val="22"/>
              </w:rPr>
              <w:t>RVBC Environmental Health:</w:t>
            </w:r>
          </w:p>
          <w:p w14:paraId="275C3DAF" w14:textId="00B1516D" w:rsidR="003A7AD2" w:rsidRDefault="00437E11" w:rsidP="00FC046F">
            <w:pPr>
              <w:jc w:val="both"/>
              <w:rPr>
                <w:rFonts w:ascii="Calibri" w:hAnsi="Calibri"/>
                <w:szCs w:val="22"/>
              </w:rPr>
            </w:pPr>
            <w:proofErr w:type="gramStart"/>
            <w:r>
              <w:rPr>
                <w:rFonts w:ascii="CIDFont+F1" w:eastAsiaTheme="minorHAnsi" w:hAnsi="CIDFont+F1" w:cs="CIDFont+F1"/>
                <w:szCs w:val="22"/>
              </w:rPr>
              <w:t>Close proximity</w:t>
            </w:r>
            <w:proofErr w:type="gramEnd"/>
            <w:r>
              <w:rPr>
                <w:rFonts w:ascii="CIDFont+F1" w:eastAsiaTheme="minorHAnsi" w:hAnsi="CIDFont+F1" w:cs="CIDFont+F1"/>
                <w:szCs w:val="22"/>
              </w:rPr>
              <w:t xml:space="preserve"> to sensitive (residential) premises. Noise impact assessment required before further comment.</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471551" w14:textId="77777777" w:rsidR="005878FE" w:rsidRDefault="00355428" w:rsidP="00435FC9">
            <w:pPr>
              <w:jc w:val="both"/>
              <w:rPr>
                <w:rFonts w:ascii="Calibri" w:hAnsi="Calibri"/>
                <w:szCs w:val="22"/>
              </w:rPr>
            </w:pPr>
            <w:r>
              <w:rPr>
                <w:rFonts w:ascii="Calibri" w:hAnsi="Calibri"/>
                <w:szCs w:val="22"/>
              </w:rPr>
              <w:t>Three letters of objection which make the following points:</w:t>
            </w:r>
          </w:p>
          <w:p w14:paraId="102A3787" w14:textId="77777777" w:rsidR="00355428" w:rsidRDefault="00355428" w:rsidP="00435FC9">
            <w:pPr>
              <w:jc w:val="both"/>
              <w:rPr>
                <w:rFonts w:ascii="Calibri" w:hAnsi="Calibri"/>
                <w:szCs w:val="22"/>
              </w:rPr>
            </w:pPr>
          </w:p>
          <w:p w14:paraId="127DA106" w14:textId="62E7541F" w:rsidR="00355428" w:rsidRDefault="00F379E4" w:rsidP="00435FC9">
            <w:pPr>
              <w:jc w:val="both"/>
              <w:rPr>
                <w:rFonts w:ascii="Calibri" w:hAnsi="Calibri"/>
                <w:szCs w:val="22"/>
              </w:rPr>
            </w:pPr>
            <w:r>
              <w:rPr>
                <w:rFonts w:ascii="Calibri" w:hAnsi="Calibri"/>
                <w:szCs w:val="22"/>
              </w:rPr>
              <w:t>Prominent in views;</w:t>
            </w:r>
            <w:r w:rsidR="00E12F64">
              <w:rPr>
                <w:rFonts w:ascii="Calibri" w:hAnsi="Calibri"/>
                <w:szCs w:val="22"/>
              </w:rPr>
              <w:t xml:space="preserve"> edge of conservation area.</w:t>
            </w:r>
          </w:p>
          <w:p w14:paraId="31E43E28" w14:textId="5A058C90" w:rsidR="00F379E4" w:rsidRDefault="00E12F64" w:rsidP="00435FC9">
            <w:pPr>
              <w:jc w:val="both"/>
              <w:rPr>
                <w:rFonts w:ascii="Calibri" w:hAnsi="Calibri"/>
                <w:szCs w:val="22"/>
              </w:rPr>
            </w:pPr>
            <w:r>
              <w:rPr>
                <w:rFonts w:ascii="Calibri" w:hAnsi="Calibri"/>
                <w:szCs w:val="22"/>
              </w:rPr>
              <w:t xml:space="preserve">Not identified for industrial use (see also Policy EMP10); residential area; Noise details required; smoke/smells? </w:t>
            </w:r>
            <w:r w:rsidR="00C33AE8">
              <w:rPr>
                <w:rFonts w:ascii="Calibri" w:hAnsi="Calibri"/>
                <w:szCs w:val="22"/>
              </w:rPr>
              <w:t>l</w:t>
            </w:r>
            <w:r w:rsidR="006A31CC">
              <w:rPr>
                <w:rFonts w:ascii="Calibri" w:hAnsi="Calibri"/>
                <w:szCs w:val="22"/>
              </w:rPr>
              <w:t xml:space="preserve">ight pollution; </w:t>
            </w:r>
            <w:r>
              <w:rPr>
                <w:rFonts w:ascii="Calibri" w:hAnsi="Calibri"/>
                <w:szCs w:val="22"/>
              </w:rPr>
              <w:t>business hours?</w:t>
            </w:r>
          </w:p>
          <w:p w14:paraId="598798BB" w14:textId="48BC4770" w:rsidR="00864398" w:rsidRDefault="00E12F64" w:rsidP="00864398">
            <w:pPr>
              <w:jc w:val="both"/>
              <w:rPr>
                <w:rFonts w:ascii="Calibri" w:hAnsi="Calibri"/>
                <w:szCs w:val="22"/>
              </w:rPr>
            </w:pPr>
            <w:r>
              <w:rPr>
                <w:rFonts w:ascii="Calibri" w:hAnsi="Calibri"/>
                <w:szCs w:val="22"/>
              </w:rPr>
              <w:t xml:space="preserve">Highway </w:t>
            </w:r>
            <w:proofErr w:type="gramStart"/>
            <w:r>
              <w:rPr>
                <w:rFonts w:ascii="Calibri" w:hAnsi="Calibri"/>
                <w:szCs w:val="22"/>
              </w:rPr>
              <w:t>concerns;</w:t>
            </w:r>
            <w:proofErr w:type="gramEnd"/>
            <w:r w:rsidR="00864398">
              <w:rPr>
                <w:rFonts w:ascii="Calibri" w:hAnsi="Calibri"/>
                <w:szCs w:val="22"/>
              </w:rPr>
              <w:t xml:space="preserve"> unauthorised shipping container affects parking/turning</w:t>
            </w:r>
            <w:r w:rsidR="00E70989">
              <w:rPr>
                <w:rFonts w:ascii="Calibri" w:hAnsi="Calibri"/>
                <w:szCs w:val="22"/>
              </w:rPr>
              <w:t>; compromise adjoining business turning/parking?</w:t>
            </w:r>
          </w:p>
          <w:p w14:paraId="71ABDC2F" w14:textId="27EAEE60" w:rsidR="00E12F64" w:rsidRDefault="00E12F64" w:rsidP="00E12F64">
            <w:pPr>
              <w:jc w:val="both"/>
              <w:rPr>
                <w:rFonts w:ascii="Calibri" w:hAnsi="Calibri"/>
                <w:szCs w:val="22"/>
              </w:rPr>
            </w:pPr>
            <w:r>
              <w:rPr>
                <w:rFonts w:ascii="Calibri" w:hAnsi="Calibri"/>
                <w:szCs w:val="22"/>
              </w:rPr>
              <w:t>Overshadowing</w:t>
            </w:r>
            <w:r w:rsidR="00DD5AA0">
              <w:rPr>
                <w:rFonts w:ascii="Calibri" w:hAnsi="Calibri"/>
                <w:szCs w:val="22"/>
              </w:rPr>
              <w:t>.</w:t>
            </w:r>
          </w:p>
          <w:p w14:paraId="6C354BAD" w14:textId="564E941F" w:rsidR="00F379E4" w:rsidRDefault="00F379E4" w:rsidP="00435FC9">
            <w:pPr>
              <w:jc w:val="both"/>
              <w:rPr>
                <w:rFonts w:ascii="Calibri" w:hAnsi="Calibri"/>
                <w:szCs w:val="22"/>
              </w:rPr>
            </w:pPr>
            <w:r>
              <w:rPr>
                <w:rFonts w:ascii="Calibri" w:hAnsi="Calibri"/>
                <w:szCs w:val="22"/>
              </w:rPr>
              <w:t>Materials inappropriate</w:t>
            </w:r>
            <w:r w:rsidR="00DD5AA0">
              <w:rPr>
                <w:rFonts w:ascii="Calibri" w:hAnsi="Calibri"/>
                <w:szCs w:val="22"/>
              </w:rPr>
              <w:t>.</w:t>
            </w:r>
          </w:p>
          <w:p w14:paraId="1B2D2974" w14:textId="3F32EBFA" w:rsidR="00F379E4" w:rsidRDefault="00F379E4" w:rsidP="00435FC9">
            <w:pPr>
              <w:jc w:val="both"/>
              <w:rPr>
                <w:rFonts w:ascii="Calibri" w:hAnsi="Calibri"/>
                <w:szCs w:val="22"/>
              </w:rPr>
            </w:pPr>
            <w:r>
              <w:rPr>
                <w:rFonts w:ascii="Calibri" w:hAnsi="Calibri"/>
                <w:szCs w:val="22"/>
              </w:rPr>
              <w:t>How maintain surrounding structures</w:t>
            </w:r>
            <w:r w:rsidR="00DD5AA0">
              <w:rPr>
                <w:rFonts w:ascii="Calibri" w:hAnsi="Calibri"/>
                <w:szCs w:val="22"/>
              </w:rPr>
              <w:t>.</w:t>
            </w:r>
          </w:p>
          <w:p w14:paraId="5076EE16" w14:textId="7DA490A3" w:rsidR="00864398" w:rsidRDefault="00864398" w:rsidP="00435FC9">
            <w:pPr>
              <w:jc w:val="both"/>
              <w:rPr>
                <w:rFonts w:ascii="Calibri" w:hAnsi="Calibri"/>
                <w:szCs w:val="22"/>
              </w:rPr>
            </w:pPr>
            <w:r>
              <w:rPr>
                <w:rFonts w:ascii="Calibri" w:hAnsi="Calibri"/>
                <w:szCs w:val="22"/>
              </w:rPr>
              <w:lastRenderedPageBreak/>
              <w:t>Plans not clear</w:t>
            </w:r>
            <w:r w:rsidR="00DD5AA0">
              <w:rPr>
                <w:rFonts w:ascii="Calibri" w:hAnsi="Calibri"/>
                <w:szCs w:val="22"/>
              </w:rPr>
              <w:t>.</w:t>
            </w:r>
          </w:p>
          <w:p w14:paraId="2D0F74C9" w14:textId="04BDC023" w:rsidR="00DD5AA0" w:rsidRDefault="00DD5AA0" w:rsidP="00435FC9">
            <w:pPr>
              <w:jc w:val="both"/>
              <w:rPr>
                <w:rFonts w:ascii="Calibri" w:hAnsi="Calibri"/>
                <w:szCs w:val="22"/>
              </w:rPr>
            </w:pPr>
            <w:r>
              <w:rPr>
                <w:rFonts w:ascii="Calibri" w:hAnsi="Calibri"/>
                <w:szCs w:val="22"/>
              </w:rPr>
              <w:t>Foundations; drainage; toilet facilities?</w:t>
            </w:r>
          </w:p>
          <w:p w14:paraId="333F034D" w14:textId="5ABAEF30" w:rsidR="00864398" w:rsidRPr="00435FC9" w:rsidRDefault="00864398" w:rsidP="00864398">
            <w:pPr>
              <w:jc w:val="both"/>
              <w:rPr>
                <w:rFonts w:ascii="Calibri" w:hAnsi="Calibri"/>
                <w:szCs w:val="22"/>
              </w:rPr>
            </w:pP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2412995E"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701010F2" w14:textId="77777777" w:rsidR="006646B5" w:rsidRPr="006646B5" w:rsidRDefault="006646B5" w:rsidP="006646B5">
            <w:pPr>
              <w:jc w:val="both"/>
              <w:rPr>
                <w:rFonts w:cs="Arial"/>
                <w:szCs w:val="22"/>
              </w:rPr>
            </w:pPr>
            <w:proofErr w:type="spellStart"/>
            <w:r w:rsidRPr="006646B5">
              <w:rPr>
                <w:rFonts w:cs="Arial"/>
                <w:szCs w:val="22"/>
              </w:rPr>
              <w:t>Ribble</w:t>
            </w:r>
            <w:proofErr w:type="spellEnd"/>
            <w:r w:rsidRPr="006646B5">
              <w:rPr>
                <w:rFonts w:cs="Arial"/>
                <w:szCs w:val="22"/>
              </w:rPr>
              <w:t xml:space="preserve"> Valley Core Strategy:</w:t>
            </w:r>
          </w:p>
          <w:p w14:paraId="336710D2" w14:textId="683F7CF4" w:rsidR="006646B5" w:rsidRPr="006646B5" w:rsidRDefault="006646B5" w:rsidP="006646B5">
            <w:pPr>
              <w:jc w:val="both"/>
              <w:rPr>
                <w:rFonts w:cs="Arial"/>
                <w:szCs w:val="22"/>
              </w:rPr>
            </w:pPr>
          </w:p>
          <w:p w14:paraId="6FE82B1B" w14:textId="64B3491B" w:rsidR="006646B5" w:rsidRPr="006646B5" w:rsidRDefault="006646B5" w:rsidP="006646B5">
            <w:pPr>
              <w:jc w:val="both"/>
              <w:rPr>
                <w:rFonts w:asciiTheme="minorHAnsi" w:hAnsiTheme="minorHAnsi" w:cstheme="minorHAnsi"/>
                <w:bCs/>
                <w:szCs w:val="22"/>
              </w:rPr>
            </w:pPr>
            <w:r w:rsidRPr="006646B5">
              <w:rPr>
                <w:rFonts w:asciiTheme="minorHAnsi" w:hAnsiTheme="minorHAnsi" w:cstheme="minorHAnsi"/>
                <w:szCs w:val="22"/>
              </w:rPr>
              <w:t>Key Statement EN5</w:t>
            </w:r>
            <w:r w:rsidRPr="006646B5">
              <w:rPr>
                <w:rFonts w:asciiTheme="minorHAnsi" w:hAnsiTheme="minorHAnsi" w:cstheme="minorHAnsi"/>
                <w:bCs/>
                <w:szCs w:val="22"/>
              </w:rPr>
              <w:t>– Heritage Assets</w:t>
            </w:r>
          </w:p>
          <w:p w14:paraId="38CAB128" w14:textId="77777777" w:rsidR="006646B5" w:rsidRPr="006646B5" w:rsidRDefault="006646B5" w:rsidP="006646B5">
            <w:pPr>
              <w:jc w:val="both"/>
              <w:rPr>
                <w:rFonts w:asciiTheme="minorHAnsi" w:hAnsiTheme="minorHAnsi" w:cstheme="minorHAnsi"/>
                <w:bCs/>
                <w:szCs w:val="22"/>
              </w:rPr>
            </w:pPr>
            <w:r w:rsidRPr="006646B5">
              <w:rPr>
                <w:rFonts w:asciiTheme="minorHAnsi" w:hAnsiTheme="minorHAnsi" w:cstheme="minorHAnsi"/>
                <w:szCs w:val="22"/>
                <w:lang w:eastAsia="en-GB"/>
              </w:rPr>
              <w:t>Key Statement EC1: Business and Employment Development</w:t>
            </w:r>
          </w:p>
          <w:p w14:paraId="52FB193B" w14:textId="53ED82E3" w:rsidR="006646B5" w:rsidRPr="006646B5" w:rsidRDefault="006646B5" w:rsidP="006646B5">
            <w:pPr>
              <w:jc w:val="both"/>
              <w:rPr>
                <w:rFonts w:asciiTheme="minorHAnsi" w:hAnsiTheme="minorHAnsi" w:cstheme="minorHAnsi"/>
                <w:szCs w:val="22"/>
              </w:rPr>
            </w:pPr>
            <w:r w:rsidRPr="006646B5">
              <w:rPr>
                <w:rFonts w:asciiTheme="minorHAnsi" w:hAnsiTheme="minorHAnsi" w:cstheme="minorHAnsi"/>
                <w:szCs w:val="22"/>
              </w:rPr>
              <w:t>Policy DMG1– General Considerations</w:t>
            </w:r>
          </w:p>
          <w:p w14:paraId="0603D423" w14:textId="77777777" w:rsidR="006646B5" w:rsidRPr="006646B5" w:rsidRDefault="006646B5" w:rsidP="006646B5">
            <w:pPr>
              <w:jc w:val="both"/>
              <w:rPr>
                <w:rFonts w:asciiTheme="minorHAnsi" w:hAnsiTheme="minorHAnsi" w:cstheme="minorHAnsi"/>
                <w:szCs w:val="22"/>
              </w:rPr>
            </w:pPr>
            <w:r w:rsidRPr="006646B5">
              <w:rPr>
                <w:rFonts w:asciiTheme="minorHAnsi" w:hAnsiTheme="minorHAnsi" w:cstheme="minorHAnsi"/>
                <w:szCs w:val="22"/>
              </w:rPr>
              <w:t>Policy DMG2 – Strategic Considerations</w:t>
            </w:r>
          </w:p>
          <w:p w14:paraId="5BEE052D" w14:textId="77777777" w:rsidR="006646B5" w:rsidRPr="006646B5" w:rsidRDefault="006646B5" w:rsidP="006646B5">
            <w:pPr>
              <w:jc w:val="both"/>
              <w:rPr>
                <w:rFonts w:asciiTheme="minorHAnsi" w:hAnsiTheme="minorHAnsi" w:cstheme="minorHAnsi"/>
                <w:szCs w:val="22"/>
              </w:rPr>
            </w:pPr>
            <w:r w:rsidRPr="006646B5">
              <w:rPr>
                <w:rFonts w:asciiTheme="minorHAnsi" w:hAnsiTheme="minorHAnsi" w:cstheme="minorHAnsi"/>
                <w:szCs w:val="22"/>
              </w:rPr>
              <w:t>Policy DME4– Protecting Heritage Assets</w:t>
            </w:r>
          </w:p>
          <w:p w14:paraId="55496D9B" w14:textId="77777777" w:rsidR="006646B5" w:rsidRPr="006646B5" w:rsidRDefault="006646B5" w:rsidP="006646B5">
            <w:pPr>
              <w:jc w:val="both"/>
              <w:rPr>
                <w:rFonts w:asciiTheme="minorHAnsi" w:hAnsiTheme="minorHAnsi" w:cstheme="minorHAnsi"/>
                <w:szCs w:val="22"/>
              </w:rPr>
            </w:pPr>
            <w:r w:rsidRPr="006646B5">
              <w:rPr>
                <w:rFonts w:asciiTheme="minorHAnsi" w:hAnsiTheme="minorHAnsi" w:cstheme="minorHAnsi"/>
                <w:szCs w:val="22"/>
                <w:lang w:eastAsia="en-GB"/>
              </w:rPr>
              <w:t>Policy DMB1: Supporting Business Growth and the Local Economy</w:t>
            </w:r>
          </w:p>
          <w:p w14:paraId="7CFEC07A" w14:textId="77777777" w:rsidR="006646B5" w:rsidRPr="006646B5" w:rsidRDefault="006646B5" w:rsidP="006646B5">
            <w:pPr>
              <w:ind w:left="720"/>
              <w:jc w:val="both"/>
              <w:rPr>
                <w:rFonts w:asciiTheme="minorHAnsi" w:hAnsiTheme="minorHAnsi" w:cstheme="minorHAnsi"/>
                <w:szCs w:val="22"/>
              </w:rPr>
            </w:pPr>
          </w:p>
          <w:p w14:paraId="542AFB1C" w14:textId="77777777" w:rsidR="006646B5" w:rsidRPr="006646B5" w:rsidRDefault="006646B5" w:rsidP="006646B5">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Planning (Listed Buildings and Conservation Areas) Act 1990. ‘Preservation’ in the duties at sections 66 and 72 of the Act means “doing no harm to” (</w:t>
            </w:r>
            <w:r w:rsidRPr="006646B5">
              <w:rPr>
                <w:rFonts w:asciiTheme="minorHAnsi" w:hAnsiTheme="minorHAnsi" w:cstheme="minorHAnsi"/>
                <w:i/>
                <w:iCs/>
                <w:szCs w:val="22"/>
              </w:rPr>
              <w:t xml:space="preserve">South Lakeland DC v. Secretary of State for the Environment </w:t>
            </w:r>
            <w:r w:rsidRPr="006646B5">
              <w:rPr>
                <w:rFonts w:asciiTheme="minorHAnsi" w:hAnsiTheme="minorHAnsi" w:cstheme="minorHAnsi"/>
                <w:szCs w:val="22"/>
              </w:rPr>
              <w:t xml:space="preserve">[1992]). </w:t>
            </w:r>
          </w:p>
          <w:p w14:paraId="0FF04581" w14:textId="77777777" w:rsidR="006646B5" w:rsidRPr="006646B5" w:rsidRDefault="006646B5" w:rsidP="006646B5">
            <w:pPr>
              <w:overflowPunct/>
              <w:autoSpaceDE/>
              <w:adjustRightInd/>
              <w:ind w:left="720"/>
              <w:jc w:val="both"/>
              <w:rPr>
                <w:rFonts w:asciiTheme="minorHAnsi" w:hAnsiTheme="minorHAnsi" w:cstheme="minorHAnsi"/>
                <w:szCs w:val="22"/>
              </w:rPr>
            </w:pPr>
          </w:p>
          <w:p w14:paraId="0FA721A9" w14:textId="725F1FCC" w:rsidR="006646B5" w:rsidRPr="006646B5" w:rsidRDefault="006646B5" w:rsidP="006646B5">
            <w:pPr>
              <w:jc w:val="both"/>
              <w:rPr>
                <w:rFonts w:asciiTheme="minorHAnsi" w:hAnsiTheme="minorHAnsi" w:cstheme="minorHAnsi"/>
                <w:szCs w:val="22"/>
              </w:rPr>
            </w:pPr>
            <w:r w:rsidRPr="006646B5">
              <w:rPr>
                <w:rFonts w:asciiTheme="minorHAnsi" w:hAnsiTheme="minorHAnsi" w:cstheme="minorHAnsi"/>
                <w:szCs w:val="22"/>
              </w:rPr>
              <w:t xml:space="preserve">Gisburn Conservation Area Appraisal </w:t>
            </w:r>
          </w:p>
          <w:p w14:paraId="19C301ED" w14:textId="77777777" w:rsidR="006646B5" w:rsidRPr="006646B5" w:rsidRDefault="006646B5" w:rsidP="006646B5">
            <w:pPr>
              <w:ind w:left="720"/>
              <w:jc w:val="both"/>
              <w:rPr>
                <w:rFonts w:asciiTheme="minorHAnsi" w:hAnsiTheme="minorHAnsi" w:cstheme="minorHAnsi"/>
                <w:szCs w:val="22"/>
              </w:rPr>
            </w:pPr>
          </w:p>
          <w:p w14:paraId="692D970B" w14:textId="77777777" w:rsidR="006646B5" w:rsidRPr="006646B5" w:rsidRDefault="006646B5" w:rsidP="006646B5">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National Planning Policy Framework (NPPF)</w:t>
            </w:r>
          </w:p>
          <w:p w14:paraId="150878CF" w14:textId="77777777" w:rsidR="006646B5" w:rsidRPr="006646B5" w:rsidRDefault="006646B5" w:rsidP="006646B5">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National Planning Practice Guidance (NPPG)</w:t>
            </w:r>
          </w:p>
          <w:p w14:paraId="6C57C1F9" w14:textId="77777777" w:rsidR="001946E0" w:rsidRPr="008C75E4" w:rsidRDefault="001946E0" w:rsidP="00B72BE4">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1B9198" w14:textId="2CBDCE77" w:rsidR="006646B5" w:rsidRPr="004524A9" w:rsidRDefault="006646B5" w:rsidP="00454754">
            <w:pPr>
              <w:pStyle w:val="PLANNING"/>
              <w:rPr>
                <w:rFonts w:asciiTheme="minorHAnsi" w:hAnsiTheme="minorHAnsi" w:cstheme="minorHAnsi"/>
                <w:szCs w:val="22"/>
                <w:lang w:val="en"/>
              </w:rPr>
            </w:pPr>
            <w:r>
              <w:rPr>
                <w:rFonts w:ascii="Calibri" w:hAnsi="Calibri"/>
                <w:bCs/>
                <w:szCs w:val="22"/>
              </w:rPr>
              <w:t xml:space="preserve">3/2006/0183 </w:t>
            </w:r>
            <w:r w:rsidRPr="004524A9">
              <w:rPr>
                <w:rFonts w:ascii="Calibri" w:hAnsi="Calibri"/>
                <w:bCs/>
                <w:szCs w:val="22"/>
              </w:rPr>
              <w:t>–</w:t>
            </w:r>
            <w:r w:rsidR="004524A9" w:rsidRPr="004524A9">
              <w:rPr>
                <w:rFonts w:ascii="Calibri" w:hAnsi="Calibri"/>
                <w:bCs/>
                <w:szCs w:val="22"/>
              </w:rPr>
              <w:t xml:space="preserve"> </w:t>
            </w:r>
            <w:r w:rsidRPr="004524A9">
              <w:rPr>
                <w:rFonts w:asciiTheme="minorHAnsi" w:hAnsiTheme="minorHAnsi" w:cstheme="minorHAnsi"/>
                <w:szCs w:val="22"/>
                <w:lang w:val="en"/>
              </w:rPr>
              <w:t xml:space="preserve">Removal of old timber framed, corrugated tin sheet clad sheds, and change of use to car valeting premises. </w:t>
            </w:r>
            <w:r w:rsidRPr="004524A9">
              <w:rPr>
                <w:rFonts w:asciiTheme="minorHAnsi" w:hAnsiTheme="minorHAnsi" w:cstheme="minorHAnsi"/>
                <w:bCs/>
                <w:szCs w:val="22"/>
              </w:rPr>
              <w:t>PP refused 21/6/2006.</w:t>
            </w:r>
          </w:p>
          <w:p w14:paraId="1F2659FA" w14:textId="77777777" w:rsidR="004524A9" w:rsidRDefault="004524A9" w:rsidP="00454754">
            <w:pPr>
              <w:pStyle w:val="PLANNING"/>
              <w:rPr>
                <w:rFonts w:ascii="Calibri" w:hAnsi="Calibri"/>
                <w:bCs/>
                <w:szCs w:val="22"/>
              </w:rPr>
            </w:pPr>
          </w:p>
          <w:p w14:paraId="10B2AFA2" w14:textId="5986118B" w:rsidR="006646B5" w:rsidRPr="004524A9" w:rsidRDefault="006646B5" w:rsidP="00454754">
            <w:pPr>
              <w:pStyle w:val="PLANNING"/>
              <w:rPr>
                <w:rFonts w:asciiTheme="minorHAnsi" w:hAnsiTheme="minorHAnsi" w:cstheme="minorHAnsi"/>
                <w:bCs/>
                <w:szCs w:val="22"/>
              </w:rPr>
            </w:pPr>
            <w:r>
              <w:rPr>
                <w:rFonts w:ascii="Calibri" w:hAnsi="Calibri"/>
                <w:bCs/>
                <w:szCs w:val="22"/>
              </w:rPr>
              <w:t xml:space="preserve">3/2007/0157 – </w:t>
            </w:r>
            <w:r w:rsidR="004524A9" w:rsidRPr="004524A9">
              <w:rPr>
                <w:rFonts w:asciiTheme="minorHAnsi" w:hAnsiTheme="minorHAnsi" w:cstheme="minorHAnsi"/>
                <w:szCs w:val="22"/>
                <w:lang w:val="en"/>
              </w:rPr>
              <w:t xml:space="preserve">Change of use of former Duckworth Coach Depot to become a </w:t>
            </w:r>
            <w:proofErr w:type="spellStart"/>
            <w:r w:rsidR="004524A9" w:rsidRPr="004524A9">
              <w:rPr>
                <w:rFonts w:asciiTheme="minorHAnsi" w:hAnsiTheme="minorHAnsi" w:cstheme="minorHAnsi"/>
                <w:szCs w:val="22"/>
                <w:lang w:val="en"/>
              </w:rPr>
              <w:t>furiture</w:t>
            </w:r>
            <w:proofErr w:type="spellEnd"/>
            <w:r w:rsidR="004524A9" w:rsidRPr="004524A9">
              <w:rPr>
                <w:rFonts w:asciiTheme="minorHAnsi" w:hAnsiTheme="minorHAnsi" w:cstheme="minorHAnsi"/>
                <w:szCs w:val="22"/>
                <w:lang w:val="en"/>
              </w:rPr>
              <w:t xml:space="preserve"> retail showroom - including minor alterations to existing buildings. PP granted 4/4/2007.</w:t>
            </w:r>
          </w:p>
          <w:p w14:paraId="23582E44" w14:textId="77777777" w:rsidR="006646B5" w:rsidRDefault="006646B5" w:rsidP="00454754">
            <w:pPr>
              <w:pStyle w:val="PLANNING"/>
              <w:rPr>
                <w:rFonts w:ascii="Calibri" w:hAnsi="Calibri"/>
                <w:bCs/>
                <w:szCs w:val="22"/>
              </w:rPr>
            </w:pPr>
          </w:p>
          <w:p w14:paraId="68AE7990" w14:textId="6DAA8060" w:rsidR="006646B5" w:rsidRDefault="006646B5" w:rsidP="00454754">
            <w:pPr>
              <w:pStyle w:val="PLANNING"/>
              <w:rPr>
                <w:rFonts w:ascii="Calibri" w:hAnsi="Calibri"/>
                <w:bCs/>
                <w:szCs w:val="22"/>
              </w:rPr>
            </w:pPr>
            <w:r>
              <w:rPr>
                <w:rFonts w:ascii="Calibri" w:hAnsi="Calibri"/>
                <w:bCs/>
                <w:szCs w:val="22"/>
              </w:rPr>
              <w:t xml:space="preserve">3/2007/0675 – </w:t>
            </w:r>
            <w:r w:rsidR="004524A9" w:rsidRPr="004524A9">
              <w:rPr>
                <w:rFonts w:asciiTheme="minorHAnsi" w:hAnsiTheme="minorHAnsi" w:cstheme="minorHAnsi"/>
                <w:color w:val="333333"/>
                <w:szCs w:val="22"/>
                <w:lang w:val="en"/>
              </w:rPr>
              <w:t>Replacing windows and new entrance doors. PP granted 4/9/2007.</w:t>
            </w:r>
          </w:p>
          <w:p w14:paraId="15F719AB" w14:textId="77777777" w:rsidR="006646B5" w:rsidRDefault="006646B5" w:rsidP="00454754">
            <w:pPr>
              <w:pStyle w:val="PLANNING"/>
              <w:rPr>
                <w:rFonts w:ascii="Calibri" w:hAnsi="Calibri"/>
                <w:bCs/>
                <w:szCs w:val="22"/>
              </w:rPr>
            </w:pPr>
          </w:p>
          <w:p w14:paraId="466653C8" w14:textId="0E567274" w:rsidR="006646B5" w:rsidRPr="004524A9" w:rsidRDefault="006646B5" w:rsidP="00454754">
            <w:pPr>
              <w:pStyle w:val="PLANNING"/>
              <w:rPr>
                <w:rFonts w:asciiTheme="minorHAnsi" w:hAnsiTheme="minorHAnsi" w:cstheme="minorHAnsi"/>
                <w:bCs/>
                <w:szCs w:val="22"/>
              </w:rPr>
            </w:pPr>
            <w:r>
              <w:rPr>
                <w:rFonts w:ascii="Calibri" w:hAnsi="Calibri"/>
                <w:bCs/>
                <w:szCs w:val="22"/>
              </w:rPr>
              <w:t xml:space="preserve">3/2009/0280 – </w:t>
            </w:r>
            <w:r w:rsidR="004524A9" w:rsidRPr="004524A9">
              <w:rPr>
                <w:rFonts w:asciiTheme="minorHAnsi" w:hAnsiTheme="minorHAnsi" w:cstheme="minorHAnsi"/>
                <w:color w:val="333333"/>
                <w:szCs w:val="22"/>
                <w:lang w:val="en"/>
              </w:rPr>
              <w:t>Change of use of former furniture shop to become a stove and range cooker and fireplace retail showroom. PP granted 19/6/2009.</w:t>
            </w:r>
          </w:p>
          <w:p w14:paraId="6EEF035A" w14:textId="55DF3A67" w:rsidR="006646B5" w:rsidRPr="001946E0" w:rsidRDefault="006646B5" w:rsidP="00454754">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54522AA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F11BC86" w14:textId="3BFC640D" w:rsidR="00980B95" w:rsidRDefault="000D2198" w:rsidP="00454754">
            <w:pPr>
              <w:pStyle w:val="Header"/>
              <w:tabs>
                <w:tab w:val="clear" w:pos="4153"/>
                <w:tab w:val="clear" w:pos="8306"/>
              </w:tabs>
              <w:contextualSpacing/>
              <w:jc w:val="both"/>
              <w:rPr>
                <w:rFonts w:ascii="Calibri" w:hAnsi="Calibri"/>
                <w:bCs/>
                <w:szCs w:val="22"/>
              </w:rPr>
            </w:pPr>
            <w:r w:rsidRPr="000D2198">
              <w:rPr>
                <w:rFonts w:ascii="Calibri" w:hAnsi="Calibri"/>
                <w:bCs/>
                <w:szCs w:val="22"/>
              </w:rPr>
              <w:t xml:space="preserve">The </w:t>
            </w:r>
            <w:r w:rsidR="007D4CF9">
              <w:rPr>
                <w:rFonts w:ascii="Calibri" w:hAnsi="Calibri"/>
                <w:bCs/>
                <w:szCs w:val="22"/>
              </w:rPr>
              <w:t>site is prominent and close to the junction of the A59 and Mill Lane</w:t>
            </w:r>
            <w:r w:rsidR="00545A54">
              <w:rPr>
                <w:rFonts w:ascii="Calibri" w:hAnsi="Calibri"/>
                <w:bCs/>
                <w:szCs w:val="22"/>
              </w:rPr>
              <w:t xml:space="preserve"> (views</w:t>
            </w:r>
            <w:r w:rsidR="00950018">
              <w:rPr>
                <w:rFonts w:ascii="Calibri" w:hAnsi="Calibri"/>
                <w:bCs/>
                <w:szCs w:val="22"/>
              </w:rPr>
              <w:t xml:space="preserve"> eastwards</w:t>
            </w:r>
            <w:r w:rsidR="00545A54">
              <w:rPr>
                <w:rFonts w:ascii="Calibri" w:hAnsi="Calibri"/>
                <w:bCs/>
                <w:szCs w:val="22"/>
              </w:rPr>
              <w:t xml:space="preserve"> from the A59)</w:t>
            </w:r>
            <w:r w:rsidR="007D4CF9">
              <w:rPr>
                <w:rFonts w:ascii="Calibri" w:hAnsi="Calibri"/>
                <w:bCs/>
                <w:szCs w:val="22"/>
              </w:rPr>
              <w:t xml:space="preserve">. </w:t>
            </w:r>
            <w:r w:rsidR="00980B95">
              <w:rPr>
                <w:rFonts w:ascii="Calibri" w:hAnsi="Calibri"/>
                <w:bCs/>
                <w:szCs w:val="22"/>
              </w:rPr>
              <w:t xml:space="preserve">The site faces the Gisburn Auction Mart and is adjacent a stove/flue business; </w:t>
            </w:r>
            <w:proofErr w:type="gramStart"/>
            <w:r w:rsidR="00980B95">
              <w:rPr>
                <w:rFonts w:ascii="Calibri" w:hAnsi="Calibri"/>
                <w:bCs/>
                <w:szCs w:val="22"/>
              </w:rPr>
              <w:t>otherwise</w:t>
            </w:r>
            <w:proofErr w:type="gramEnd"/>
            <w:r w:rsidR="00980B95">
              <w:rPr>
                <w:rFonts w:ascii="Calibri" w:hAnsi="Calibri"/>
                <w:bCs/>
                <w:szCs w:val="22"/>
              </w:rPr>
              <w:t xml:space="preserve"> it is adjoined by residential properties.</w:t>
            </w:r>
            <w:r w:rsidR="00F3380C">
              <w:rPr>
                <w:rFonts w:ascii="Calibri" w:hAnsi="Calibri"/>
                <w:bCs/>
                <w:szCs w:val="22"/>
              </w:rPr>
              <w:t xml:space="preserve"> The application form identifies existing </w:t>
            </w:r>
            <w:proofErr w:type="gramStart"/>
            <w:r w:rsidR="00F3380C">
              <w:rPr>
                <w:rFonts w:ascii="Calibri" w:hAnsi="Calibri"/>
                <w:bCs/>
                <w:szCs w:val="22"/>
              </w:rPr>
              <w:t>use  as</w:t>
            </w:r>
            <w:proofErr w:type="gramEnd"/>
            <w:r w:rsidR="00F3380C">
              <w:rPr>
                <w:rFonts w:ascii="Calibri" w:hAnsi="Calibri"/>
                <w:bCs/>
                <w:szCs w:val="22"/>
              </w:rPr>
              <w:t xml:space="preserve"> ‘vacant site’.</w:t>
            </w:r>
          </w:p>
          <w:p w14:paraId="7064E9F3" w14:textId="77777777" w:rsidR="00980B95" w:rsidRDefault="00980B95" w:rsidP="00454754">
            <w:pPr>
              <w:pStyle w:val="Header"/>
              <w:tabs>
                <w:tab w:val="clear" w:pos="4153"/>
                <w:tab w:val="clear" w:pos="8306"/>
              </w:tabs>
              <w:contextualSpacing/>
              <w:jc w:val="both"/>
              <w:rPr>
                <w:rFonts w:ascii="Calibri" w:hAnsi="Calibri"/>
                <w:bCs/>
                <w:szCs w:val="22"/>
              </w:rPr>
            </w:pPr>
          </w:p>
          <w:p w14:paraId="61BB88CA" w14:textId="77777777" w:rsidR="000D2198" w:rsidRDefault="007D4CF9" w:rsidP="00454754">
            <w:pPr>
              <w:pStyle w:val="Header"/>
              <w:tabs>
                <w:tab w:val="clear" w:pos="4153"/>
                <w:tab w:val="clear" w:pos="8306"/>
              </w:tabs>
              <w:contextualSpacing/>
              <w:jc w:val="both"/>
              <w:rPr>
                <w:rFonts w:ascii="Calibri" w:hAnsi="Calibri"/>
                <w:bCs/>
                <w:szCs w:val="22"/>
              </w:rPr>
            </w:pPr>
            <w:r>
              <w:rPr>
                <w:rFonts w:ascii="Calibri" w:hAnsi="Calibri"/>
                <w:bCs/>
                <w:szCs w:val="22"/>
              </w:rPr>
              <w:t>The boundary of the Gisburn Conservation Area runs to the east and south (rear of Park Mews; rear of Pimlico Barn).</w:t>
            </w:r>
            <w:r w:rsidR="000D2198" w:rsidRPr="000D2198">
              <w:rPr>
                <w:rFonts w:ascii="Calibri" w:hAnsi="Calibri"/>
                <w:bCs/>
                <w:szCs w:val="22"/>
              </w:rPr>
              <w:t xml:space="preserve"> </w:t>
            </w:r>
          </w:p>
          <w:p w14:paraId="0C6ED44C" w14:textId="77777777" w:rsidR="0088720D" w:rsidRDefault="0088720D" w:rsidP="00454754">
            <w:pPr>
              <w:pStyle w:val="Header"/>
              <w:tabs>
                <w:tab w:val="clear" w:pos="4153"/>
                <w:tab w:val="clear" w:pos="8306"/>
              </w:tabs>
              <w:contextualSpacing/>
              <w:jc w:val="both"/>
              <w:rPr>
                <w:rFonts w:ascii="Calibri" w:hAnsi="Calibri"/>
                <w:bCs/>
                <w:szCs w:val="22"/>
              </w:rPr>
            </w:pPr>
          </w:p>
          <w:p w14:paraId="0E21B372" w14:textId="1BF2C7F8" w:rsidR="0088720D" w:rsidRDefault="0088720D" w:rsidP="00454754">
            <w:pPr>
              <w:pStyle w:val="Header"/>
              <w:tabs>
                <w:tab w:val="clear" w:pos="4153"/>
                <w:tab w:val="clear" w:pos="8306"/>
              </w:tabs>
              <w:contextualSpacing/>
              <w:jc w:val="both"/>
              <w:rPr>
                <w:rFonts w:ascii="Calibri" w:hAnsi="Calibri"/>
                <w:bCs/>
                <w:szCs w:val="22"/>
              </w:rPr>
            </w:pPr>
            <w:r>
              <w:rPr>
                <w:rFonts w:ascii="Calibri" w:hAnsi="Calibri"/>
                <w:bCs/>
                <w:szCs w:val="22"/>
              </w:rPr>
              <w:t>The site is within the immediate setting of ‘Pimlico House’</w:t>
            </w:r>
            <w:r w:rsidR="005015C7">
              <w:rPr>
                <w:rFonts w:ascii="Calibri" w:hAnsi="Calibri"/>
                <w:bCs/>
                <w:szCs w:val="22"/>
              </w:rPr>
              <w:t xml:space="preserve"> and</w:t>
            </w:r>
            <w:r>
              <w:rPr>
                <w:rFonts w:ascii="Calibri" w:hAnsi="Calibri"/>
                <w:bCs/>
                <w:szCs w:val="22"/>
              </w:rPr>
              <w:t xml:space="preserve"> ‘Barn adjoining to east of Pimlico House’</w:t>
            </w:r>
            <w:r w:rsidR="005015C7">
              <w:rPr>
                <w:rFonts w:ascii="Calibri" w:hAnsi="Calibri"/>
                <w:bCs/>
                <w:szCs w:val="22"/>
              </w:rPr>
              <w:t>. It is also within the setting of</w:t>
            </w:r>
            <w:r>
              <w:rPr>
                <w:rFonts w:ascii="Calibri" w:hAnsi="Calibri"/>
                <w:bCs/>
                <w:szCs w:val="22"/>
              </w:rPr>
              <w:t xml:space="preserve"> ‘1 Park Road’ and ‘The Dower House’ (all Grade II listed).</w:t>
            </w:r>
          </w:p>
          <w:p w14:paraId="07F78A05" w14:textId="3E76882E" w:rsidR="00761180" w:rsidRDefault="00761180" w:rsidP="00454754">
            <w:pPr>
              <w:pStyle w:val="Header"/>
              <w:tabs>
                <w:tab w:val="clear" w:pos="4153"/>
                <w:tab w:val="clear" w:pos="8306"/>
              </w:tabs>
              <w:contextualSpacing/>
              <w:jc w:val="both"/>
              <w:rPr>
                <w:rFonts w:ascii="Calibri" w:hAnsi="Calibri"/>
                <w:bCs/>
                <w:szCs w:val="22"/>
              </w:rPr>
            </w:pPr>
          </w:p>
          <w:p w14:paraId="41B1B43B" w14:textId="77777777" w:rsidR="00FA46AF" w:rsidRDefault="00FA46AF" w:rsidP="00454754">
            <w:pPr>
              <w:pStyle w:val="Header"/>
              <w:tabs>
                <w:tab w:val="clear" w:pos="4153"/>
                <w:tab w:val="clear" w:pos="8306"/>
              </w:tabs>
              <w:contextualSpacing/>
              <w:jc w:val="both"/>
              <w:rPr>
                <w:rFonts w:ascii="Calibri" w:hAnsi="Calibri"/>
                <w:bCs/>
                <w:szCs w:val="22"/>
              </w:rPr>
            </w:pPr>
          </w:p>
          <w:p w14:paraId="06273090" w14:textId="287EAFEC" w:rsidR="008A2924" w:rsidRDefault="008A2924" w:rsidP="00454754">
            <w:pPr>
              <w:pStyle w:val="Header"/>
              <w:tabs>
                <w:tab w:val="clear" w:pos="4153"/>
                <w:tab w:val="clear" w:pos="8306"/>
              </w:tabs>
              <w:contextualSpacing/>
              <w:jc w:val="both"/>
              <w:rPr>
                <w:rFonts w:ascii="Calibri" w:hAnsi="Calibri"/>
                <w:bCs/>
                <w:szCs w:val="22"/>
              </w:rPr>
            </w:pPr>
          </w:p>
          <w:p w14:paraId="6EDEDD1A" w14:textId="59369A05" w:rsidR="008A2924" w:rsidRPr="00C64774" w:rsidRDefault="008A2924" w:rsidP="005015C7">
            <w:pPr>
              <w:pStyle w:val="Default"/>
              <w:rPr>
                <w:rFonts w:asciiTheme="minorHAnsi" w:hAnsiTheme="minorHAnsi" w:cstheme="minorHAnsi"/>
                <w:sz w:val="22"/>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AE753D2" w14:textId="50A1FE7A" w:rsidR="00454754" w:rsidRDefault="007919CA" w:rsidP="00454754">
            <w:pPr>
              <w:pStyle w:val="Header"/>
              <w:tabs>
                <w:tab w:val="clear" w:pos="4153"/>
                <w:tab w:val="clear" w:pos="8306"/>
              </w:tabs>
              <w:jc w:val="both"/>
              <w:rPr>
                <w:rFonts w:ascii="Calibri" w:hAnsi="Calibri"/>
                <w:b/>
                <w:bCs/>
                <w:szCs w:val="22"/>
              </w:rPr>
            </w:pPr>
            <w:r w:rsidRPr="007919CA">
              <w:rPr>
                <w:rFonts w:ascii="Calibri" w:hAnsi="Calibri"/>
                <w:b/>
                <w:bCs/>
                <w:szCs w:val="22"/>
              </w:rPr>
              <w:lastRenderedPageBreak/>
              <w:t>Proposed development:</w:t>
            </w:r>
          </w:p>
          <w:p w14:paraId="71AC7917" w14:textId="00AE6158" w:rsidR="007919CA" w:rsidRDefault="007919CA" w:rsidP="00454754">
            <w:pPr>
              <w:pStyle w:val="Header"/>
              <w:tabs>
                <w:tab w:val="clear" w:pos="4153"/>
                <w:tab w:val="clear" w:pos="8306"/>
              </w:tabs>
              <w:jc w:val="both"/>
              <w:rPr>
                <w:rFonts w:ascii="Calibri" w:hAnsi="Calibri"/>
                <w:b/>
                <w:bCs/>
                <w:szCs w:val="22"/>
              </w:rPr>
            </w:pPr>
          </w:p>
          <w:p w14:paraId="3CD9155B" w14:textId="045AC22C" w:rsidR="007919CA" w:rsidRDefault="007919CA" w:rsidP="00454754">
            <w:pPr>
              <w:pStyle w:val="Header"/>
              <w:tabs>
                <w:tab w:val="clear" w:pos="4153"/>
                <w:tab w:val="clear" w:pos="8306"/>
              </w:tabs>
              <w:jc w:val="both"/>
              <w:rPr>
                <w:rFonts w:ascii="Calibri" w:hAnsi="Calibri"/>
                <w:szCs w:val="22"/>
              </w:rPr>
            </w:pPr>
            <w:r w:rsidRPr="007919CA">
              <w:rPr>
                <w:rFonts w:ascii="Calibri" w:hAnsi="Calibri"/>
                <w:szCs w:val="22"/>
              </w:rPr>
              <w:t xml:space="preserve">Planning permission is sought for a proposed </w:t>
            </w:r>
            <w:r>
              <w:rPr>
                <w:rFonts w:ascii="Calibri" w:hAnsi="Calibri"/>
                <w:szCs w:val="22"/>
              </w:rPr>
              <w:t xml:space="preserve">B2 (General industrial) </w:t>
            </w:r>
            <w:r w:rsidRPr="007919CA">
              <w:rPr>
                <w:rFonts w:ascii="Calibri" w:hAnsi="Calibri"/>
                <w:szCs w:val="22"/>
              </w:rPr>
              <w:t>storage building 12.5m x 8.5m x 3m (eaves)/4.4m (ridge).</w:t>
            </w:r>
            <w:r>
              <w:rPr>
                <w:rFonts w:ascii="Calibri" w:hAnsi="Calibri"/>
                <w:szCs w:val="22"/>
              </w:rPr>
              <w:t xml:space="preserve"> Stone plinth, metal profile sheets (walls and roof) and rooflights.</w:t>
            </w:r>
            <w:r w:rsidR="00C64774">
              <w:rPr>
                <w:rFonts w:ascii="Calibri" w:hAnsi="Calibri"/>
                <w:szCs w:val="22"/>
              </w:rPr>
              <w:t xml:space="preserve"> Hours of operation not specified. Proposed employment not specified.</w:t>
            </w:r>
          </w:p>
          <w:p w14:paraId="28D7C23D" w14:textId="78437719" w:rsidR="008657C9" w:rsidRDefault="008657C9" w:rsidP="00454754">
            <w:pPr>
              <w:pStyle w:val="Header"/>
              <w:tabs>
                <w:tab w:val="clear" w:pos="4153"/>
                <w:tab w:val="clear" w:pos="8306"/>
              </w:tabs>
              <w:jc w:val="both"/>
              <w:rPr>
                <w:rFonts w:ascii="Calibri" w:hAnsi="Calibri"/>
                <w:szCs w:val="22"/>
              </w:rPr>
            </w:pPr>
          </w:p>
          <w:p w14:paraId="4F3CEB39" w14:textId="553FFF47" w:rsidR="008657C9" w:rsidRPr="007919CA" w:rsidRDefault="008657C9" w:rsidP="00454754">
            <w:pPr>
              <w:pStyle w:val="Header"/>
              <w:tabs>
                <w:tab w:val="clear" w:pos="4153"/>
                <w:tab w:val="clear" w:pos="8306"/>
              </w:tabs>
              <w:jc w:val="both"/>
              <w:rPr>
                <w:rFonts w:ascii="Calibri" w:hAnsi="Calibri"/>
                <w:szCs w:val="22"/>
              </w:rPr>
            </w:pPr>
            <w:r>
              <w:rPr>
                <w:rFonts w:ascii="Calibri" w:hAnsi="Calibri"/>
                <w:szCs w:val="22"/>
              </w:rPr>
              <w:t xml:space="preserve">The agent provided additional comments on </w:t>
            </w:r>
            <w:r w:rsidR="00263F3A">
              <w:rPr>
                <w:rFonts w:ascii="Calibri" w:hAnsi="Calibri"/>
                <w:szCs w:val="22"/>
              </w:rPr>
              <w:t>13/10/2021.</w:t>
            </w:r>
          </w:p>
          <w:p w14:paraId="010B1F22" w14:textId="0C9FD8C8" w:rsidR="00B72BE4" w:rsidRPr="00F012FA" w:rsidRDefault="00B72BE4" w:rsidP="00761180">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1190D9B1" w:rsidR="006D7624" w:rsidRDefault="00B72BE4" w:rsidP="006D7624">
            <w:pPr>
              <w:pStyle w:val="Header"/>
              <w:jc w:val="both"/>
              <w:rPr>
                <w:rFonts w:ascii="Calibri" w:hAnsi="Calibri"/>
                <w:b/>
                <w:szCs w:val="22"/>
              </w:rPr>
            </w:pPr>
            <w:r>
              <w:rPr>
                <w:rFonts w:ascii="Calibri" w:hAnsi="Calibri"/>
                <w:b/>
                <w:szCs w:val="22"/>
              </w:rPr>
              <w:t>Impact upon the character and appearance of Gisburn Conservation Area</w:t>
            </w:r>
            <w:r w:rsidR="00FB4394">
              <w:rPr>
                <w:rFonts w:ascii="Calibri" w:hAnsi="Calibri"/>
                <w:b/>
                <w:szCs w:val="22"/>
              </w:rPr>
              <w:t xml:space="preserve"> (including setting and views in/out)</w:t>
            </w:r>
            <w:r>
              <w:rPr>
                <w:rFonts w:ascii="Calibri" w:hAnsi="Calibri"/>
                <w:b/>
                <w:szCs w:val="22"/>
              </w:rPr>
              <w:t xml:space="preserve"> and the setting of listed buildings</w:t>
            </w:r>
            <w:r w:rsidR="006D7624" w:rsidRPr="006D7624">
              <w:rPr>
                <w:rFonts w:ascii="Calibri" w:hAnsi="Calibri"/>
                <w:b/>
                <w:szCs w:val="22"/>
              </w:rPr>
              <w:t>:</w:t>
            </w:r>
          </w:p>
          <w:p w14:paraId="7CFC15F7" w14:textId="6DE3AD8C" w:rsidR="00761180" w:rsidRDefault="00761180" w:rsidP="006D7624">
            <w:pPr>
              <w:pStyle w:val="Header"/>
              <w:jc w:val="both"/>
              <w:rPr>
                <w:rFonts w:ascii="Calibri" w:hAnsi="Calibri"/>
                <w:b/>
                <w:szCs w:val="22"/>
              </w:rPr>
            </w:pPr>
          </w:p>
          <w:p w14:paraId="45C7BC8F" w14:textId="49F26CB3" w:rsidR="004D5E7A" w:rsidRDefault="00E50240" w:rsidP="003118F3">
            <w:pPr>
              <w:pStyle w:val="Header"/>
              <w:jc w:val="both"/>
              <w:rPr>
                <w:rFonts w:asciiTheme="minorHAnsi" w:hAnsiTheme="minorHAnsi" w:cstheme="minorHAnsi"/>
                <w:szCs w:val="22"/>
              </w:rPr>
            </w:pPr>
            <w:r w:rsidRPr="00E50240">
              <w:rPr>
                <w:rFonts w:ascii="Calibri" w:hAnsi="Calibri"/>
                <w:bCs/>
                <w:szCs w:val="22"/>
              </w:rPr>
              <w:t xml:space="preserve">The proposed building is incongruous and conspicuous and harmful to the setting (and views into) of Gisburn Conservation Area and the setting of listed buildings </w:t>
            </w:r>
            <w:r w:rsidR="00026C1C">
              <w:rPr>
                <w:rFonts w:ascii="Calibri" w:hAnsi="Calibri"/>
                <w:bCs/>
                <w:szCs w:val="22"/>
              </w:rPr>
              <w:t xml:space="preserve">(‘Pimlico House’ and ‘Barn adjoining to east of Pimlico House’) </w:t>
            </w:r>
            <w:r w:rsidRPr="00E50240">
              <w:rPr>
                <w:rFonts w:ascii="Calibri" w:hAnsi="Calibri"/>
                <w:bCs/>
                <w:szCs w:val="22"/>
              </w:rPr>
              <w:t xml:space="preserve">because of its </w:t>
            </w:r>
            <w:r>
              <w:rPr>
                <w:rFonts w:ascii="Calibri" w:hAnsi="Calibri"/>
                <w:bCs/>
                <w:szCs w:val="22"/>
              </w:rPr>
              <w:t xml:space="preserve">overtly modern and utilitarian </w:t>
            </w:r>
            <w:r w:rsidRPr="00E50240">
              <w:rPr>
                <w:rFonts w:ascii="Calibri" w:hAnsi="Calibri"/>
                <w:bCs/>
                <w:szCs w:val="22"/>
              </w:rPr>
              <w:t>form and materials.</w:t>
            </w:r>
            <w:r>
              <w:rPr>
                <w:rFonts w:ascii="Calibri" w:hAnsi="Calibri"/>
                <w:bCs/>
                <w:szCs w:val="22"/>
              </w:rPr>
              <w:t xml:space="preserve"> The Gisburn Conservation Area Appraisal identifies </w:t>
            </w:r>
            <w:proofErr w:type="gramStart"/>
            <w:r>
              <w:rPr>
                <w:rFonts w:ascii="Calibri" w:hAnsi="Calibri"/>
                <w:bCs/>
                <w:szCs w:val="22"/>
              </w:rPr>
              <w:t>that buildings</w:t>
            </w:r>
            <w:proofErr w:type="gramEnd"/>
            <w:r>
              <w:rPr>
                <w:rFonts w:ascii="Calibri" w:hAnsi="Calibri"/>
                <w:bCs/>
                <w:szCs w:val="22"/>
              </w:rPr>
              <w:t xml:space="preserve"> are “</w:t>
            </w:r>
            <w:r w:rsidRPr="008A2924">
              <w:rPr>
                <w:rFonts w:asciiTheme="minorHAnsi" w:hAnsiTheme="minorHAnsi" w:cstheme="minorHAnsi"/>
                <w:szCs w:val="22"/>
              </w:rPr>
              <w:t xml:space="preserve">relatively modest and conservative, </w:t>
            </w:r>
            <w:r>
              <w:rPr>
                <w:rFonts w:asciiTheme="minorHAnsi" w:hAnsiTheme="minorHAnsi" w:cstheme="minorHAnsi"/>
                <w:szCs w:val="22"/>
              </w:rPr>
              <w:t xml:space="preserve">but </w:t>
            </w:r>
            <w:r w:rsidRPr="008A2924">
              <w:rPr>
                <w:rFonts w:asciiTheme="minorHAnsi" w:hAnsiTheme="minorHAnsi" w:cstheme="minorHAnsi"/>
                <w:szCs w:val="22"/>
              </w:rPr>
              <w:t>attractive because of the homogeneity of the stone walls and roofs all built from local stone with boundary walls, front steps and cobbles</w:t>
            </w:r>
            <w:r>
              <w:rPr>
                <w:rFonts w:asciiTheme="minorHAnsi" w:hAnsiTheme="minorHAnsi" w:cstheme="minorHAnsi"/>
                <w:szCs w:val="22"/>
              </w:rPr>
              <w:t xml:space="preserve">”. </w:t>
            </w:r>
          </w:p>
          <w:p w14:paraId="1106BB36" w14:textId="77777777" w:rsidR="004D5E7A" w:rsidRDefault="004D5E7A" w:rsidP="003118F3">
            <w:pPr>
              <w:pStyle w:val="Header"/>
              <w:jc w:val="both"/>
              <w:rPr>
                <w:rFonts w:asciiTheme="minorHAnsi" w:hAnsiTheme="minorHAnsi" w:cstheme="minorHAnsi"/>
                <w:szCs w:val="22"/>
              </w:rPr>
            </w:pPr>
          </w:p>
          <w:p w14:paraId="09367BEF" w14:textId="727EE6F9" w:rsidR="003118F3" w:rsidRDefault="00E50240" w:rsidP="003118F3">
            <w:pPr>
              <w:pStyle w:val="Header"/>
              <w:jc w:val="both"/>
              <w:rPr>
                <w:rFonts w:asciiTheme="minorHAnsi" w:hAnsiTheme="minorHAnsi" w:cstheme="minorHAnsi"/>
                <w:szCs w:val="22"/>
                <w:lang w:val="en-US" w:eastAsia="en-GB"/>
              </w:rPr>
            </w:pPr>
            <w:r w:rsidRPr="003118F3">
              <w:rPr>
                <w:rFonts w:asciiTheme="minorHAnsi" w:hAnsiTheme="minorHAnsi" w:cstheme="minorHAnsi"/>
                <w:szCs w:val="22"/>
              </w:rPr>
              <w:t xml:space="preserve">This is contrary to Policy DME4 </w:t>
            </w:r>
            <w:r w:rsidR="003118F3" w:rsidRPr="003118F3">
              <w:rPr>
                <w:rFonts w:asciiTheme="minorHAnsi" w:hAnsiTheme="minorHAnsi" w:cstheme="minorHAnsi"/>
                <w:szCs w:val="22"/>
              </w:rPr>
              <w:t>and DMG1. In respect to the later, t</w:t>
            </w:r>
            <w:r w:rsidRPr="003118F3">
              <w:rPr>
                <w:rFonts w:asciiTheme="minorHAnsi" w:eastAsiaTheme="minorHAnsi" w:hAnsiTheme="minorHAnsi" w:cstheme="minorHAnsi"/>
                <w:szCs w:val="22"/>
              </w:rPr>
              <w:t>he most relevant Building in Context Principles are:</w:t>
            </w:r>
            <w:r w:rsidR="003118F3">
              <w:rPr>
                <w:rFonts w:asciiTheme="minorHAnsi" w:eastAsiaTheme="minorHAnsi" w:hAnsiTheme="minorHAnsi" w:cstheme="minorHAnsi"/>
                <w:szCs w:val="22"/>
              </w:rPr>
              <w:t xml:space="preserve"> </w:t>
            </w:r>
            <w:r w:rsidR="003118F3" w:rsidRPr="003118F3">
              <w:rPr>
                <w:rFonts w:asciiTheme="minorHAnsi" w:hAnsiTheme="minorHAnsi" w:cstheme="minorHAnsi"/>
                <w:szCs w:val="22"/>
                <w:lang w:val="en-US" w:eastAsia="en-GB"/>
              </w:rPr>
              <w:t>Principle 2</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A successful project will relate to the geography and history of the place and lie of the land</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Principle 3</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A successful project will be informed by its own significance so that its character and identity will be appropriate to its use and context</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Principle 5</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A successful project will respect important views</w:t>
            </w:r>
            <w:r w:rsidR="003118F3">
              <w:rPr>
                <w:rFonts w:asciiTheme="minorHAnsi" w:hAnsiTheme="minorHAnsi" w:cstheme="minorHAnsi"/>
                <w:szCs w:val="22"/>
                <w:lang w:val="en-US" w:eastAsia="en-GB"/>
              </w:rPr>
              <w:t xml:space="preserve">) and </w:t>
            </w:r>
            <w:r w:rsidR="003118F3" w:rsidRPr="003118F3">
              <w:rPr>
                <w:rFonts w:asciiTheme="minorHAnsi" w:hAnsiTheme="minorHAnsi" w:cstheme="minorHAnsi"/>
                <w:szCs w:val="22"/>
                <w:lang w:val="en-US" w:eastAsia="en-GB"/>
              </w:rPr>
              <w:t>Principle 7</w:t>
            </w:r>
            <w:r w:rsidR="003118F3">
              <w:rPr>
                <w:rFonts w:asciiTheme="minorHAnsi" w:hAnsiTheme="minorHAnsi" w:cstheme="minorHAnsi"/>
                <w:szCs w:val="22"/>
                <w:lang w:val="en-US" w:eastAsia="en-GB"/>
              </w:rPr>
              <w:t xml:space="preserve"> (</w:t>
            </w:r>
            <w:r w:rsidR="003118F3" w:rsidRPr="003118F3">
              <w:rPr>
                <w:rFonts w:asciiTheme="minorHAnsi" w:hAnsiTheme="minorHAnsi" w:cstheme="minorHAnsi"/>
                <w:szCs w:val="22"/>
                <w:lang w:val="en-US" w:eastAsia="en-GB"/>
              </w:rPr>
              <w:t>A successful project will use materials and building methods which are as high quality as those used in existing buildings</w:t>
            </w:r>
            <w:r w:rsidR="003118F3">
              <w:rPr>
                <w:rFonts w:asciiTheme="minorHAnsi" w:hAnsiTheme="minorHAnsi" w:cstheme="minorHAnsi"/>
                <w:szCs w:val="22"/>
                <w:lang w:val="en-US" w:eastAsia="en-GB"/>
              </w:rPr>
              <w:t>).</w:t>
            </w:r>
            <w:r w:rsidR="004D5E7A" w:rsidRPr="005074F6">
              <w:rPr>
                <w:rFonts w:cs="Arial"/>
                <w:szCs w:val="22"/>
                <w:lang w:val="en-US" w:eastAsia="en-GB"/>
              </w:rPr>
              <w:t xml:space="preserve"> </w:t>
            </w:r>
            <w:r w:rsidR="004D5E7A" w:rsidRPr="004D5E7A">
              <w:rPr>
                <w:rFonts w:asciiTheme="minorHAnsi" w:hAnsiTheme="minorHAnsi" w:cstheme="minorHAnsi"/>
                <w:szCs w:val="22"/>
                <w:lang w:val="en-US" w:eastAsia="en-GB"/>
              </w:rPr>
              <w:t>The National Design Guide (2021) is particularly relevant at C1 and C2.</w:t>
            </w:r>
          </w:p>
          <w:p w14:paraId="096FC21E" w14:textId="1F769C7E" w:rsidR="00C64774" w:rsidRDefault="00C64774" w:rsidP="003118F3">
            <w:pPr>
              <w:pStyle w:val="Header"/>
              <w:jc w:val="both"/>
              <w:rPr>
                <w:rFonts w:asciiTheme="minorHAnsi" w:hAnsiTheme="minorHAnsi" w:cstheme="minorHAnsi"/>
                <w:szCs w:val="22"/>
                <w:lang w:val="en-US" w:eastAsia="en-GB"/>
              </w:rPr>
            </w:pPr>
          </w:p>
          <w:p w14:paraId="245E4BF7" w14:textId="5F8E90D9" w:rsidR="00C64774" w:rsidRDefault="00C64774" w:rsidP="00C64774">
            <w:pPr>
              <w:contextualSpacing/>
              <w:jc w:val="both"/>
              <w:rPr>
                <w:rFonts w:asciiTheme="minorHAnsi" w:hAnsiTheme="minorHAnsi" w:cstheme="minorHAnsi"/>
                <w:color w:val="000000"/>
                <w:szCs w:val="22"/>
                <w:lang w:eastAsia="en-GB"/>
              </w:rPr>
            </w:pPr>
            <w:r w:rsidRPr="00C64774">
              <w:rPr>
                <w:rFonts w:asciiTheme="minorHAnsi" w:hAnsiTheme="minorHAnsi" w:cstheme="minorHAnsi"/>
                <w:color w:val="000000"/>
                <w:szCs w:val="22"/>
                <w:lang w:eastAsia="en-GB"/>
              </w:rPr>
              <w:t xml:space="preserve">NPPG states that “substantial harm is a high test, so it may not arise in many cases”. The proposals are potentially reversible, do not result in the loss of historic fabric and are of ‘less than substantial harm to the conservation area and the setting of listed buildings. </w:t>
            </w:r>
          </w:p>
          <w:p w14:paraId="7B57CD63" w14:textId="726F5921" w:rsidR="00C64774" w:rsidRDefault="00C64774" w:rsidP="00C64774">
            <w:pPr>
              <w:contextualSpacing/>
              <w:jc w:val="both"/>
              <w:rPr>
                <w:rFonts w:asciiTheme="minorHAnsi" w:hAnsiTheme="minorHAnsi" w:cstheme="minorHAnsi"/>
                <w:szCs w:val="22"/>
              </w:rPr>
            </w:pPr>
          </w:p>
          <w:p w14:paraId="34BB4518" w14:textId="5F064DEC" w:rsidR="00C64774" w:rsidRPr="00C64774" w:rsidRDefault="00C64774" w:rsidP="00C64774">
            <w:pPr>
              <w:contextualSpacing/>
              <w:jc w:val="both"/>
              <w:rPr>
                <w:rFonts w:asciiTheme="minorHAnsi" w:eastAsiaTheme="minorHAnsi" w:hAnsiTheme="minorHAnsi" w:cstheme="minorHAnsi"/>
                <w:szCs w:val="22"/>
              </w:rPr>
            </w:pPr>
            <w:r w:rsidRPr="00C64774">
              <w:rPr>
                <w:rFonts w:asciiTheme="minorHAnsi" w:hAnsiTheme="minorHAnsi" w:cstheme="minorHAnsi"/>
                <w:szCs w:val="22"/>
              </w:rPr>
              <w:t>NPPF paragraph 202 requires that ‘less than substantial’ harm be weighed against any public benefits of proposals</w:t>
            </w:r>
            <w:r>
              <w:rPr>
                <w:rFonts w:asciiTheme="minorHAnsi" w:hAnsiTheme="minorHAnsi" w:cstheme="minorHAnsi"/>
                <w:szCs w:val="22"/>
              </w:rPr>
              <w:t xml:space="preserve">. </w:t>
            </w:r>
            <w:r w:rsidR="00F1733A">
              <w:rPr>
                <w:rFonts w:asciiTheme="minorHAnsi" w:hAnsiTheme="minorHAnsi" w:cstheme="minorHAnsi"/>
                <w:szCs w:val="22"/>
              </w:rPr>
              <w:t xml:space="preserve">No new (or retained) employment is suggested. Construction employment does not outweigh the harm to the character and appearance of the conservation area or the setting of listed buildings. </w:t>
            </w:r>
          </w:p>
          <w:p w14:paraId="0E18B1D0" w14:textId="77777777" w:rsidR="003118F3" w:rsidRPr="00C64774" w:rsidRDefault="003118F3" w:rsidP="003118F3">
            <w:pPr>
              <w:pStyle w:val="Header"/>
              <w:jc w:val="both"/>
              <w:rPr>
                <w:rFonts w:asciiTheme="minorHAnsi" w:hAnsiTheme="minorHAnsi" w:cstheme="minorHAnsi"/>
                <w:b/>
                <w:szCs w:val="22"/>
              </w:rPr>
            </w:pPr>
          </w:p>
          <w:p w14:paraId="75A72A38" w14:textId="77777777" w:rsidR="00761180" w:rsidRPr="00B72BE4" w:rsidRDefault="00761180" w:rsidP="00761180">
            <w:pPr>
              <w:pStyle w:val="Header"/>
              <w:tabs>
                <w:tab w:val="clear" w:pos="4153"/>
                <w:tab w:val="clear" w:pos="8306"/>
              </w:tabs>
              <w:jc w:val="both"/>
              <w:rPr>
                <w:rFonts w:ascii="Calibri" w:hAnsi="Calibri"/>
                <w:b/>
                <w:bCs/>
                <w:szCs w:val="22"/>
              </w:rPr>
            </w:pPr>
            <w:r w:rsidRPr="00B72BE4">
              <w:rPr>
                <w:rFonts w:ascii="Calibri" w:hAnsi="Calibri"/>
                <w:b/>
                <w:bCs/>
                <w:szCs w:val="22"/>
              </w:rPr>
              <w:t>Land use:</w:t>
            </w:r>
          </w:p>
          <w:p w14:paraId="1631C44C" w14:textId="77777777" w:rsidR="00F3380C" w:rsidRDefault="00F3380C" w:rsidP="00F3380C">
            <w:pPr>
              <w:overflowPunct/>
              <w:textAlignment w:val="auto"/>
              <w:rPr>
                <w:rFonts w:asciiTheme="minorHAnsi" w:eastAsiaTheme="minorHAnsi" w:hAnsiTheme="minorHAnsi" w:cstheme="minorHAnsi"/>
                <w:szCs w:val="22"/>
              </w:rPr>
            </w:pPr>
            <w:r w:rsidRPr="00F3380C">
              <w:rPr>
                <w:rFonts w:ascii="Calibri" w:hAnsi="Calibri"/>
                <w:bCs/>
                <w:szCs w:val="22"/>
              </w:rPr>
              <w:t xml:space="preserve">Policy DMB1 identifies </w:t>
            </w:r>
            <w:proofErr w:type="gramStart"/>
            <w:r w:rsidRPr="00F3380C">
              <w:rPr>
                <w:rFonts w:ascii="Calibri" w:hAnsi="Calibri"/>
                <w:bCs/>
                <w:szCs w:val="22"/>
              </w:rPr>
              <w:t>that</w:t>
            </w:r>
            <w:r>
              <w:rPr>
                <w:rFonts w:ascii="Calibri" w:hAnsi="Calibri"/>
                <w:bCs/>
                <w:szCs w:val="22"/>
              </w:rPr>
              <w:t xml:space="preserve"> </w:t>
            </w:r>
            <w:r w:rsidRPr="00F3380C">
              <w:rPr>
                <w:rFonts w:asciiTheme="minorHAnsi" w:eastAsiaTheme="minorHAnsi" w:hAnsiTheme="minorHAnsi" w:cstheme="minorHAnsi"/>
                <w:szCs w:val="22"/>
              </w:rPr>
              <w:t>proposals</w:t>
            </w:r>
            <w:proofErr w:type="gramEnd"/>
            <w:r w:rsidRPr="00F3380C">
              <w:rPr>
                <w:rFonts w:asciiTheme="minorHAnsi" w:eastAsiaTheme="minorHAnsi" w:hAnsiTheme="minorHAnsi" w:cstheme="minorHAnsi"/>
                <w:szCs w:val="22"/>
              </w:rPr>
              <w:t xml:space="preserve"> that are intended to support business growth and the local economy will be</w:t>
            </w:r>
            <w:r>
              <w:rPr>
                <w:rFonts w:asciiTheme="minorHAnsi" w:eastAsiaTheme="minorHAnsi" w:hAnsiTheme="minorHAnsi" w:cstheme="minorHAnsi"/>
                <w:szCs w:val="22"/>
              </w:rPr>
              <w:t xml:space="preserve"> </w:t>
            </w:r>
            <w:r w:rsidRPr="00F3380C">
              <w:rPr>
                <w:rFonts w:asciiTheme="minorHAnsi" w:eastAsiaTheme="minorHAnsi" w:hAnsiTheme="minorHAnsi" w:cstheme="minorHAnsi"/>
                <w:szCs w:val="22"/>
              </w:rPr>
              <w:t>supported in principle</w:t>
            </w:r>
            <w:r>
              <w:rPr>
                <w:rFonts w:asciiTheme="minorHAnsi" w:eastAsiaTheme="minorHAnsi" w:hAnsiTheme="minorHAnsi" w:cstheme="minorHAnsi"/>
                <w:szCs w:val="22"/>
              </w:rPr>
              <w:t xml:space="preserve">. Key Statement EC1 identifies that business and employment development will be directed towards </w:t>
            </w:r>
            <w:r w:rsidRPr="00F3380C">
              <w:rPr>
                <w:rFonts w:asciiTheme="minorHAnsi" w:eastAsiaTheme="minorHAnsi" w:hAnsiTheme="minorHAnsi" w:cstheme="minorHAnsi"/>
                <w:szCs w:val="22"/>
              </w:rPr>
              <w:t>locations well related to the A59 corridor.</w:t>
            </w:r>
            <w:r>
              <w:rPr>
                <w:rFonts w:asciiTheme="minorHAnsi" w:eastAsiaTheme="minorHAnsi" w:hAnsiTheme="minorHAnsi" w:cstheme="minorHAnsi"/>
                <w:szCs w:val="22"/>
              </w:rPr>
              <w:t xml:space="preserve"> </w:t>
            </w:r>
          </w:p>
          <w:p w14:paraId="6CF01D70" w14:textId="77777777" w:rsidR="00F3380C" w:rsidRDefault="00F3380C" w:rsidP="00F3380C">
            <w:pPr>
              <w:overflowPunct/>
              <w:textAlignment w:val="auto"/>
              <w:rPr>
                <w:rFonts w:asciiTheme="minorHAnsi" w:eastAsiaTheme="minorHAnsi" w:hAnsiTheme="minorHAnsi" w:cstheme="minorHAnsi"/>
                <w:szCs w:val="22"/>
              </w:rPr>
            </w:pPr>
          </w:p>
          <w:p w14:paraId="3DC7C8C7" w14:textId="0E444AA4" w:rsidR="00761180" w:rsidRPr="00F3380C" w:rsidRDefault="00F3380C" w:rsidP="00F3380C">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However, Policy DMG1 requires proposals to </w:t>
            </w:r>
            <w:r w:rsidRPr="00F3380C">
              <w:rPr>
                <w:rFonts w:asciiTheme="minorHAnsi" w:eastAsiaTheme="minorHAnsi" w:hAnsiTheme="minorHAnsi" w:cstheme="minorHAnsi"/>
                <w:szCs w:val="22"/>
              </w:rPr>
              <w:t>not adversely affect the amenities of the surrounding area</w:t>
            </w:r>
            <w:r>
              <w:rPr>
                <w:rFonts w:asciiTheme="minorHAnsi" w:eastAsiaTheme="minorHAnsi" w:hAnsiTheme="minorHAnsi" w:cstheme="minorHAnsi"/>
                <w:szCs w:val="22"/>
              </w:rPr>
              <w:t>.</w:t>
            </w:r>
          </w:p>
          <w:p w14:paraId="28C82B5F" w14:textId="77777777" w:rsidR="00D102D9" w:rsidRDefault="00F3380C" w:rsidP="00454754">
            <w:pPr>
              <w:pStyle w:val="Header"/>
              <w:tabs>
                <w:tab w:val="clear" w:pos="4153"/>
                <w:tab w:val="clear" w:pos="8306"/>
              </w:tabs>
              <w:jc w:val="both"/>
              <w:rPr>
                <w:rFonts w:ascii="Calibri" w:hAnsi="Calibri"/>
                <w:szCs w:val="22"/>
              </w:rPr>
            </w:pPr>
            <w:r>
              <w:rPr>
                <w:rFonts w:ascii="Calibri" w:hAnsi="Calibri"/>
                <w:szCs w:val="22"/>
              </w:rPr>
              <w:t xml:space="preserve">The comments of RVBC Environmental Health suggest that the proposals </w:t>
            </w:r>
            <w:r w:rsidR="009657FC">
              <w:rPr>
                <w:rFonts w:ascii="Calibri" w:hAnsi="Calibri"/>
                <w:szCs w:val="22"/>
              </w:rPr>
              <w:t>have not satisfactorily</w:t>
            </w:r>
            <w:r>
              <w:rPr>
                <w:rFonts w:ascii="Calibri" w:hAnsi="Calibri"/>
                <w:szCs w:val="22"/>
              </w:rPr>
              <w:t xml:space="preserve"> address</w:t>
            </w:r>
            <w:r w:rsidR="009657FC">
              <w:rPr>
                <w:rFonts w:ascii="Calibri" w:hAnsi="Calibri"/>
                <w:szCs w:val="22"/>
              </w:rPr>
              <w:t>ed</w:t>
            </w:r>
            <w:r>
              <w:rPr>
                <w:rFonts w:ascii="Calibri" w:hAnsi="Calibri"/>
                <w:szCs w:val="22"/>
              </w:rPr>
              <w:t xml:space="preserve"> this issue </w:t>
            </w:r>
            <w:r w:rsidR="009657FC">
              <w:rPr>
                <w:rFonts w:ascii="Calibri" w:hAnsi="Calibri"/>
                <w:szCs w:val="22"/>
              </w:rPr>
              <w:t>(further information would have been requested should other matters have been acceptable).</w:t>
            </w:r>
          </w:p>
          <w:p w14:paraId="5ED46032" w14:textId="364C50E5" w:rsidR="00D24E6F" w:rsidRPr="006D7624" w:rsidRDefault="00D24E6F"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DB0CB95" w14:textId="73234B32" w:rsidR="00C6456D" w:rsidRDefault="005B1F41" w:rsidP="00454754">
            <w:pPr>
              <w:contextualSpacing/>
              <w:jc w:val="both"/>
              <w:rPr>
                <w:rFonts w:ascii="Calibri" w:hAnsi="Calibri"/>
                <w:szCs w:val="22"/>
              </w:rPr>
            </w:pPr>
            <w:r>
              <w:rPr>
                <w:rFonts w:ascii="Calibri" w:hAnsi="Calibri"/>
                <w:szCs w:val="22"/>
              </w:rPr>
              <w:t>The submitted plans are not clear</w:t>
            </w:r>
            <w:r w:rsidR="006871C0">
              <w:rPr>
                <w:rFonts w:ascii="Calibri" w:hAnsi="Calibri"/>
                <w:szCs w:val="22"/>
              </w:rPr>
              <w:t xml:space="preserve">. </w:t>
            </w:r>
            <w:r>
              <w:rPr>
                <w:rFonts w:ascii="Calibri" w:hAnsi="Calibri"/>
                <w:szCs w:val="22"/>
              </w:rPr>
              <w:t>Consideration to recent aerial photos suggest</w:t>
            </w:r>
            <w:r w:rsidR="006871C0">
              <w:rPr>
                <w:rFonts w:ascii="Calibri" w:hAnsi="Calibri"/>
                <w:szCs w:val="22"/>
              </w:rPr>
              <w:t>s</w:t>
            </w:r>
            <w:r>
              <w:rPr>
                <w:rFonts w:ascii="Calibri" w:hAnsi="Calibri"/>
                <w:szCs w:val="22"/>
              </w:rPr>
              <w:t xml:space="preserve"> that the proposal projects to the east as far as the most easterly point of the neighbour</w:t>
            </w:r>
            <w:r w:rsidR="006871C0">
              <w:rPr>
                <w:rFonts w:ascii="Calibri" w:hAnsi="Calibri"/>
                <w:szCs w:val="22"/>
              </w:rPr>
              <w:t>’</w:t>
            </w:r>
            <w:r>
              <w:rPr>
                <w:rFonts w:ascii="Calibri" w:hAnsi="Calibri"/>
                <w:szCs w:val="22"/>
              </w:rPr>
              <w:t>s conservatory.</w:t>
            </w:r>
            <w:r w:rsidR="006871C0">
              <w:rPr>
                <w:rFonts w:ascii="Calibri" w:hAnsi="Calibri"/>
                <w:szCs w:val="22"/>
              </w:rPr>
              <w:t xml:space="preserve"> The proximity of the 3m (eaves height) building to the south with a north elevation window results in unacceptable overshadowing, </w:t>
            </w:r>
            <w:proofErr w:type="gramStart"/>
            <w:r w:rsidR="006871C0">
              <w:rPr>
                <w:rFonts w:ascii="Calibri" w:hAnsi="Calibri"/>
                <w:szCs w:val="22"/>
              </w:rPr>
              <w:t>overbearing</w:t>
            </w:r>
            <w:proofErr w:type="gramEnd"/>
            <w:r w:rsidR="006871C0">
              <w:rPr>
                <w:rFonts w:ascii="Calibri" w:hAnsi="Calibri"/>
                <w:szCs w:val="22"/>
              </w:rPr>
              <w:t xml:space="preserve"> and overlooking effects to 1 Stable Close. </w:t>
            </w:r>
            <w:r>
              <w:rPr>
                <w:rFonts w:ascii="Calibri" w:hAnsi="Calibri"/>
                <w:szCs w:val="22"/>
              </w:rPr>
              <w:t xml:space="preserve"> </w:t>
            </w:r>
          </w:p>
          <w:p w14:paraId="28B25B16" w14:textId="6C55ABE8" w:rsidR="00C64774" w:rsidRPr="00D23470" w:rsidRDefault="00C64774" w:rsidP="00454754">
            <w:pPr>
              <w:contextualSpacing/>
              <w:jc w:val="both"/>
              <w:rPr>
                <w:rFonts w:ascii="Calibri" w:hAnsi="Calibri"/>
                <w:szCs w:val="22"/>
              </w:rPr>
            </w:pPr>
          </w:p>
        </w:tc>
      </w:tr>
      <w:tr w:rsidR="008C75E4" w:rsidRPr="008C75E4" w14:paraId="33039839" w14:textId="77777777" w:rsidTr="00504440">
        <w:trPr>
          <w:trHeight w:val="864"/>
          <w:jc w:val="center"/>
        </w:trPr>
        <w:tc>
          <w:tcPr>
            <w:tcW w:w="9555" w:type="dxa"/>
            <w:gridSpan w:val="14"/>
            <w:tcMar>
              <w:top w:w="57" w:type="dxa"/>
              <w:bottom w:w="57" w:type="dxa"/>
            </w:tcMar>
          </w:tcPr>
          <w:p w14:paraId="12273448" w14:textId="10A32940" w:rsidR="00B72BE4" w:rsidRDefault="00B72BE4" w:rsidP="00B72BE4">
            <w:pPr>
              <w:pStyle w:val="Header"/>
              <w:tabs>
                <w:tab w:val="clear" w:pos="4153"/>
                <w:tab w:val="clear" w:pos="8306"/>
              </w:tabs>
              <w:contextualSpacing/>
              <w:jc w:val="both"/>
              <w:rPr>
                <w:rFonts w:ascii="Calibri" w:hAnsi="Calibri"/>
                <w:b/>
                <w:szCs w:val="22"/>
              </w:rPr>
            </w:pPr>
            <w:r>
              <w:rPr>
                <w:rFonts w:ascii="Calibri" w:hAnsi="Calibri"/>
                <w:b/>
                <w:szCs w:val="22"/>
              </w:rPr>
              <w:t>Highways</w:t>
            </w:r>
            <w:r w:rsidR="005B1F41">
              <w:rPr>
                <w:rFonts w:ascii="Calibri" w:hAnsi="Calibri"/>
                <w:b/>
                <w:szCs w:val="22"/>
              </w:rPr>
              <w:t xml:space="preserve"> and access</w:t>
            </w:r>
            <w:r>
              <w:rPr>
                <w:rFonts w:ascii="Calibri" w:hAnsi="Calibri"/>
                <w:b/>
                <w:szCs w:val="22"/>
              </w:rPr>
              <w:t>:</w:t>
            </w:r>
          </w:p>
          <w:p w14:paraId="0E9CDE2A" w14:textId="6D2DE65A" w:rsidR="00C50517" w:rsidRPr="00545D8C" w:rsidRDefault="00812F07" w:rsidP="00B72BE4">
            <w:pPr>
              <w:contextualSpacing/>
              <w:jc w:val="both"/>
              <w:rPr>
                <w:rFonts w:ascii="Calibri" w:hAnsi="Calibri"/>
                <w:szCs w:val="22"/>
              </w:rPr>
            </w:pPr>
            <w:r>
              <w:rPr>
                <w:rFonts w:ascii="Calibri" w:hAnsi="Calibri"/>
                <w:szCs w:val="22"/>
              </w:rPr>
              <w:t xml:space="preserve">The comments of </w:t>
            </w:r>
            <w:r w:rsidR="005B1F41">
              <w:rPr>
                <w:rFonts w:ascii="Calibri" w:hAnsi="Calibri"/>
                <w:szCs w:val="22"/>
              </w:rPr>
              <w:t xml:space="preserve">LCC Highways and the </w:t>
            </w:r>
            <w:r w:rsidR="005B1F41" w:rsidRPr="007F63C7">
              <w:rPr>
                <w:rFonts w:ascii="Calibri" w:hAnsi="Calibri"/>
                <w:szCs w:val="22"/>
              </w:rPr>
              <w:t>Fire and Rescue Service</w:t>
            </w:r>
            <w:r w:rsidR="007F63C7">
              <w:rPr>
                <w:rFonts w:ascii="Calibri" w:hAnsi="Calibri"/>
                <w:szCs w:val="22"/>
              </w:rPr>
              <w:t xml:space="preserve"> have been considered</w:t>
            </w:r>
            <w:r>
              <w:rPr>
                <w:rFonts w:ascii="Calibri" w:hAnsi="Calibri"/>
                <w:szCs w:val="22"/>
              </w:rPr>
              <w:t xml:space="preserve"> and suggest conditions and </w:t>
            </w:r>
            <w:proofErr w:type="spellStart"/>
            <w:r>
              <w:rPr>
                <w:rFonts w:ascii="Calibri" w:hAnsi="Calibri"/>
                <w:szCs w:val="22"/>
              </w:rPr>
              <w:t>informatives</w:t>
            </w:r>
            <w:proofErr w:type="spellEnd"/>
            <w:r>
              <w:rPr>
                <w:rFonts w:ascii="Calibri" w:hAnsi="Calibri"/>
                <w:szCs w:val="22"/>
              </w:rPr>
              <w:t xml:space="preserve"> to any approval</w:t>
            </w:r>
            <w:r w:rsidR="007F63C7">
              <w:rPr>
                <w:rFonts w:ascii="Calibri" w:hAnsi="Calibri"/>
                <w:szCs w:val="22"/>
              </w:rPr>
              <w:t>.</w:t>
            </w:r>
          </w:p>
        </w:tc>
      </w:tr>
      <w:tr w:rsidR="008C75E4" w:rsidRPr="008C75E4" w14:paraId="1E1E016A" w14:textId="77777777" w:rsidTr="00504440">
        <w:trPr>
          <w:trHeight w:val="864"/>
          <w:jc w:val="center"/>
        </w:trPr>
        <w:tc>
          <w:tcPr>
            <w:tcW w:w="9555" w:type="dxa"/>
            <w:gridSpan w:val="14"/>
            <w:tcMar>
              <w:top w:w="57" w:type="dxa"/>
              <w:bottom w:w="57" w:type="dxa"/>
            </w:tcMar>
          </w:tcPr>
          <w:p w14:paraId="38A49CBE" w14:textId="77777777" w:rsidR="00C50517" w:rsidRPr="002A7DF7" w:rsidRDefault="00C50517" w:rsidP="00B72BE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A628D80" w14:textId="77777777" w:rsidR="00012055" w:rsidRDefault="00745368" w:rsidP="0074536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In giving considerable importance and weight to the duties at section 66 and 72 of the Planning (Listed</w:t>
            </w:r>
          </w:p>
          <w:p w14:paraId="150FE524" w14:textId="77777777" w:rsidR="00012055" w:rsidRDefault="00745368" w:rsidP="0074536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Buildings and Conservation Areas) Act 1990 and in consideration to NPPF and Key Statement EN5</w:t>
            </w:r>
            <w:r w:rsidR="00012055" w:rsidRPr="00012055">
              <w:rPr>
                <w:rFonts w:asciiTheme="minorHAnsi" w:hAnsiTheme="minorHAnsi" w:cstheme="minorHAnsi"/>
                <w:szCs w:val="22"/>
              </w:rPr>
              <w:t xml:space="preserve"> and EC1 </w:t>
            </w:r>
          </w:p>
          <w:p w14:paraId="4154D84F" w14:textId="77777777" w:rsidR="00012055" w:rsidRDefault="00745368" w:rsidP="0074536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and Policies DME4</w:t>
            </w:r>
            <w:r w:rsidR="00012055" w:rsidRPr="00012055">
              <w:rPr>
                <w:rFonts w:asciiTheme="minorHAnsi" w:hAnsiTheme="minorHAnsi" w:cstheme="minorHAnsi"/>
                <w:szCs w:val="22"/>
              </w:rPr>
              <w:t xml:space="preserve"> and</w:t>
            </w:r>
            <w:r w:rsidRPr="00745368">
              <w:rPr>
                <w:rFonts w:asciiTheme="minorHAnsi" w:hAnsiTheme="minorHAnsi" w:cstheme="minorHAnsi"/>
                <w:szCs w:val="22"/>
              </w:rPr>
              <w:t xml:space="preserve"> DMG1</w:t>
            </w:r>
            <w:r w:rsidR="00012055" w:rsidRPr="00012055">
              <w:rPr>
                <w:rFonts w:asciiTheme="minorHAnsi" w:hAnsiTheme="minorHAnsi" w:cstheme="minorHAnsi"/>
                <w:szCs w:val="22"/>
              </w:rPr>
              <w:t xml:space="preserve"> and</w:t>
            </w:r>
            <w:r w:rsidRPr="00745368">
              <w:rPr>
                <w:rFonts w:asciiTheme="minorHAnsi" w:hAnsiTheme="minorHAnsi" w:cstheme="minorHAnsi"/>
                <w:szCs w:val="22"/>
              </w:rPr>
              <w:t xml:space="preserve"> DMB1 of the </w:t>
            </w:r>
            <w:proofErr w:type="spellStart"/>
            <w:r w:rsidRPr="00745368">
              <w:rPr>
                <w:rFonts w:asciiTheme="minorHAnsi" w:hAnsiTheme="minorHAnsi" w:cstheme="minorHAnsi"/>
                <w:szCs w:val="22"/>
              </w:rPr>
              <w:t>Ribble</w:t>
            </w:r>
            <w:proofErr w:type="spellEnd"/>
            <w:r w:rsidRPr="00745368">
              <w:rPr>
                <w:rFonts w:asciiTheme="minorHAnsi" w:hAnsiTheme="minorHAnsi" w:cstheme="minorHAnsi"/>
                <w:szCs w:val="22"/>
              </w:rPr>
              <w:t xml:space="preserve"> Valley Core Strategy it is recommended that </w:t>
            </w:r>
          </w:p>
          <w:p w14:paraId="3F658B6C" w14:textId="1DD64D01" w:rsidR="00745368" w:rsidRPr="00745368" w:rsidRDefault="00745368" w:rsidP="00745368">
            <w:pPr>
              <w:overflowPunct/>
              <w:autoSpaceDE/>
              <w:autoSpaceDN/>
              <w:adjustRightInd/>
              <w:ind w:left="720" w:hanging="720"/>
              <w:jc w:val="both"/>
              <w:textAlignment w:val="auto"/>
              <w:rPr>
                <w:rFonts w:asciiTheme="minorHAnsi" w:hAnsiTheme="minorHAnsi" w:cstheme="minorHAnsi"/>
                <w:szCs w:val="24"/>
              </w:rPr>
            </w:pPr>
            <w:r w:rsidRPr="00745368">
              <w:rPr>
                <w:rFonts w:asciiTheme="minorHAnsi" w:hAnsiTheme="minorHAnsi" w:cstheme="minorHAnsi"/>
                <w:szCs w:val="22"/>
              </w:rPr>
              <w:t>planning permission be refused.</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8F59177" w14:textId="77777777" w:rsidR="00C0704D" w:rsidRDefault="00496D11" w:rsidP="006126D1">
            <w:pPr>
              <w:jc w:val="both"/>
              <w:rPr>
                <w:rFonts w:ascii="Calibri" w:hAnsi="Calibri"/>
                <w:bCs/>
                <w:szCs w:val="22"/>
              </w:rPr>
            </w:pPr>
            <w:r>
              <w:rPr>
                <w:rFonts w:ascii="Calibri" w:hAnsi="Calibri"/>
                <w:bCs/>
                <w:szCs w:val="22"/>
              </w:rPr>
              <w:t>That planning permission be refused for the following reason:</w:t>
            </w:r>
          </w:p>
          <w:p w14:paraId="36E871C4" w14:textId="77777777" w:rsidR="00496D11" w:rsidRDefault="00496D11" w:rsidP="006126D1">
            <w:pPr>
              <w:jc w:val="both"/>
              <w:rPr>
                <w:rFonts w:ascii="Calibri" w:hAnsi="Calibri"/>
                <w:bCs/>
                <w:szCs w:val="22"/>
              </w:rPr>
            </w:pPr>
          </w:p>
          <w:p w14:paraId="26935354" w14:textId="77777777" w:rsidR="00496D11" w:rsidRDefault="00496D11" w:rsidP="00496D11">
            <w:pPr>
              <w:overflowPunct/>
              <w:autoSpaceDE/>
              <w:autoSpaceDN/>
              <w:adjustRightInd/>
              <w:ind w:left="720" w:hanging="720"/>
              <w:jc w:val="both"/>
              <w:textAlignment w:val="auto"/>
              <w:rPr>
                <w:rFonts w:ascii="Calibri" w:hAnsi="Calibri"/>
                <w:bCs/>
                <w:szCs w:val="22"/>
              </w:rPr>
            </w:pPr>
            <w:r w:rsidRPr="00E50240">
              <w:rPr>
                <w:rFonts w:ascii="Calibri" w:hAnsi="Calibri"/>
                <w:bCs/>
                <w:szCs w:val="22"/>
              </w:rPr>
              <w:t xml:space="preserve">The proposed building is incongruous and conspicuous and harmful to the </w:t>
            </w:r>
          </w:p>
          <w:p w14:paraId="305C443D" w14:textId="77777777" w:rsidR="00496D11" w:rsidRDefault="00496D11" w:rsidP="00496D11">
            <w:pPr>
              <w:overflowPunct/>
              <w:autoSpaceDE/>
              <w:autoSpaceDN/>
              <w:adjustRightInd/>
              <w:ind w:left="720" w:hanging="720"/>
              <w:jc w:val="both"/>
              <w:textAlignment w:val="auto"/>
              <w:rPr>
                <w:rFonts w:ascii="Calibri" w:hAnsi="Calibri"/>
                <w:bCs/>
                <w:szCs w:val="22"/>
              </w:rPr>
            </w:pPr>
            <w:r w:rsidRPr="00E50240">
              <w:rPr>
                <w:rFonts w:ascii="Calibri" w:hAnsi="Calibri"/>
                <w:bCs/>
                <w:szCs w:val="22"/>
              </w:rPr>
              <w:t xml:space="preserve">setting (and views into) of Gisburn Conservation Area and the setting of </w:t>
            </w:r>
          </w:p>
          <w:p w14:paraId="0619160F" w14:textId="4DAA016C" w:rsidR="00496D11" w:rsidRDefault="00496D11" w:rsidP="00496D11">
            <w:pPr>
              <w:overflowPunct/>
              <w:autoSpaceDE/>
              <w:autoSpaceDN/>
              <w:adjustRightInd/>
              <w:ind w:left="720" w:hanging="720"/>
              <w:jc w:val="both"/>
              <w:textAlignment w:val="auto"/>
              <w:rPr>
                <w:rFonts w:ascii="Calibri" w:hAnsi="Calibri"/>
                <w:bCs/>
                <w:szCs w:val="22"/>
              </w:rPr>
            </w:pPr>
            <w:r w:rsidRPr="00E50240">
              <w:rPr>
                <w:rFonts w:ascii="Calibri" w:hAnsi="Calibri"/>
                <w:bCs/>
                <w:szCs w:val="22"/>
              </w:rPr>
              <w:t xml:space="preserve">listed buildings because of its </w:t>
            </w:r>
            <w:r>
              <w:rPr>
                <w:rFonts w:ascii="Calibri" w:hAnsi="Calibri"/>
                <w:bCs/>
                <w:szCs w:val="22"/>
              </w:rPr>
              <w:t xml:space="preserve">overtly modern and utilitarian </w:t>
            </w:r>
            <w:r w:rsidRPr="00E50240">
              <w:rPr>
                <w:rFonts w:ascii="Calibri" w:hAnsi="Calibri"/>
                <w:bCs/>
                <w:szCs w:val="22"/>
              </w:rPr>
              <w:t xml:space="preserve">form and </w:t>
            </w:r>
            <w:r>
              <w:rPr>
                <w:rFonts w:ascii="Calibri" w:hAnsi="Calibri"/>
                <w:bCs/>
                <w:szCs w:val="22"/>
              </w:rPr>
              <w:t>its</w:t>
            </w:r>
          </w:p>
          <w:p w14:paraId="28A1E31A" w14:textId="77777777" w:rsidR="00496D11" w:rsidRDefault="00496D11" w:rsidP="00496D11">
            <w:pPr>
              <w:overflowPunct/>
              <w:autoSpaceDE/>
              <w:autoSpaceDN/>
              <w:adjustRightInd/>
              <w:ind w:left="720" w:hanging="720"/>
              <w:jc w:val="both"/>
              <w:textAlignment w:val="auto"/>
              <w:rPr>
                <w:rFonts w:asciiTheme="minorHAnsi" w:hAnsiTheme="minorHAnsi" w:cstheme="minorHAnsi"/>
                <w:szCs w:val="22"/>
              </w:rPr>
            </w:pPr>
            <w:r w:rsidRPr="00E50240">
              <w:rPr>
                <w:rFonts w:ascii="Calibri" w:hAnsi="Calibri"/>
                <w:bCs/>
                <w:szCs w:val="22"/>
              </w:rPr>
              <w:t>materials.</w:t>
            </w:r>
            <w:r>
              <w:rPr>
                <w:rFonts w:ascii="Calibri" w:hAnsi="Calibri"/>
                <w:bCs/>
                <w:szCs w:val="22"/>
              </w:rPr>
              <w:t xml:space="preserve"> This is contrary to </w:t>
            </w:r>
            <w:proofErr w:type="spellStart"/>
            <w:r>
              <w:rPr>
                <w:rFonts w:ascii="Calibri" w:hAnsi="Calibri"/>
                <w:bCs/>
                <w:szCs w:val="22"/>
              </w:rPr>
              <w:t>Ribble</w:t>
            </w:r>
            <w:proofErr w:type="spellEnd"/>
            <w:r>
              <w:rPr>
                <w:rFonts w:ascii="Calibri" w:hAnsi="Calibri"/>
                <w:bCs/>
                <w:szCs w:val="22"/>
              </w:rPr>
              <w:t xml:space="preserve"> Valley Core Strategy </w:t>
            </w:r>
            <w:r w:rsidRPr="00745368">
              <w:rPr>
                <w:rFonts w:asciiTheme="minorHAnsi" w:hAnsiTheme="minorHAnsi" w:cstheme="minorHAnsi"/>
                <w:szCs w:val="22"/>
              </w:rPr>
              <w:t xml:space="preserve">Key Statement </w:t>
            </w:r>
          </w:p>
          <w:p w14:paraId="18396F40" w14:textId="77777777" w:rsidR="00496D11" w:rsidRDefault="00496D11" w:rsidP="00496D11">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EN5</w:t>
            </w:r>
            <w:r w:rsidRPr="00012055">
              <w:rPr>
                <w:rFonts w:asciiTheme="minorHAnsi" w:hAnsiTheme="minorHAnsi" w:cstheme="minorHAnsi"/>
                <w:szCs w:val="22"/>
              </w:rPr>
              <w:t xml:space="preserve"> and </w:t>
            </w:r>
            <w:r w:rsidRPr="00745368">
              <w:rPr>
                <w:rFonts w:asciiTheme="minorHAnsi" w:hAnsiTheme="minorHAnsi" w:cstheme="minorHAnsi"/>
                <w:szCs w:val="22"/>
              </w:rPr>
              <w:t>Polic</w:t>
            </w:r>
            <w:r>
              <w:rPr>
                <w:rFonts w:asciiTheme="minorHAnsi" w:hAnsiTheme="minorHAnsi" w:cstheme="minorHAnsi"/>
                <w:szCs w:val="22"/>
              </w:rPr>
              <w:t>y</w:t>
            </w:r>
            <w:r w:rsidRPr="00745368">
              <w:rPr>
                <w:rFonts w:asciiTheme="minorHAnsi" w:hAnsiTheme="minorHAnsi" w:cstheme="minorHAnsi"/>
                <w:szCs w:val="22"/>
              </w:rPr>
              <w:t xml:space="preserve"> DME4</w:t>
            </w:r>
            <w:r w:rsidRPr="00012055">
              <w:rPr>
                <w:rFonts w:asciiTheme="minorHAnsi" w:hAnsiTheme="minorHAnsi" w:cstheme="minorHAnsi"/>
                <w:szCs w:val="22"/>
              </w:rPr>
              <w:t xml:space="preserve"> and</w:t>
            </w:r>
            <w:r w:rsidRPr="00745368">
              <w:rPr>
                <w:rFonts w:asciiTheme="minorHAnsi" w:hAnsiTheme="minorHAnsi" w:cstheme="minorHAnsi"/>
                <w:szCs w:val="22"/>
              </w:rPr>
              <w:t xml:space="preserve"> D</w:t>
            </w:r>
            <w:r>
              <w:rPr>
                <w:rFonts w:asciiTheme="minorHAnsi" w:hAnsiTheme="minorHAnsi" w:cstheme="minorHAnsi"/>
                <w:szCs w:val="22"/>
              </w:rPr>
              <w:t>MG1.</w:t>
            </w:r>
          </w:p>
          <w:p w14:paraId="7EE3F341" w14:textId="77777777" w:rsidR="004F224A" w:rsidRDefault="004F224A" w:rsidP="00496D11">
            <w:pPr>
              <w:overflowPunct/>
              <w:autoSpaceDE/>
              <w:autoSpaceDN/>
              <w:adjustRightInd/>
              <w:ind w:left="720" w:hanging="720"/>
              <w:jc w:val="both"/>
              <w:textAlignment w:val="auto"/>
              <w:rPr>
                <w:rFonts w:asciiTheme="minorHAnsi" w:hAnsiTheme="minorHAnsi" w:cstheme="minorHAnsi"/>
                <w:szCs w:val="22"/>
              </w:rPr>
            </w:pPr>
          </w:p>
          <w:p w14:paraId="171E1B89" w14:textId="06D28790" w:rsidR="004F224A" w:rsidRDefault="004F224A" w:rsidP="00496D11">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The proposed building has a</w:t>
            </w:r>
            <w:r w:rsidR="002944CC">
              <w:rPr>
                <w:rFonts w:asciiTheme="minorHAnsi" w:hAnsiTheme="minorHAnsi" w:cstheme="minorHAnsi"/>
                <w:szCs w:val="22"/>
              </w:rPr>
              <w:t>n harmful</w:t>
            </w:r>
            <w:r>
              <w:rPr>
                <w:rFonts w:asciiTheme="minorHAnsi" w:hAnsiTheme="minorHAnsi" w:cstheme="minorHAnsi"/>
                <w:szCs w:val="22"/>
              </w:rPr>
              <w:t xml:space="preserve"> impact on the residential </w:t>
            </w:r>
          </w:p>
          <w:p w14:paraId="6A0FC079" w14:textId="77777777" w:rsidR="004F224A" w:rsidRDefault="004F224A" w:rsidP="00496D11">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 xml:space="preserve">amenities of 1 Stable Close in respect to overshadowing, overbearing and </w:t>
            </w:r>
          </w:p>
          <w:p w14:paraId="20E7000A" w14:textId="77777777" w:rsidR="0097135C" w:rsidRDefault="004F224A" w:rsidP="0097135C">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overlooking impacts.</w:t>
            </w:r>
            <w:r>
              <w:rPr>
                <w:rFonts w:ascii="Calibri" w:hAnsi="Calibri"/>
                <w:bCs/>
                <w:szCs w:val="22"/>
              </w:rPr>
              <w:t xml:space="preserve"> This is contrary to </w:t>
            </w:r>
            <w:proofErr w:type="spellStart"/>
            <w:r>
              <w:rPr>
                <w:rFonts w:ascii="Calibri" w:hAnsi="Calibri"/>
                <w:bCs/>
                <w:szCs w:val="22"/>
              </w:rPr>
              <w:t>Ribble</w:t>
            </w:r>
            <w:proofErr w:type="spellEnd"/>
            <w:r>
              <w:rPr>
                <w:rFonts w:ascii="Calibri" w:hAnsi="Calibri"/>
                <w:bCs/>
                <w:szCs w:val="22"/>
              </w:rPr>
              <w:t xml:space="preserve"> Valley Core Strategy</w:t>
            </w:r>
            <w:r w:rsidRPr="00745368">
              <w:rPr>
                <w:rFonts w:asciiTheme="minorHAnsi" w:hAnsiTheme="minorHAnsi" w:cstheme="minorHAnsi"/>
                <w:szCs w:val="22"/>
              </w:rPr>
              <w:t xml:space="preserve"> Polic</w:t>
            </w:r>
            <w:r>
              <w:rPr>
                <w:rFonts w:asciiTheme="minorHAnsi" w:hAnsiTheme="minorHAnsi" w:cstheme="minorHAnsi"/>
                <w:szCs w:val="22"/>
              </w:rPr>
              <w:t>y</w:t>
            </w:r>
            <w:r w:rsidRPr="00745368">
              <w:rPr>
                <w:rFonts w:asciiTheme="minorHAnsi" w:hAnsiTheme="minorHAnsi" w:cstheme="minorHAnsi"/>
                <w:szCs w:val="22"/>
              </w:rPr>
              <w:t xml:space="preserve"> </w:t>
            </w:r>
          </w:p>
          <w:p w14:paraId="23B71D3A" w14:textId="2C0397E5" w:rsidR="004F224A" w:rsidRDefault="004F224A" w:rsidP="0097135C">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D</w:t>
            </w:r>
            <w:r>
              <w:rPr>
                <w:rFonts w:asciiTheme="minorHAnsi" w:hAnsiTheme="minorHAnsi" w:cstheme="minorHAnsi"/>
                <w:szCs w:val="22"/>
              </w:rPr>
              <w:t>MG1.</w:t>
            </w:r>
          </w:p>
          <w:p w14:paraId="3D3DFD97" w14:textId="42E91003" w:rsidR="004F224A" w:rsidRPr="00496D11" w:rsidRDefault="004F224A" w:rsidP="00496D11">
            <w:pPr>
              <w:overflowPunct/>
              <w:autoSpaceDE/>
              <w:autoSpaceDN/>
              <w:adjustRightInd/>
              <w:ind w:left="720" w:hanging="720"/>
              <w:jc w:val="both"/>
              <w:textAlignment w:val="auto"/>
              <w:rPr>
                <w:rFonts w:asciiTheme="minorHAnsi" w:hAnsiTheme="minorHAnsi" w:cstheme="minorHAnsi"/>
                <w:szCs w:val="22"/>
              </w:rPr>
            </w:pPr>
          </w:p>
        </w:tc>
      </w:tr>
    </w:tbl>
    <w:p w14:paraId="58DD66DA" w14:textId="77777777" w:rsidR="0031197A" w:rsidRPr="008C75E4" w:rsidRDefault="006209D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D7D" w14:textId="77777777" w:rsidR="00620C93" w:rsidRDefault="00620C93" w:rsidP="006D0B5F">
      <w:r>
        <w:separator/>
      </w:r>
    </w:p>
  </w:endnote>
  <w:endnote w:type="continuationSeparator" w:id="0">
    <w:p w14:paraId="62261763" w14:textId="77777777" w:rsidR="00620C93" w:rsidRDefault="00620C9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3908" w14:textId="77777777" w:rsidR="00620C93" w:rsidRDefault="00620C93" w:rsidP="006D0B5F">
      <w:r>
        <w:separator/>
      </w:r>
    </w:p>
  </w:footnote>
  <w:footnote w:type="continuationSeparator" w:id="0">
    <w:p w14:paraId="2CBD8BEF" w14:textId="77777777" w:rsidR="00620C93" w:rsidRDefault="00620C9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055"/>
    <w:rsid w:val="00016A73"/>
    <w:rsid w:val="00026C1C"/>
    <w:rsid w:val="00041FBF"/>
    <w:rsid w:val="00055B13"/>
    <w:rsid w:val="00072816"/>
    <w:rsid w:val="0008638E"/>
    <w:rsid w:val="000B5CB5"/>
    <w:rsid w:val="000C7A57"/>
    <w:rsid w:val="000D2198"/>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45A6"/>
    <w:rsid w:val="00237DA1"/>
    <w:rsid w:val="00250879"/>
    <w:rsid w:val="00263F3A"/>
    <w:rsid w:val="00284480"/>
    <w:rsid w:val="0028751A"/>
    <w:rsid w:val="0029334A"/>
    <w:rsid w:val="002944CC"/>
    <w:rsid w:val="002A01CF"/>
    <w:rsid w:val="002A39BA"/>
    <w:rsid w:val="002A7DF7"/>
    <w:rsid w:val="002B7854"/>
    <w:rsid w:val="002C6277"/>
    <w:rsid w:val="002D4346"/>
    <w:rsid w:val="002E2952"/>
    <w:rsid w:val="002E7CC1"/>
    <w:rsid w:val="002F041D"/>
    <w:rsid w:val="002F2580"/>
    <w:rsid w:val="002F7502"/>
    <w:rsid w:val="003118F3"/>
    <w:rsid w:val="003137E0"/>
    <w:rsid w:val="00320A6F"/>
    <w:rsid w:val="00321B6E"/>
    <w:rsid w:val="00330577"/>
    <w:rsid w:val="003359D0"/>
    <w:rsid w:val="00341E8D"/>
    <w:rsid w:val="00347F5E"/>
    <w:rsid w:val="00355428"/>
    <w:rsid w:val="003634D9"/>
    <w:rsid w:val="0036759A"/>
    <w:rsid w:val="003825D5"/>
    <w:rsid w:val="003A4376"/>
    <w:rsid w:val="003A7AD2"/>
    <w:rsid w:val="003C28E1"/>
    <w:rsid w:val="003E2151"/>
    <w:rsid w:val="003F16AA"/>
    <w:rsid w:val="003F16B4"/>
    <w:rsid w:val="003F3DB5"/>
    <w:rsid w:val="003F481A"/>
    <w:rsid w:val="00404C72"/>
    <w:rsid w:val="00435FC9"/>
    <w:rsid w:val="00437E11"/>
    <w:rsid w:val="0044039F"/>
    <w:rsid w:val="00440CB6"/>
    <w:rsid w:val="004524A9"/>
    <w:rsid w:val="00454754"/>
    <w:rsid w:val="004557B9"/>
    <w:rsid w:val="004654DD"/>
    <w:rsid w:val="004854EC"/>
    <w:rsid w:val="004936A6"/>
    <w:rsid w:val="004947BB"/>
    <w:rsid w:val="00496D11"/>
    <w:rsid w:val="004A5EA9"/>
    <w:rsid w:val="004C2434"/>
    <w:rsid w:val="004D5E7A"/>
    <w:rsid w:val="004D6FC7"/>
    <w:rsid w:val="004D7A32"/>
    <w:rsid w:val="004E58E3"/>
    <w:rsid w:val="004F0649"/>
    <w:rsid w:val="004F1043"/>
    <w:rsid w:val="004F1E99"/>
    <w:rsid w:val="004F224A"/>
    <w:rsid w:val="005015C7"/>
    <w:rsid w:val="0050432D"/>
    <w:rsid w:val="00504440"/>
    <w:rsid w:val="00510DBF"/>
    <w:rsid w:val="00510FA2"/>
    <w:rsid w:val="00510FE3"/>
    <w:rsid w:val="00521ABA"/>
    <w:rsid w:val="00525341"/>
    <w:rsid w:val="00527A31"/>
    <w:rsid w:val="00534611"/>
    <w:rsid w:val="00545A54"/>
    <w:rsid w:val="00545D8C"/>
    <w:rsid w:val="00556ECD"/>
    <w:rsid w:val="005631B3"/>
    <w:rsid w:val="005633B0"/>
    <w:rsid w:val="005635FF"/>
    <w:rsid w:val="00573B90"/>
    <w:rsid w:val="005878FE"/>
    <w:rsid w:val="00593040"/>
    <w:rsid w:val="005A6D76"/>
    <w:rsid w:val="005B0A0E"/>
    <w:rsid w:val="005B1F41"/>
    <w:rsid w:val="005D3432"/>
    <w:rsid w:val="005E1C6C"/>
    <w:rsid w:val="005E65DF"/>
    <w:rsid w:val="006126D1"/>
    <w:rsid w:val="006209D3"/>
    <w:rsid w:val="00620C93"/>
    <w:rsid w:val="00631D02"/>
    <w:rsid w:val="006326A2"/>
    <w:rsid w:val="006646B5"/>
    <w:rsid w:val="00665C24"/>
    <w:rsid w:val="006871C0"/>
    <w:rsid w:val="00690EC3"/>
    <w:rsid w:val="00692B60"/>
    <w:rsid w:val="00695F88"/>
    <w:rsid w:val="006A31CC"/>
    <w:rsid w:val="006A71AD"/>
    <w:rsid w:val="006C126E"/>
    <w:rsid w:val="006C2BFA"/>
    <w:rsid w:val="006D0B5F"/>
    <w:rsid w:val="006D4E58"/>
    <w:rsid w:val="006D7624"/>
    <w:rsid w:val="006F137D"/>
    <w:rsid w:val="006F4D38"/>
    <w:rsid w:val="0070054B"/>
    <w:rsid w:val="00706480"/>
    <w:rsid w:val="00710DBB"/>
    <w:rsid w:val="0072424B"/>
    <w:rsid w:val="00725F1C"/>
    <w:rsid w:val="007430C8"/>
    <w:rsid w:val="00745368"/>
    <w:rsid w:val="00755FCC"/>
    <w:rsid w:val="00761180"/>
    <w:rsid w:val="00776AE2"/>
    <w:rsid w:val="007919CA"/>
    <w:rsid w:val="007921CD"/>
    <w:rsid w:val="007B1DA0"/>
    <w:rsid w:val="007C5713"/>
    <w:rsid w:val="007C791C"/>
    <w:rsid w:val="007D4CF9"/>
    <w:rsid w:val="007D6D02"/>
    <w:rsid w:val="007D7DF4"/>
    <w:rsid w:val="007E0D23"/>
    <w:rsid w:val="007F196D"/>
    <w:rsid w:val="007F63C7"/>
    <w:rsid w:val="00802CD4"/>
    <w:rsid w:val="00805895"/>
    <w:rsid w:val="008075CB"/>
    <w:rsid w:val="00811771"/>
    <w:rsid w:val="00812F07"/>
    <w:rsid w:val="008154DD"/>
    <w:rsid w:val="0083105A"/>
    <w:rsid w:val="008422F9"/>
    <w:rsid w:val="008542DE"/>
    <w:rsid w:val="008638DE"/>
    <w:rsid w:val="00864398"/>
    <w:rsid w:val="008657C9"/>
    <w:rsid w:val="0088544A"/>
    <w:rsid w:val="0088720D"/>
    <w:rsid w:val="00891182"/>
    <w:rsid w:val="008A28C8"/>
    <w:rsid w:val="008A2924"/>
    <w:rsid w:val="008C5F88"/>
    <w:rsid w:val="008C75E4"/>
    <w:rsid w:val="008D5A3A"/>
    <w:rsid w:val="008D6366"/>
    <w:rsid w:val="008F6B58"/>
    <w:rsid w:val="0090282C"/>
    <w:rsid w:val="00906D0C"/>
    <w:rsid w:val="00934B34"/>
    <w:rsid w:val="00950018"/>
    <w:rsid w:val="009565F5"/>
    <w:rsid w:val="009657FC"/>
    <w:rsid w:val="0097135C"/>
    <w:rsid w:val="00980B95"/>
    <w:rsid w:val="009825FF"/>
    <w:rsid w:val="00985097"/>
    <w:rsid w:val="00994EF1"/>
    <w:rsid w:val="009C4BCF"/>
    <w:rsid w:val="009C7F61"/>
    <w:rsid w:val="009E6A8B"/>
    <w:rsid w:val="00A04A96"/>
    <w:rsid w:val="00A40070"/>
    <w:rsid w:val="00A42E82"/>
    <w:rsid w:val="00A444D6"/>
    <w:rsid w:val="00A44807"/>
    <w:rsid w:val="00A46EE9"/>
    <w:rsid w:val="00A55E83"/>
    <w:rsid w:val="00A579BB"/>
    <w:rsid w:val="00A63D55"/>
    <w:rsid w:val="00A67086"/>
    <w:rsid w:val="00A8441B"/>
    <w:rsid w:val="00A9088C"/>
    <w:rsid w:val="00A90994"/>
    <w:rsid w:val="00A9168C"/>
    <w:rsid w:val="00A95D89"/>
    <w:rsid w:val="00AA1C1B"/>
    <w:rsid w:val="00AA2753"/>
    <w:rsid w:val="00AB3243"/>
    <w:rsid w:val="00AB5232"/>
    <w:rsid w:val="00B14DDC"/>
    <w:rsid w:val="00B30A5E"/>
    <w:rsid w:val="00B31505"/>
    <w:rsid w:val="00B45282"/>
    <w:rsid w:val="00B6269C"/>
    <w:rsid w:val="00B72BE4"/>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3AE8"/>
    <w:rsid w:val="00C44E40"/>
    <w:rsid w:val="00C50517"/>
    <w:rsid w:val="00C618DB"/>
    <w:rsid w:val="00C6456D"/>
    <w:rsid w:val="00C64774"/>
    <w:rsid w:val="00C93384"/>
    <w:rsid w:val="00CA28BA"/>
    <w:rsid w:val="00CD1729"/>
    <w:rsid w:val="00CD2E03"/>
    <w:rsid w:val="00CD38B1"/>
    <w:rsid w:val="00D02272"/>
    <w:rsid w:val="00D06B0C"/>
    <w:rsid w:val="00D06B8B"/>
    <w:rsid w:val="00D102D9"/>
    <w:rsid w:val="00D1063F"/>
    <w:rsid w:val="00D11007"/>
    <w:rsid w:val="00D1420C"/>
    <w:rsid w:val="00D23470"/>
    <w:rsid w:val="00D2449B"/>
    <w:rsid w:val="00D24E6F"/>
    <w:rsid w:val="00D54384"/>
    <w:rsid w:val="00D54E67"/>
    <w:rsid w:val="00D54F48"/>
    <w:rsid w:val="00D632BB"/>
    <w:rsid w:val="00D73038"/>
    <w:rsid w:val="00D80310"/>
    <w:rsid w:val="00D841DA"/>
    <w:rsid w:val="00D9608A"/>
    <w:rsid w:val="00D96DF7"/>
    <w:rsid w:val="00D97AA3"/>
    <w:rsid w:val="00DA27B6"/>
    <w:rsid w:val="00DC3C8A"/>
    <w:rsid w:val="00DD5AA0"/>
    <w:rsid w:val="00DD62F6"/>
    <w:rsid w:val="00DD7E97"/>
    <w:rsid w:val="00DE740E"/>
    <w:rsid w:val="00DF42DA"/>
    <w:rsid w:val="00E03AFD"/>
    <w:rsid w:val="00E0485E"/>
    <w:rsid w:val="00E06DFC"/>
    <w:rsid w:val="00E12F64"/>
    <w:rsid w:val="00E23FB0"/>
    <w:rsid w:val="00E33D00"/>
    <w:rsid w:val="00E46243"/>
    <w:rsid w:val="00E47762"/>
    <w:rsid w:val="00E50240"/>
    <w:rsid w:val="00E66534"/>
    <w:rsid w:val="00E70989"/>
    <w:rsid w:val="00E719D1"/>
    <w:rsid w:val="00E71A35"/>
    <w:rsid w:val="00E72F6C"/>
    <w:rsid w:val="00E80113"/>
    <w:rsid w:val="00EA09F9"/>
    <w:rsid w:val="00EA1673"/>
    <w:rsid w:val="00EB7D74"/>
    <w:rsid w:val="00EB7F22"/>
    <w:rsid w:val="00EC23C7"/>
    <w:rsid w:val="00ED00B7"/>
    <w:rsid w:val="00EF1341"/>
    <w:rsid w:val="00EF44E6"/>
    <w:rsid w:val="00F012FA"/>
    <w:rsid w:val="00F055D3"/>
    <w:rsid w:val="00F129DD"/>
    <w:rsid w:val="00F16D0F"/>
    <w:rsid w:val="00F1733A"/>
    <w:rsid w:val="00F32789"/>
    <w:rsid w:val="00F3380C"/>
    <w:rsid w:val="00F379E4"/>
    <w:rsid w:val="00F412D8"/>
    <w:rsid w:val="00F71D53"/>
    <w:rsid w:val="00F731F5"/>
    <w:rsid w:val="00F75F59"/>
    <w:rsid w:val="00F8201E"/>
    <w:rsid w:val="00FA46AF"/>
    <w:rsid w:val="00FB4394"/>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2345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NNING2">
    <w:name w:val="PLANNING 2"/>
    <w:basedOn w:val="Normal"/>
    <w:qFormat/>
    <w:rsid w:val="00E50240"/>
    <w:pPr>
      <w:overflowPunct/>
      <w:autoSpaceDE/>
      <w:autoSpaceDN/>
      <w:adjustRightInd/>
      <w:ind w:left="1440" w:hanging="720"/>
      <w:jc w:val="both"/>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5157">
      <w:bodyDiv w:val="1"/>
      <w:marLeft w:val="0"/>
      <w:marRight w:val="0"/>
      <w:marTop w:val="0"/>
      <w:marBottom w:val="0"/>
      <w:divBdr>
        <w:top w:val="none" w:sz="0" w:space="0" w:color="auto"/>
        <w:left w:val="none" w:sz="0" w:space="0" w:color="auto"/>
        <w:bottom w:val="none" w:sz="0" w:space="0" w:color="auto"/>
        <w:right w:val="none" w:sz="0" w:space="0" w:color="auto"/>
      </w:divBdr>
    </w:div>
    <w:div w:id="615910085">
      <w:bodyDiv w:val="1"/>
      <w:marLeft w:val="0"/>
      <w:marRight w:val="0"/>
      <w:marTop w:val="0"/>
      <w:marBottom w:val="0"/>
      <w:divBdr>
        <w:top w:val="none" w:sz="0" w:space="0" w:color="auto"/>
        <w:left w:val="none" w:sz="0" w:space="0" w:color="auto"/>
        <w:bottom w:val="none" w:sz="0" w:space="0" w:color="auto"/>
        <w:right w:val="none" w:sz="0" w:space="0" w:color="auto"/>
      </w:divBdr>
    </w:div>
    <w:div w:id="662511680">
      <w:bodyDiv w:val="1"/>
      <w:marLeft w:val="0"/>
      <w:marRight w:val="0"/>
      <w:marTop w:val="0"/>
      <w:marBottom w:val="0"/>
      <w:divBdr>
        <w:top w:val="none" w:sz="0" w:space="0" w:color="auto"/>
        <w:left w:val="none" w:sz="0" w:space="0" w:color="auto"/>
        <w:bottom w:val="none" w:sz="0" w:space="0" w:color="auto"/>
        <w:right w:val="none" w:sz="0" w:space="0" w:color="auto"/>
      </w:divBdr>
    </w:div>
    <w:div w:id="877280863">
      <w:bodyDiv w:val="1"/>
      <w:marLeft w:val="0"/>
      <w:marRight w:val="0"/>
      <w:marTop w:val="0"/>
      <w:marBottom w:val="0"/>
      <w:divBdr>
        <w:top w:val="none" w:sz="0" w:space="0" w:color="auto"/>
        <w:left w:val="none" w:sz="0" w:space="0" w:color="auto"/>
        <w:bottom w:val="none" w:sz="0" w:space="0" w:color="auto"/>
        <w:right w:val="none" w:sz="0" w:space="0" w:color="auto"/>
      </w:divBdr>
    </w:div>
    <w:div w:id="132515896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300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2021-10-21T16:19:00Z</cp:lastPrinted>
  <dcterms:created xsi:type="dcterms:W3CDTF">2021-10-21T16:20:00Z</dcterms:created>
  <dcterms:modified xsi:type="dcterms:W3CDTF">2021-10-21T16:20:00Z</dcterms:modified>
</cp:coreProperties>
</file>