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3"/>
        <w:gridCol w:w="1580"/>
        <w:gridCol w:w="352"/>
        <w:gridCol w:w="55"/>
        <w:gridCol w:w="900"/>
        <w:gridCol w:w="879"/>
        <w:gridCol w:w="201"/>
        <w:gridCol w:w="874"/>
        <w:gridCol w:w="1167"/>
        <w:gridCol w:w="519"/>
        <w:gridCol w:w="579"/>
        <w:gridCol w:w="420"/>
        <w:gridCol w:w="354"/>
        <w:gridCol w:w="874"/>
        <w:gridCol w:w="651"/>
      </w:tblGrid>
      <w:tr w:rsidR="008C75E4" w:rsidRPr="008C75E4" w14:paraId="4201472B" w14:textId="77777777" w:rsidTr="00421D25">
        <w:trPr>
          <w:jc w:val="center"/>
        </w:trPr>
        <w:tc>
          <w:tcPr>
            <w:tcW w:w="9968" w:type="dxa"/>
            <w:gridSpan w:val="15"/>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421D25">
        <w:trPr>
          <w:trHeight w:val="535"/>
          <w:jc w:val="center"/>
        </w:trPr>
        <w:tc>
          <w:tcPr>
            <w:tcW w:w="2602" w:type="dxa"/>
            <w:gridSpan w:val="4"/>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2"/>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911"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882" w:type="dxa"/>
          </w:tcPr>
          <w:p w14:paraId="4DEC3721" w14:textId="113DE8BE" w:rsidR="004936A6" w:rsidRPr="004D33C8" w:rsidRDefault="00DB2FB4" w:rsidP="005B5710">
            <w:pPr>
              <w:rPr>
                <w:rFonts w:ascii="Calibri" w:hAnsi="Calibri"/>
                <w:szCs w:val="22"/>
              </w:rPr>
            </w:pPr>
            <w:r>
              <w:rPr>
                <w:rFonts w:ascii="Calibri" w:hAnsi="Calibri"/>
                <w:szCs w:val="22"/>
              </w:rPr>
              <w:t>4/11/2021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837" w:type="dxa"/>
            <w:gridSpan w:val="2"/>
          </w:tcPr>
          <w:p w14:paraId="30BDA5DA" w14:textId="77777777" w:rsidR="004936A6" w:rsidRPr="008C75E4" w:rsidRDefault="004936A6" w:rsidP="00D2449B">
            <w:pPr>
              <w:jc w:val="center"/>
              <w:rPr>
                <w:rFonts w:ascii="Calibri" w:hAnsi="Calibri"/>
                <w:b/>
                <w:szCs w:val="22"/>
              </w:rPr>
            </w:pPr>
          </w:p>
        </w:tc>
        <w:tc>
          <w:tcPr>
            <w:tcW w:w="911"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747"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421D25">
        <w:trPr>
          <w:trHeight w:val="586"/>
          <w:jc w:val="center"/>
        </w:trPr>
        <w:tc>
          <w:tcPr>
            <w:tcW w:w="2602" w:type="dxa"/>
            <w:gridSpan w:val="4"/>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2"/>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911"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4475"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421D25">
        <w:trPr>
          <w:jc w:val="center"/>
        </w:trPr>
        <w:tc>
          <w:tcPr>
            <w:tcW w:w="9968" w:type="dxa"/>
            <w:gridSpan w:val="15"/>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C257CE">
        <w:trPr>
          <w:jc w:val="center"/>
        </w:trPr>
        <w:tc>
          <w:tcPr>
            <w:tcW w:w="2547"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4347" w:type="dxa"/>
            <w:gridSpan w:val="7"/>
          </w:tcPr>
          <w:p w14:paraId="38471E52" w14:textId="53CEA1A6" w:rsidR="004A5EA9" w:rsidRPr="008C75E4" w:rsidRDefault="006644F6" w:rsidP="008F6B58">
            <w:pPr>
              <w:rPr>
                <w:rFonts w:ascii="Calibri" w:hAnsi="Calibri"/>
                <w:szCs w:val="22"/>
              </w:rPr>
            </w:pPr>
            <w:r>
              <w:rPr>
                <w:rFonts w:ascii="Calibri" w:hAnsi="Calibri"/>
                <w:szCs w:val="22"/>
              </w:rPr>
              <w:t>3/2021/</w:t>
            </w:r>
            <w:r w:rsidR="003E5100">
              <w:rPr>
                <w:rFonts w:ascii="Calibri" w:hAnsi="Calibri"/>
                <w:szCs w:val="22"/>
              </w:rPr>
              <w:t>0</w:t>
            </w:r>
            <w:r w:rsidR="00863394">
              <w:rPr>
                <w:rFonts w:ascii="Calibri" w:hAnsi="Calibri"/>
                <w:szCs w:val="22"/>
              </w:rPr>
              <w:t>8</w:t>
            </w:r>
            <w:r w:rsidR="00BF0757">
              <w:rPr>
                <w:rFonts w:ascii="Calibri" w:hAnsi="Calibri"/>
                <w:szCs w:val="22"/>
              </w:rPr>
              <w:t>67</w:t>
            </w:r>
          </w:p>
        </w:tc>
        <w:tc>
          <w:tcPr>
            <w:tcW w:w="3074"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C257CE">
        <w:trPr>
          <w:jc w:val="center"/>
        </w:trPr>
        <w:tc>
          <w:tcPr>
            <w:tcW w:w="2547"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4347" w:type="dxa"/>
            <w:gridSpan w:val="7"/>
          </w:tcPr>
          <w:p w14:paraId="0B5D6057" w14:textId="0F47106A" w:rsidR="004A5EA9" w:rsidRPr="008C75E4" w:rsidRDefault="008C39D9" w:rsidP="002C6277">
            <w:pPr>
              <w:rPr>
                <w:rFonts w:ascii="Calibri" w:hAnsi="Calibri"/>
                <w:szCs w:val="22"/>
              </w:rPr>
            </w:pPr>
            <w:r>
              <w:rPr>
                <w:rFonts w:ascii="Calibri" w:hAnsi="Calibri"/>
                <w:szCs w:val="22"/>
              </w:rPr>
              <w:t>6</w:t>
            </w:r>
            <w:r w:rsidR="006644F6">
              <w:rPr>
                <w:rFonts w:ascii="Calibri" w:hAnsi="Calibri"/>
                <w:szCs w:val="22"/>
              </w:rPr>
              <w:t>/</w:t>
            </w:r>
            <w:r>
              <w:rPr>
                <w:rFonts w:ascii="Calibri" w:hAnsi="Calibri"/>
                <w:szCs w:val="22"/>
              </w:rPr>
              <w:t>10</w:t>
            </w:r>
            <w:r w:rsidR="006644F6">
              <w:rPr>
                <w:rFonts w:ascii="Calibri" w:hAnsi="Calibri"/>
                <w:szCs w:val="22"/>
              </w:rPr>
              <w:t>/2021</w:t>
            </w:r>
          </w:p>
        </w:tc>
        <w:tc>
          <w:tcPr>
            <w:tcW w:w="3074"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C257CE">
        <w:trPr>
          <w:jc w:val="center"/>
        </w:trPr>
        <w:tc>
          <w:tcPr>
            <w:tcW w:w="2547"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4347" w:type="dxa"/>
            <w:gridSpan w:val="7"/>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074"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421D25">
        <w:trPr>
          <w:jc w:val="center"/>
        </w:trPr>
        <w:tc>
          <w:tcPr>
            <w:tcW w:w="6894" w:type="dxa"/>
            <w:gridSpan w:val="10"/>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1"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073" w:type="dxa"/>
            <w:gridSpan w:val="3"/>
            <w:tcBorders>
              <w:bottom w:val="single" w:sz="4" w:space="0" w:color="BFBFBF" w:themeColor="background1" w:themeShade="BF"/>
            </w:tcBorders>
          </w:tcPr>
          <w:p w14:paraId="623CF6AB" w14:textId="6D5CB674" w:rsidR="00FD334A" w:rsidRPr="000267F9" w:rsidRDefault="00C742AE" w:rsidP="00FD334A">
            <w:pPr>
              <w:rPr>
                <w:rFonts w:ascii="Calibri" w:hAnsi="Calibri"/>
                <w:szCs w:val="22"/>
              </w:rPr>
            </w:pPr>
            <w:r>
              <w:rPr>
                <w:rFonts w:ascii="Calibri" w:hAnsi="Calibri"/>
                <w:szCs w:val="22"/>
              </w:rPr>
              <w:t>Refusal</w:t>
            </w:r>
          </w:p>
        </w:tc>
      </w:tr>
      <w:tr w:rsidR="008C75E4" w:rsidRPr="008C75E4" w14:paraId="389432DB" w14:textId="77777777" w:rsidTr="00421D25">
        <w:trPr>
          <w:trHeight w:hRule="exact" w:val="144"/>
          <w:jc w:val="center"/>
        </w:trPr>
        <w:tc>
          <w:tcPr>
            <w:tcW w:w="9968" w:type="dxa"/>
            <w:gridSpan w:val="15"/>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421D25">
        <w:trPr>
          <w:jc w:val="center"/>
        </w:trPr>
        <w:tc>
          <w:tcPr>
            <w:tcW w:w="4381" w:type="dxa"/>
            <w:gridSpan w:val="6"/>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5587" w:type="dxa"/>
            <w:gridSpan w:val="9"/>
          </w:tcPr>
          <w:p w14:paraId="6315D5D9" w14:textId="0BEA59B7" w:rsidR="00D13259" w:rsidRPr="008C75E4" w:rsidRDefault="00863394">
            <w:pPr>
              <w:rPr>
                <w:rFonts w:ascii="Calibri" w:hAnsi="Calibri"/>
                <w:szCs w:val="22"/>
              </w:rPr>
            </w:pPr>
            <w:r w:rsidRPr="00863394">
              <w:rPr>
                <w:rFonts w:ascii="Calibri" w:hAnsi="Calibri"/>
                <w:szCs w:val="22"/>
              </w:rPr>
              <w:t>Proposed erection of a timber single storey granny annex for ancillary use to the main dwelling.</w:t>
            </w:r>
          </w:p>
        </w:tc>
      </w:tr>
      <w:tr w:rsidR="008C75E4" w:rsidRPr="008C75E4" w14:paraId="3E3EA155" w14:textId="77777777" w:rsidTr="00421D25">
        <w:trPr>
          <w:jc w:val="center"/>
        </w:trPr>
        <w:tc>
          <w:tcPr>
            <w:tcW w:w="4381" w:type="dxa"/>
            <w:gridSpan w:val="6"/>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5587" w:type="dxa"/>
            <w:gridSpan w:val="9"/>
            <w:tcBorders>
              <w:bottom w:val="single" w:sz="4" w:space="0" w:color="BFBFBF" w:themeColor="background1" w:themeShade="BF"/>
            </w:tcBorders>
          </w:tcPr>
          <w:p w14:paraId="5753A06F" w14:textId="578A71FF" w:rsidR="002A01CF" w:rsidRPr="00BC0FF2" w:rsidRDefault="00863394" w:rsidP="00A42E82">
            <w:pPr>
              <w:rPr>
                <w:rFonts w:ascii="Calibri" w:hAnsi="Calibri"/>
                <w:szCs w:val="22"/>
              </w:rPr>
            </w:pPr>
            <w:r w:rsidRPr="00863394">
              <w:rPr>
                <w:rFonts w:ascii="Calibri" w:hAnsi="Calibri"/>
                <w:szCs w:val="22"/>
              </w:rPr>
              <w:t>5 Hawthorn Close</w:t>
            </w:r>
            <w:r>
              <w:rPr>
                <w:rFonts w:ascii="Calibri" w:hAnsi="Calibri"/>
                <w:szCs w:val="22"/>
              </w:rPr>
              <w:t>,</w:t>
            </w:r>
            <w:r w:rsidRPr="00863394">
              <w:rPr>
                <w:rFonts w:ascii="Calibri" w:hAnsi="Calibri"/>
                <w:szCs w:val="22"/>
              </w:rPr>
              <w:t xml:space="preserve"> </w:t>
            </w:r>
            <w:proofErr w:type="spellStart"/>
            <w:r w:rsidRPr="00863394">
              <w:rPr>
                <w:rFonts w:ascii="Calibri" w:hAnsi="Calibri"/>
                <w:szCs w:val="22"/>
              </w:rPr>
              <w:t>Langho</w:t>
            </w:r>
            <w:proofErr w:type="spellEnd"/>
            <w:r>
              <w:rPr>
                <w:rFonts w:ascii="Calibri" w:hAnsi="Calibri"/>
                <w:szCs w:val="22"/>
              </w:rPr>
              <w:t xml:space="preserve">. </w:t>
            </w:r>
            <w:r w:rsidRPr="00863394">
              <w:rPr>
                <w:rFonts w:ascii="Calibri" w:hAnsi="Calibri"/>
                <w:szCs w:val="22"/>
              </w:rPr>
              <w:t>BB6 8DZ</w:t>
            </w:r>
          </w:p>
        </w:tc>
      </w:tr>
      <w:tr w:rsidR="008C75E4" w:rsidRPr="008C75E4" w14:paraId="7C98B64E" w14:textId="77777777" w:rsidTr="00421D25">
        <w:trPr>
          <w:trHeight w:hRule="exact" w:val="144"/>
          <w:jc w:val="center"/>
        </w:trPr>
        <w:tc>
          <w:tcPr>
            <w:tcW w:w="9968" w:type="dxa"/>
            <w:gridSpan w:val="15"/>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421D25">
        <w:trPr>
          <w:jc w:val="center"/>
        </w:trPr>
        <w:tc>
          <w:tcPr>
            <w:tcW w:w="4381" w:type="dxa"/>
            <w:gridSpan w:val="6"/>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5587"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421D25">
        <w:trPr>
          <w:jc w:val="center"/>
        </w:trPr>
        <w:tc>
          <w:tcPr>
            <w:tcW w:w="9968" w:type="dxa"/>
            <w:gridSpan w:val="15"/>
            <w:tcBorders>
              <w:bottom w:val="single" w:sz="4" w:space="0" w:color="BFBFBF" w:themeColor="background1" w:themeShade="BF"/>
            </w:tcBorders>
            <w:tcMar>
              <w:top w:w="57" w:type="dxa"/>
              <w:bottom w:w="57" w:type="dxa"/>
            </w:tcMar>
          </w:tcPr>
          <w:p w14:paraId="3117B839" w14:textId="0627FDFD" w:rsidR="00863394" w:rsidRDefault="00863394" w:rsidP="00A47F23">
            <w:pPr>
              <w:jc w:val="both"/>
              <w:rPr>
                <w:rFonts w:ascii="Calibri" w:hAnsi="Calibri"/>
                <w:szCs w:val="22"/>
              </w:rPr>
            </w:pPr>
            <w:proofErr w:type="spellStart"/>
            <w:r>
              <w:rPr>
                <w:rFonts w:ascii="Calibri" w:hAnsi="Calibri"/>
                <w:szCs w:val="22"/>
              </w:rPr>
              <w:t>Billington</w:t>
            </w:r>
            <w:proofErr w:type="spellEnd"/>
            <w:r>
              <w:rPr>
                <w:rFonts w:ascii="Calibri" w:hAnsi="Calibri"/>
                <w:szCs w:val="22"/>
              </w:rPr>
              <w:t xml:space="preserve"> and </w:t>
            </w:r>
            <w:proofErr w:type="spellStart"/>
            <w:r>
              <w:rPr>
                <w:rFonts w:ascii="Calibri" w:hAnsi="Calibri"/>
                <w:szCs w:val="22"/>
              </w:rPr>
              <w:t>Langho</w:t>
            </w:r>
            <w:proofErr w:type="spellEnd"/>
            <w:r>
              <w:rPr>
                <w:rFonts w:ascii="Calibri" w:hAnsi="Calibri"/>
                <w:szCs w:val="22"/>
              </w:rPr>
              <w:t xml:space="preserve"> </w:t>
            </w:r>
            <w:r w:rsidRPr="00863394">
              <w:rPr>
                <w:rFonts w:ascii="Calibri" w:hAnsi="Calibri"/>
                <w:szCs w:val="22"/>
              </w:rPr>
              <w:t>Parish Council have raised an objection in relation to the proposal. This objection is summarised as:</w:t>
            </w:r>
          </w:p>
          <w:p w14:paraId="70A4AD2A" w14:textId="77777777" w:rsidR="00863394" w:rsidRDefault="00863394" w:rsidP="00A47F23">
            <w:pPr>
              <w:jc w:val="both"/>
              <w:rPr>
                <w:rFonts w:ascii="Calibri" w:hAnsi="Calibri"/>
                <w:szCs w:val="22"/>
              </w:rPr>
            </w:pPr>
          </w:p>
          <w:p w14:paraId="5DCA3E77" w14:textId="77777777" w:rsidR="001F68E9" w:rsidRPr="001F68E9" w:rsidRDefault="001F68E9" w:rsidP="001F68E9">
            <w:pPr>
              <w:pStyle w:val="ListParagraph"/>
              <w:numPr>
                <w:ilvl w:val="0"/>
                <w:numId w:val="18"/>
              </w:numPr>
              <w:jc w:val="both"/>
              <w:rPr>
                <w:rFonts w:ascii="Calibri" w:hAnsi="Calibri"/>
                <w:szCs w:val="22"/>
              </w:rPr>
            </w:pPr>
            <w:r>
              <w:rPr>
                <w:rFonts w:ascii="Calibri" w:hAnsi="Calibri"/>
                <w:szCs w:val="22"/>
              </w:rPr>
              <w:t>Impact of the proposal upon visual amenity</w:t>
            </w:r>
          </w:p>
          <w:p w14:paraId="53829CE5" w14:textId="1A983F8A" w:rsidR="00863394" w:rsidRPr="00863394" w:rsidRDefault="00863394" w:rsidP="001F68E9">
            <w:pPr>
              <w:pStyle w:val="ListParagraph"/>
              <w:jc w:val="both"/>
              <w:rPr>
                <w:rFonts w:ascii="Calibri" w:hAnsi="Calibri"/>
                <w:szCs w:val="22"/>
              </w:rPr>
            </w:pPr>
          </w:p>
        </w:tc>
      </w:tr>
      <w:tr w:rsidR="008C75E4" w:rsidRPr="008C75E4" w14:paraId="615BE4E4" w14:textId="77777777" w:rsidTr="00421D25">
        <w:trPr>
          <w:trHeight w:hRule="exact" w:val="144"/>
          <w:jc w:val="center"/>
        </w:trPr>
        <w:tc>
          <w:tcPr>
            <w:tcW w:w="9968" w:type="dxa"/>
            <w:gridSpan w:val="15"/>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421D25">
        <w:trPr>
          <w:jc w:val="center"/>
        </w:trPr>
        <w:tc>
          <w:tcPr>
            <w:tcW w:w="4381" w:type="dxa"/>
            <w:gridSpan w:val="6"/>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5587"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421D25">
        <w:trPr>
          <w:jc w:val="center"/>
        </w:trPr>
        <w:tc>
          <w:tcPr>
            <w:tcW w:w="9968" w:type="dxa"/>
            <w:gridSpan w:val="15"/>
            <w:tcMar>
              <w:top w:w="57" w:type="dxa"/>
              <w:bottom w:w="57" w:type="dxa"/>
            </w:tcMar>
          </w:tcPr>
          <w:p w14:paraId="0EC0D7F0" w14:textId="6C419524" w:rsidR="009130B6" w:rsidRPr="00537C15" w:rsidRDefault="00C742AE" w:rsidP="006126D1">
            <w:pPr>
              <w:jc w:val="both"/>
              <w:rPr>
                <w:rFonts w:ascii="Calibri" w:hAnsi="Calibri"/>
                <w:b/>
                <w:bCs/>
                <w:szCs w:val="22"/>
              </w:rPr>
            </w:pPr>
            <w:r>
              <w:rPr>
                <w:rFonts w:ascii="Calibri" w:hAnsi="Calibri"/>
                <w:b/>
                <w:bCs/>
                <w:szCs w:val="22"/>
              </w:rPr>
              <w:t>LCC Highways</w:t>
            </w:r>
            <w:r w:rsidR="00537C15">
              <w:rPr>
                <w:rFonts w:ascii="Calibri" w:hAnsi="Calibri"/>
                <w:b/>
                <w:bCs/>
                <w:szCs w:val="22"/>
              </w:rPr>
              <w:t>:</w:t>
            </w:r>
          </w:p>
        </w:tc>
      </w:tr>
      <w:tr w:rsidR="00C742AE" w:rsidRPr="008C75E4" w14:paraId="33E68292" w14:textId="77777777" w:rsidTr="00421D25">
        <w:trPr>
          <w:jc w:val="center"/>
        </w:trPr>
        <w:tc>
          <w:tcPr>
            <w:tcW w:w="9968" w:type="dxa"/>
            <w:gridSpan w:val="15"/>
            <w:tcMar>
              <w:top w:w="57" w:type="dxa"/>
              <w:bottom w:w="57" w:type="dxa"/>
            </w:tcMar>
          </w:tcPr>
          <w:p w14:paraId="411DEBA9" w14:textId="26DE39BB" w:rsidR="00C742AE" w:rsidRPr="00C742AE" w:rsidRDefault="00C742AE" w:rsidP="006126D1">
            <w:pPr>
              <w:jc w:val="both"/>
              <w:rPr>
                <w:rFonts w:ascii="Calibri" w:hAnsi="Calibri"/>
                <w:szCs w:val="22"/>
              </w:rPr>
            </w:pPr>
            <w:r w:rsidRPr="00C742AE">
              <w:rPr>
                <w:rFonts w:ascii="Calibri" w:hAnsi="Calibri"/>
                <w:szCs w:val="22"/>
              </w:rPr>
              <w:t xml:space="preserve">No objection subject to the implementation of additional </w:t>
            </w:r>
            <w:r>
              <w:rPr>
                <w:rFonts w:ascii="Calibri" w:hAnsi="Calibri"/>
                <w:szCs w:val="22"/>
              </w:rPr>
              <w:t xml:space="preserve">planning </w:t>
            </w:r>
            <w:r w:rsidRPr="00C742AE">
              <w:rPr>
                <w:rFonts w:ascii="Calibri" w:hAnsi="Calibri"/>
                <w:szCs w:val="22"/>
              </w:rPr>
              <w:t>conditions</w:t>
            </w:r>
            <w:r>
              <w:rPr>
                <w:rFonts w:ascii="Calibri" w:hAnsi="Calibri"/>
                <w:szCs w:val="22"/>
              </w:rPr>
              <w:t>.</w:t>
            </w:r>
          </w:p>
        </w:tc>
      </w:tr>
      <w:tr w:rsidR="008C75E4" w:rsidRPr="008C75E4" w14:paraId="64F1E4C0" w14:textId="77777777" w:rsidTr="00421D25">
        <w:trPr>
          <w:jc w:val="center"/>
        </w:trPr>
        <w:tc>
          <w:tcPr>
            <w:tcW w:w="4381" w:type="dxa"/>
            <w:gridSpan w:val="6"/>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5587"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421D25">
        <w:trPr>
          <w:jc w:val="center"/>
        </w:trPr>
        <w:tc>
          <w:tcPr>
            <w:tcW w:w="9968" w:type="dxa"/>
            <w:gridSpan w:val="15"/>
            <w:tcBorders>
              <w:bottom w:val="single" w:sz="4" w:space="0" w:color="BFBFBF" w:themeColor="background1" w:themeShade="BF"/>
            </w:tcBorders>
            <w:tcMar>
              <w:top w:w="57" w:type="dxa"/>
              <w:bottom w:w="57" w:type="dxa"/>
            </w:tcMar>
          </w:tcPr>
          <w:p w14:paraId="2F232124" w14:textId="1A5E562C" w:rsidR="00863394" w:rsidRDefault="00863394" w:rsidP="00A47F23">
            <w:pPr>
              <w:jc w:val="both"/>
              <w:rPr>
                <w:rFonts w:ascii="Calibri" w:hAnsi="Calibri"/>
                <w:szCs w:val="22"/>
              </w:rPr>
            </w:pPr>
            <w:r>
              <w:rPr>
                <w:rFonts w:ascii="Calibri" w:hAnsi="Calibri"/>
                <w:szCs w:val="22"/>
              </w:rPr>
              <w:t>One</w:t>
            </w:r>
            <w:r w:rsidRPr="00863394">
              <w:rPr>
                <w:rFonts w:ascii="Calibri" w:hAnsi="Calibri"/>
                <w:szCs w:val="22"/>
              </w:rPr>
              <w:t xml:space="preserve"> objection ha</w:t>
            </w:r>
            <w:r>
              <w:rPr>
                <w:rFonts w:ascii="Calibri" w:hAnsi="Calibri"/>
                <w:szCs w:val="22"/>
              </w:rPr>
              <w:t>s</w:t>
            </w:r>
            <w:r w:rsidRPr="00863394">
              <w:rPr>
                <w:rFonts w:ascii="Calibri" w:hAnsi="Calibri"/>
                <w:szCs w:val="22"/>
              </w:rPr>
              <w:t xml:space="preserve"> been received in relation to the proposal. The objection </w:t>
            </w:r>
            <w:r>
              <w:rPr>
                <w:rFonts w:ascii="Calibri" w:hAnsi="Calibri"/>
                <w:szCs w:val="22"/>
              </w:rPr>
              <w:t>is</w:t>
            </w:r>
            <w:r w:rsidRPr="00863394">
              <w:rPr>
                <w:rFonts w:ascii="Calibri" w:hAnsi="Calibri"/>
                <w:szCs w:val="22"/>
              </w:rPr>
              <w:t xml:space="preserve"> summarised as: </w:t>
            </w:r>
          </w:p>
          <w:p w14:paraId="3C0F187B" w14:textId="77777777" w:rsidR="00863394" w:rsidRDefault="00863394" w:rsidP="00A47F23">
            <w:pPr>
              <w:jc w:val="both"/>
              <w:rPr>
                <w:rFonts w:ascii="Calibri" w:hAnsi="Calibri"/>
                <w:szCs w:val="22"/>
              </w:rPr>
            </w:pPr>
          </w:p>
          <w:p w14:paraId="4D27B8B7" w14:textId="076F6C4F" w:rsidR="005878FE" w:rsidRDefault="001F68E9" w:rsidP="001F68E9">
            <w:pPr>
              <w:pStyle w:val="ListParagraph"/>
              <w:numPr>
                <w:ilvl w:val="0"/>
                <w:numId w:val="18"/>
              </w:numPr>
              <w:jc w:val="both"/>
              <w:rPr>
                <w:rFonts w:ascii="Calibri" w:hAnsi="Calibri"/>
                <w:szCs w:val="22"/>
              </w:rPr>
            </w:pPr>
            <w:r>
              <w:rPr>
                <w:rFonts w:ascii="Calibri" w:hAnsi="Calibri"/>
                <w:szCs w:val="22"/>
              </w:rPr>
              <w:t>Impact of the proposal upon visual amenity</w:t>
            </w:r>
          </w:p>
          <w:p w14:paraId="589AC0C7" w14:textId="77777777" w:rsidR="001F68E9" w:rsidRDefault="001F68E9" w:rsidP="001F68E9">
            <w:pPr>
              <w:pStyle w:val="ListParagraph"/>
              <w:jc w:val="both"/>
              <w:rPr>
                <w:rFonts w:ascii="Calibri" w:hAnsi="Calibri"/>
                <w:szCs w:val="22"/>
              </w:rPr>
            </w:pPr>
          </w:p>
          <w:p w14:paraId="3821AC53" w14:textId="376DB96D" w:rsidR="001F68E9" w:rsidRPr="001F68E9" w:rsidRDefault="001F68E9" w:rsidP="001F68E9">
            <w:pPr>
              <w:pStyle w:val="ListParagraph"/>
              <w:numPr>
                <w:ilvl w:val="0"/>
                <w:numId w:val="18"/>
              </w:numPr>
              <w:jc w:val="both"/>
              <w:rPr>
                <w:rFonts w:ascii="Calibri" w:hAnsi="Calibri"/>
                <w:szCs w:val="22"/>
              </w:rPr>
            </w:pPr>
            <w:r>
              <w:rPr>
                <w:rFonts w:ascii="Calibri" w:hAnsi="Calibri"/>
                <w:szCs w:val="22"/>
              </w:rPr>
              <w:t>Impact of the proposal upon highway safety</w:t>
            </w:r>
          </w:p>
          <w:p w14:paraId="2EE17730" w14:textId="6A43D0AD" w:rsidR="001F68E9" w:rsidRPr="00435FC9" w:rsidRDefault="001F68E9" w:rsidP="001A4EFD">
            <w:pPr>
              <w:jc w:val="both"/>
              <w:rPr>
                <w:rFonts w:ascii="Calibri" w:hAnsi="Calibri"/>
                <w:szCs w:val="22"/>
              </w:rPr>
            </w:pPr>
          </w:p>
        </w:tc>
      </w:tr>
      <w:tr w:rsidR="008C75E4" w:rsidRPr="008C75E4" w14:paraId="5AA67F48" w14:textId="77777777" w:rsidTr="00421D25">
        <w:trPr>
          <w:trHeight w:hRule="exact" w:val="144"/>
          <w:jc w:val="center"/>
        </w:trPr>
        <w:tc>
          <w:tcPr>
            <w:tcW w:w="9968" w:type="dxa"/>
            <w:gridSpan w:val="15"/>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421D25">
        <w:trPr>
          <w:jc w:val="center"/>
        </w:trPr>
        <w:tc>
          <w:tcPr>
            <w:tcW w:w="9968" w:type="dxa"/>
            <w:gridSpan w:val="15"/>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421D25">
        <w:trPr>
          <w:trHeight w:val="864"/>
          <w:jc w:val="center"/>
        </w:trPr>
        <w:tc>
          <w:tcPr>
            <w:tcW w:w="9968" w:type="dxa"/>
            <w:gridSpan w:val="15"/>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06E0E991"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7D6D0C2E" w14:textId="600A1FDA" w:rsidR="003E5100" w:rsidRDefault="003E5100" w:rsidP="006126D1">
            <w:pPr>
              <w:jc w:val="both"/>
              <w:rPr>
                <w:rFonts w:ascii="Calibri" w:hAnsi="Calibri"/>
                <w:szCs w:val="22"/>
              </w:rPr>
            </w:pPr>
            <w:r>
              <w:rPr>
                <w:rFonts w:ascii="Calibri" w:hAnsi="Calibri"/>
                <w:szCs w:val="22"/>
              </w:rPr>
              <w:t>Key Statement EN1 – Green Belt</w:t>
            </w:r>
          </w:p>
          <w:p w14:paraId="041CB912" w14:textId="77777777" w:rsidR="00230AE6" w:rsidRDefault="00230AE6" w:rsidP="006126D1">
            <w:pPr>
              <w:jc w:val="both"/>
              <w:rPr>
                <w:rFonts w:ascii="Calibri" w:hAnsi="Calibri"/>
                <w:szCs w:val="22"/>
              </w:rPr>
            </w:pPr>
            <w:r>
              <w:rPr>
                <w:rFonts w:ascii="Calibri" w:hAnsi="Calibri"/>
                <w:szCs w:val="22"/>
              </w:rPr>
              <w:t>Policy DMG1 – General Considerations</w:t>
            </w:r>
          </w:p>
          <w:p w14:paraId="5CF48C7A" w14:textId="12413BDF" w:rsidR="00230AE6" w:rsidRDefault="00230AE6" w:rsidP="006126D1">
            <w:pPr>
              <w:jc w:val="both"/>
              <w:rPr>
                <w:rFonts w:ascii="Calibri" w:hAnsi="Calibri"/>
                <w:szCs w:val="22"/>
              </w:rPr>
            </w:pPr>
            <w:r>
              <w:rPr>
                <w:rFonts w:ascii="Calibri" w:hAnsi="Calibri"/>
                <w:szCs w:val="22"/>
              </w:rPr>
              <w:t>Policy DMG2 – Strategic Considerations</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421D25">
        <w:trPr>
          <w:trHeight w:val="864"/>
          <w:jc w:val="center"/>
        </w:trPr>
        <w:tc>
          <w:tcPr>
            <w:tcW w:w="9968" w:type="dxa"/>
            <w:gridSpan w:val="15"/>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39F615A7" w14:textId="6D8CCAE7" w:rsidR="00D56225" w:rsidRDefault="00D56225" w:rsidP="007A3ADF">
            <w:pPr>
              <w:pStyle w:val="PLANNING"/>
              <w:rPr>
                <w:rFonts w:ascii="Calibri" w:hAnsi="Calibri"/>
                <w:bCs/>
                <w:szCs w:val="22"/>
              </w:rPr>
            </w:pPr>
          </w:p>
          <w:p w14:paraId="470A9B65" w14:textId="77777777" w:rsidR="003E5100" w:rsidRPr="001F68E9" w:rsidRDefault="001F68E9" w:rsidP="001F68E9">
            <w:pPr>
              <w:pStyle w:val="PLANNING"/>
              <w:rPr>
                <w:rFonts w:ascii="Calibri" w:hAnsi="Calibri"/>
                <w:b/>
                <w:bCs/>
                <w:szCs w:val="22"/>
              </w:rPr>
            </w:pPr>
            <w:r w:rsidRPr="001F68E9">
              <w:rPr>
                <w:rFonts w:ascii="Calibri" w:hAnsi="Calibri"/>
                <w:b/>
                <w:bCs/>
                <w:szCs w:val="22"/>
              </w:rPr>
              <w:t>3/2008/0636:</w:t>
            </w:r>
          </w:p>
          <w:p w14:paraId="5CD54DCF" w14:textId="3E028B30" w:rsidR="001F68E9" w:rsidRDefault="001F68E9" w:rsidP="001F68E9">
            <w:pPr>
              <w:pStyle w:val="PLANNING"/>
              <w:rPr>
                <w:rFonts w:ascii="Calibri" w:hAnsi="Calibri"/>
                <w:bCs/>
                <w:szCs w:val="22"/>
              </w:rPr>
            </w:pPr>
            <w:r w:rsidRPr="001F68E9">
              <w:rPr>
                <w:rFonts w:ascii="Calibri" w:hAnsi="Calibri"/>
                <w:bCs/>
                <w:szCs w:val="22"/>
              </w:rPr>
              <w:t>Proposed two storey side extension and rear extension to existing house to form lounge, bedroom and study and including roof patio (over study) and raised decking area to rear garden</w:t>
            </w:r>
            <w:r>
              <w:rPr>
                <w:rFonts w:ascii="Calibri" w:hAnsi="Calibri"/>
                <w:bCs/>
                <w:szCs w:val="22"/>
              </w:rPr>
              <w:t xml:space="preserve"> (Approved)</w:t>
            </w:r>
          </w:p>
          <w:p w14:paraId="02A29658" w14:textId="326E62A5" w:rsidR="001F68E9" w:rsidRDefault="001F68E9" w:rsidP="001F68E9">
            <w:pPr>
              <w:pStyle w:val="PLANNING"/>
              <w:rPr>
                <w:rFonts w:ascii="Calibri" w:hAnsi="Calibri"/>
                <w:bCs/>
                <w:szCs w:val="22"/>
              </w:rPr>
            </w:pPr>
          </w:p>
          <w:p w14:paraId="4FCB2205" w14:textId="4E0F32A2" w:rsidR="001F68E9" w:rsidRPr="001F68E9" w:rsidRDefault="001F68E9" w:rsidP="001F68E9">
            <w:pPr>
              <w:pStyle w:val="PLANNING"/>
              <w:rPr>
                <w:rFonts w:ascii="Calibri" w:hAnsi="Calibri"/>
                <w:b/>
                <w:szCs w:val="22"/>
              </w:rPr>
            </w:pPr>
            <w:r w:rsidRPr="001F68E9">
              <w:rPr>
                <w:rFonts w:ascii="Calibri" w:hAnsi="Calibri"/>
                <w:b/>
                <w:szCs w:val="22"/>
              </w:rPr>
              <w:t>3/2021/0886:</w:t>
            </w:r>
          </w:p>
          <w:p w14:paraId="4FFA2BD1" w14:textId="5BAD7141" w:rsidR="001F68E9" w:rsidRDefault="001F68E9" w:rsidP="001F68E9">
            <w:pPr>
              <w:pStyle w:val="PLANNING"/>
              <w:rPr>
                <w:rFonts w:ascii="Calibri" w:hAnsi="Calibri"/>
                <w:bCs/>
                <w:szCs w:val="22"/>
              </w:rPr>
            </w:pPr>
            <w:r w:rsidRPr="001F68E9">
              <w:rPr>
                <w:rFonts w:ascii="Calibri" w:hAnsi="Calibri"/>
                <w:bCs/>
                <w:szCs w:val="22"/>
              </w:rPr>
              <w:t>Application to determine whether it would be lawful to site a mobile home on adjacent land to be used as annex accommodation</w:t>
            </w:r>
            <w:r>
              <w:rPr>
                <w:rFonts w:ascii="Calibri" w:hAnsi="Calibri"/>
                <w:bCs/>
                <w:szCs w:val="22"/>
              </w:rPr>
              <w:t xml:space="preserve"> (Refused)</w:t>
            </w:r>
          </w:p>
          <w:p w14:paraId="30A97D50" w14:textId="7E16E91E" w:rsidR="001F68E9" w:rsidRPr="003E5100" w:rsidRDefault="001F68E9" w:rsidP="001F68E9">
            <w:pPr>
              <w:pStyle w:val="PLANNING"/>
              <w:rPr>
                <w:rFonts w:ascii="Calibri" w:hAnsi="Calibri"/>
                <w:bCs/>
                <w:szCs w:val="22"/>
              </w:rPr>
            </w:pPr>
          </w:p>
        </w:tc>
      </w:tr>
      <w:tr w:rsidR="008C75E4" w:rsidRPr="008C75E4" w14:paraId="541EC7DC" w14:textId="77777777" w:rsidTr="00421D25">
        <w:trPr>
          <w:trHeight w:hRule="exact" w:val="144"/>
          <w:jc w:val="center"/>
        </w:trPr>
        <w:tc>
          <w:tcPr>
            <w:tcW w:w="9968" w:type="dxa"/>
            <w:gridSpan w:val="15"/>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421D25">
        <w:trPr>
          <w:jc w:val="center"/>
        </w:trPr>
        <w:tc>
          <w:tcPr>
            <w:tcW w:w="9968" w:type="dxa"/>
            <w:gridSpan w:val="15"/>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421D25">
        <w:trPr>
          <w:trHeight w:val="784"/>
          <w:jc w:val="center"/>
        </w:trPr>
        <w:tc>
          <w:tcPr>
            <w:tcW w:w="9968" w:type="dxa"/>
            <w:gridSpan w:val="15"/>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21247EC2"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233DDA">
              <w:rPr>
                <w:rFonts w:asciiTheme="minorHAnsi" w:hAnsiTheme="minorHAnsi" w:cstheme="minorHAnsi"/>
                <w:szCs w:val="22"/>
              </w:rPr>
              <w:t xml:space="preserve">detached property in </w:t>
            </w:r>
            <w:proofErr w:type="spellStart"/>
            <w:r w:rsidR="001F68E9">
              <w:rPr>
                <w:rFonts w:asciiTheme="minorHAnsi" w:hAnsiTheme="minorHAnsi" w:cstheme="minorHAnsi"/>
                <w:szCs w:val="22"/>
              </w:rPr>
              <w:t>Langho</w:t>
            </w:r>
            <w:proofErr w:type="spellEnd"/>
            <w:r w:rsidR="00233DDA">
              <w:rPr>
                <w:rFonts w:asciiTheme="minorHAnsi" w:hAnsiTheme="minorHAnsi" w:cstheme="minorHAnsi"/>
                <w:szCs w:val="22"/>
              </w:rPr>
              <w:t xml:space="preserve">. The property </w:t>
            </w:r>
            <w:r w:rsidR="00952061">
              <w:rPr>
                <w:rFonts w:asciiTheme="minorHAnsi" w:hAnsiTheme="minorHAnsi" w:cstheme="minorHAnsi"/>
                <w:szCs w:val="22"/>
              </w:rPr>
              <w:t>consists of</w:t>
            </w:r>
            <w:r w:rsidR="00233DDA">
              <w:rPr>
                <w:rFonts w:asciiTheme="minorHAnsi" w:hAnsiTheme="minorHAnsi" w:cstheme="minorHAnsi"/>
                <w:szCs w:val="22"/>
              </w:rPr>
              <w:t xml:space="preserve"> </w:t>
            </w:r>
            <w:r w:rsidR="00952061">
              <w:rPr>
                <w:rFonts w:asciiTheme="minorHAnsi" w:hAnsiTheme="minorHAnsi" w:cstheme="minorHAnsi"/>
                <w:szCs w:val="22"/>
              </w:rPr>
              <w:t>brick</w:t>
            </w:r>
            <w:r w:rsidR="00233DDA">
              <w:rPr>
                <w:rFonts w:asciiTheme="minorHAnsi" w:hAnsiTheme="minorHAnsi" w:cstheme="minorHAnsi"/>
                <w:szCs w:val="22"/>
              </w:rPr>
              <w:t xml:space="preserve">, </w:t>
            </w:r>
            <w:r w:rsidR="00952061">
              <w:rPr>
                <w:rFonts w:asciiTheme="minorHAnsi" w:hAnsiTheme="minorHAnsi" w:cstheme="minorHAnsi"/>
                <w:szCs w:val="22"/>
              </w:rPr>
              <w:t>concrete</w:t>
            </w:r>
            <w:r w:rsidR="00233DDA">
              <w:rPr>
                <w:rFonts w:asciiTheme="minorHAnsi" w:hAnsiTheme="minorHAnsi" w:cstheme="minorHAnsi"/>
                <w:szCs w:val="22"/>
              </w:rPr>
              <w:t xml:space="preserve"> roof tiles and </w:t>
            </w:r>
            <w:r w:rsidR="00952061">
              <w:rPr>
                <w:rFonts w:asciiTheme="minorHAnsi" w:hAnsiTheme="minorHAnsi" w:cstheme="minorHAnsi"/>
                <w:szCs w:val="22"/>
              </w:rPr>
              <w:t>white UPVC</w:t>
            </w:r>
            <w:r w:rsidR="00233DDA">
              <w:rPr>
                <w:rFonts w:asciiTheme="minorHAnsi" w:hAnsiTheme="minorHAnsi" w:cstheme="minorHAnsi"/>
                <w:szCs w:val="22"/>
              </w:rPr>
              <w:t xml:space="preserve"> doors and windows. </w:t>
            </w:r>
            <w:r w:rsidR="00952061">
              <w:rPr>
                <w:rFonts w:asciiTheme="minorHAnsi" w:hAnsiTheme="minorHAnsi" w:cstheme="minorHAnsi"/>
                <w:szCs w:val="22"/>
              </w:rPr>
              <w:t>The proposed granny annex would be sited on a parcel of agricultural land situated immediately to the South of the main property which the applicant wishes to incorporate as part of their residential curtilage. The proposal site is situated at the end of a residential cul-de-sac comprising a small number of detached two storey dwellings with a large area of open countryside to the periphery.</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421D25">
        <w:trPr>
          <w:trHeight w:val="1152"/>
          <w:jc w:val="center"/>
        </w:trPr>
        <w:tc>
          <w:tcPr>
            <w:tcW w:w="9968" w:type="dxa"/>
            <w:gridSpan w:val="15"/>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5A4FE57A" w14:textId="77777777" w:rsidR="00233DDA" w:rsidRDefault="00233DDA" w:rsidP="00BD6206">
            <w:pPr>
              <w:pStyle w:val="Header"/>
              <w:tabs>
                <w:tab w:val="clear" w:pos="4153"/>
                <w:tab w:val="clear" w:pos="8306"/>
              </w:tabs>
              <w:jc w:val="both"/>
              <w:rPr>
                <w:rFonts w:ascii="Calibri" w:hAnsi="Calibri"/>
                <w:szCs w:val="22"/>
              </w:rPr>
            </w:pPr>
          </w:p>
          <w:p w14:paraId="0FF5D043" w14:textId="77777777" w:rsidR="003E5100" w:rsidRDefault="00A47F23" w:rsidP="00F86F3B">
            <w:pPr>
              <w:pStyle w:val="Header"/>
              <w:tabs>
                <w:tab w:val="clear" w:pos="4153"/>
                <w:tab w:val="clear" w:pos="8306"/>
              </w:tabs>
              <w:jc w:val="both"/>
              <w:rPr>
                <w:rFonts w:ascii="Calibri" w:hAnsi="Calibri"/>
                <w:szCs w:val="22"/>
              </w:rPr>
            </w:pPr>
            <w:r>
              <w:rPr>
                <w:rFonts w:ascii="Calibri" w:hAnsi="Calibri"/>
                <w:szCs w:val="22"/>
              </w:rPr>
              <w:t>Consent is sought for</w:t>
            </w:r>
            <w:r w:rsidR="00952061">
              <w:rPr>
                <w:rFonts w:ascii="Calibri" w:hAnsi="Calibri"/>
                <w:szCs w:val="22"/>
              </w:rPr>
              <w:t xml:space="preserve"> the construction a single storey granny annex and an extension of </w:t>
            </w:r>
            <w:r w:rsidR="004D52DC">
              <w:rPr>
                <w:rFonts w:ascii="Calibri" w:hAnsi="Calibri"/>
                <w:szCs w:val="22"/>
              </w:rPr>
              <w:t xml:space="preserve">the property’s </w:t>
            </w:r>
            <w:r w:rsidR="00952061">
              <w:rPr>
                <w:rFonts w:ascii="Calibri" w:hAnsi="Calibri"/>
                <w:szCs w:val="22"/>
              </w:rPr>
              <w:t>residential curtilage</w:t>
            </w:r>
            <w:r w:rsidR="007C7B47">
              <w:rPr>
                <w:rFonts w:ascii="Calibri" w:hAnsi="Calibri"/>
                <w:szCs w:val="22"/>
              </w:rPr>
              <w:t>.</w:t>
            </w:r>
          </w:p>
          <w:p w14:paraId="2E79BDB6" w14:textId="6EAA2261" w:rsidR="004D52DC" w:rsidRPr="00096654" w:rsidRDefault="004D52DC" w:rsidP="00F86F3B">
            <w:pPr>
              <w:pStyle w:val="Header"/>
              <w:tabs>
                <w:tab w:val="clear" w:pos="4153"/>
                <w:tab w:val="clear" w:pos="8306"/>
              </w:tabs>
              <w:jc w:val="both"/>
              <w:rPr>
                <w:rFonts w:ascii="Calibri" w:hAnsi="Calibri"/>
                <w:szCs w:val="22"/>
              </w:rPr>
            </w:pPr>
          </w:p>
        </w:tc>
      </w:tr>
      <w:tr w:rsidR="00BD6206" w:rsidRPr="008C75E4" w14:paraId="0AF2EBD3" w14:textId="77777777" w:rsidTr="00421D25">
        <w:trPr>
          <w:trHeight w:val="1152"/>
          <w:jc w:val="center"/>
        </w:trPr>
        <w:tc>
          <w:tcPr>
            <w:tcW w:w="9968" w:type="dxa"/>
            <w:gridSpan w:val="15"/>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41470F1E" w14:textId="5E1BD4BA" w:rsidR="003E5100" w:rsidRDefault="003E5100" w:rsidP="006644F6">
            <w:pPr>
              <w:pStyle w:val="Header"/>
              <w:rPr>
                <w:rFonts w:ascii="Calibri" w:hAnsi="Calibri"/>
                <w:szCs w:val="22"/>
              </w:rPr>
            </w:pPr>
          </w:p>
          <w:p w14:paraId="327F390B" w14:textId="1F326FF1" w:rsidR="003E5100" w:rsidRPr="005C4390" w:rsidRDefault="003E5100" w:rsidP="006644F6">
            <w:pPr>
              <w:pStyle w:val="Header"/>
              <w:rPr>
                <w:rFonts w:ascii="Calibri" w:hAnsi="Calibri"/>
                <w:szCs w:val="22"/>
              </w:rPr>
            </w:pPr>
            <w:r w:rsidRPr="003E5100">
              <w:rPr>
                <w:rFonts w:ascii="Calibri" w:hAnsi="Calibri"/>
                <w:szCs w:val="22"/>
              </w:rPr>
              <w:t>The proposal site is</w:t>
            </w:r>
            <w:r w:rsidR="007C7B47">
              <w:rPr>
                <w:rFonts w:ascii="Calibri" w:hAnsi="Calibri"/>
                <w:szCs w:val="22"/>
              </w:rPr>
              <w:t xml:space="preserve"> </w:t>
            </w:r>
            <w:r w:rsidRPr="003E5100">
              <w:rPr>
                <w:rFonts w:ascii="Calibri" w:hAnsi="Calibri"/>
                <w:szCs w:val="22"/>
              </w:rPr>
              <w:t xml:space="preserve">situated in the designated Green Belt. Green Belt areas are assigned optimum levels of protection from all types of development. </w:t>
            </w:r>
            <w:r w:rsidR="002A4629">
              <w:rPr>
                <w:rFonts w:ascii="Calibri" w:hAnsi="Calibri"/>
                <w:szCs w:val="22"/>
              </w:rPr>
              <w:t>With regards t</w:t>
            </w:r>
            <w:r w:rsidR="005C4390">
              <w:rPr>
                <w:rFonts w:ascii="Calibri" w:hAnsi="Calibri"/>
                <w:szCs w:val="22"/>
              </w:rPr>
              <w:t>o development within Green Belt areas, p</w:t>
            </w:r>
            <w:r w:rsidR="002A4629">
              <w:rPr>
                <w:rFonts w:ascii="Calibri" w:hAnsi="Calibri"/>
                <w:szCs w:val="22"/>
              </w:rPr>
              <w:t>aragraph 137 of the NPPF states: “</w:t>
            </w:r>
            <w:r w:rsidR="002A4629" w:rsidRPr="002A4629">
              <w:rPr>
                <w:rFonts w:ascii="Calibri" w:hAnsi="Calibri"/>
                <w:i/>
                <w:iCs/>
                <w:szCs w:val="22"/>
              </w:rPr>
              <w:t>The Government attaches great importance to Green Belts. The fundamental aim of Green Belt policy is to prevent urban sprawl by keeping land permanently open; the essential characteristics of Green Belts are their openness and their permanence</w:t>
            </w:r>
            <w:r w:rsidR="002A4629">
              <w:rPr>
                <w:rFonts w:ascii="Calibri" w:hAnsi="Calibri"/>
                <w:i/>
                <w:iCs/>
                <w:szCs w:val="22"/>
              </w:rPr>
              <w:t>”.</w:t>
            </w:r>
          </w:p>
          <w:p w14:paraId="4E493560" w14:textId="699195FD" w:rsidR="002A4629" w:rsidRDefault="002A4629" w:rsidP="006644F6">
            <w:pPr>
              <w:pStyle w:val="Header"/>
              <w:rPr>
                <w:rFonts w:ascii="Calibri" w:hAnsi="Calibri"/>
                <w:i/>
                <w:iCs/>
                <w:szCs w:val="22"/>
              </w:rPr>
            </w:pPr>
          </w:p>
          <w:p w14:paraId="1D5D7689" w14:textId="31C22B92" w:rsidR="002A4629" w:rsidRDefault="002A4629" w:rsidP="006644F6">
            <w:pPr>
              <w:pStyle w:val="Header"/>
              <w:rPr>
                <w:rFonts w:ascii="Calibri" w:hAnsi="Calibri"/>
                <w:szCs w:val="22"/>
              </w:rPr>
            </w:pPr>
            <w:r>
              <w:rPr>
                <w:rFonts w:ascii="Calibri" w:hAnsi="Calibri"/>
                <w:szCs w:val="22"/>
              </w:rPr>
              <w:t xml:space="preserve">The NPPF states that Green Belt areas primarily serve five purposes which are: </w:t>
            </w:r>
          </w:p>
          <w:p w14:paraId="6C7A4C0E" w14:textId="77777777" w:rsidR="002A4629" w:rsidRDefault="002A4629" w:rsidP="006644F6">
            <w:pPr>
              <w:pStyle w:val="Header"/>
              <w:rPr>
                <w:rFonts w:ascii="Calibri" w:hAnsi="Calibri"/>
                <w:szCs w:val="22"/>
              </w:rPr>
            </w:pPr>
          </w:p>
          <w:p w14:paraId="1F5BECDB" w14:textId="77777777" w:rsidR="002A4629" w:rsidRDefault="002A4629" w:rsidP="002A4629">
            <w:pPr>
              <w:pStyle w:val="Header"/>
              <w:rPr>
                <w:rFonts w:ascii="Calibri" w:hAnsi="Calibri"/>
                <w:szCs w:val="22"/>
              </w:rPr>
            </w:pPr>
            <w:r>
              <w:rPr>
                <w:rFonts w:ascii="Calibri" w:hAnsi="Calibri"/>
                <w:szCs w:val="22"/>
              </w:rPr>
              <w:t xml:space="preserve">a) </w:t>
            </w:r>
            <w:r w:rsidRPr="002A4629">
              <w:rPr>
                <w:rFonts w:ascii="Calibri" w:hAnsi="Calibri"/>
                <w:szCs w:val="22"/>
              </w:rPr>
              <w:t xml:space="preserve">to check the unrestricted sprawl of large built-up </w:t>
            </w:r>
            <w:proofErr w:type="gramStart"/>
            <w:r w:rsidRPr="002A4629">
              <w:rPr>
                <w:rFonts w:ascii="Calibri" w:hAnsi="Calibri"/>
                <w:szCs w:val="22"/>
              </w:rPr>
              <w:t>areas;</w:t>
            </w:r>
            <w:proofErr w:type="gramEnd"/>
            <w:r w:rsidRPr="002A4629">
              <w:rPr>
                <w:rFonts w:ascii="Calibri" w:hAnsi="Calibri"/>
                <w:szCs w:val="22"/>
              </w:rPr>
              <w:t xml:space="preserve"> </w:t>
            </w:r>
          </w:p>
          <w:p w14:paraId="51B16EE8" w14:textId="77777777" w:rsidR="002A4629" w:rsidRDefault="002A4629" w:rsidP="002A4629">
            <w:pPr>
              <w:pStyle w:val="Header"/>
              <w:rPr>
                <w:rFonts w:ascii="Calibri" w:hAnsi="Calibri"/>
                <w:szCs w:val="22"/>
              </w:rPr>
            </w:pPr>
            <w:r w:rsidRPr="002A4629">
              <w:rPr>
                <w:rFonts w:ascii="Calibri" w:hAnsi="Calibri"/>
                <w:szCs w:val="22"/>
              </w:rPr>
              <w:t xml:space="preserve">b) to prevent neighbouring towns merging into </w:t>
            </w:r>
            <w:proofErr w:type="gramStart"/>
            <w:r w:rsidRPr="002A4629">
              <w:rPr>
                <w:rFonts w:ascii="Calibri" w:hAnsi="Calibri"/>
                <w:szCs w:val="22"/>
              </w:rPr>
              <w:t>one another;</w:t>
            </w:r>
            <w:proofErr w:type="gramEnd"/>
            <w:r w:rsidRPr="002A4629">
              <w:rPr>
                <w:rFonts w:ascii="Calibri" w:hAnsi="Calibri"/>
                <w:szCs w:val="22"/>
              </w:rPr>
              <w:t xml:space="preserve"> </w:t>
            </w:r>
          </w:p>
          <w:p w14:paraId="44E0B232" w14:textId="77777777" w:rsidR="002A4629" w:rsidRDefault="002A4629" w:rsidP="002A4629">
            <w:pPr>
              <w:pStyle w:val="Header"/>
              <w:rPr>
                <w:rFonts w:ascii="Calibri" w:hAnsi="Calibri"/>
                <w:szCs w:val="22"/>
              </w:rPr>
            </w:pPr>
            <w:r w:rsidRPr="002A4629">
              <w:rPr>
                <w:rFonts w:ascii="Calibri" w:hAnsi="Calibri"/>
                <w:szCs w:val="22"/>
              </w:rPr>
              <w:t xml:space="preserve">c) to assist in safeguarding the countryside from </w:t>
            </w:r>
            <w:proofErr w:type="gramStart"/>
            <w:r w:rsidRPr="002A4629">
              <w:rPr>
                <w:rFonts w:ascii="Calibri" w:hAnsi="Calibri"/>
                <w:szCs w:val="22"/>
              </w:rPr>
              <w:t>encroachment;</w:t>
            </w:r>
            <w:proofErr w:type="gramEnd"/>
            <w:r w:rsidRPr="002A4629">
              <w:rPr>
                <w:rFonts w:ascii="Calibri" w:hAnsi="Calibri"/>
                <w:szCs w:val="22"/>
              </w:rPr>
              <w:t xml:space="preserve"> </w:t>
            </w:r>
          </w:p>
          <w:p w14:paraId="335C89D2" w14:textId="77777777" w:rsidR="002A4629" w:rsidRDefault="002A4629" w:rsidP="002A4629">
            <w:pPr>
              <w:pStyle w:val="Header"/>
              <w:rPr>
                <w:rFonts w:ascii="Calibri" w:hAnsi="Calibri"/>
                <w:szCs w:val="22"/>
              </w:rPr>
            </w:pPr>
            <w:r w:rsidRPr="002A4629">
              <w:rPr>
                <w:rFonts w:ascii="Calibri" w:hAnsi="Calibri"/>
                <w:szCs w:val="22"/>
              </w:rPr>
              <w:t xml:space="preserve">d) to preserve the setting and special character of historic towns; and </w:t>
            </w:r>
          </w:p>
          <w:p w14:paraId="7DBDB3CE" w14:textId="382D0D1B" w:rsidR="002A4629" w:rsidRPr="002A4629" w:rsidRDefault="002A4629" w:rsidP="002A4629">
            <w:pPr>
              <w:pStyle w:val="Header"/>
              <w:rPr>
                <w:rFonts w:ascii="Calibri" w:hAnsi="Calibri"/>
                <w:szCs w:val="22"/>
              </w:rPr>
            </w:pPr>
            <w:r w:rsidRPr="002A4629">
              <w:rPr>
                <w:rFonts w:ascii="Calibri" w:hAnsi="Calibri"/>
                <w:szCs w:val="22"/>
              </w:rPr>
              <w:t>e) to assist in urban regeneration, by encouraging the recycling of derelict and other urban land.</w:t>
            </w:r>
          </w:p>
          <w:p w14:paraId="31159DF9" w14:textId="77777777" w:rsidR="003E5100" w:rsidRDefault="003E5100" w:rsidP="006644F6">
            <w:pPr>
              <w:pStyle w:val="Header"/>
              <w:rPr>
                <w:rFonts w:ascii="Calibri" w:hAnsi="Calibri"/>
                <w:szCs w:val="22"/>
              </w:rPr>
            </w:pPr>
          </w:p>
          <w:p w14:paraId="2EB2D309" w14:textId="15E80965" w:rsidR="005C4390" w:rsidRDefault="009830A1" w:rsidP="006644F6">
            <w:pPr>
              <w:pStyle w:val="Header"/>
              <w:rPr>
                <w:rFonts w:ascii="Calibri" w:hAnsi="Calibri"/>
                <w:i/>
                <w:szCs w:val="22"/>
              </w:rPr>
            </w:pPr>
            <w:r>
              <w:rPr>
                <w:rFonts w:ascii="Calibri" w:hAnsi="Calibri"/>
                <w:szCs w:val="22"/>
              </w:rPr>
              <w:t>Furthermore</w:t>
            </w:r>
            <w:r w:rsidR="003E5100" w:rsidRPr="003E5100">
              <w:rPr>
                <w:rFonts w:ascii="Calibri" w:hAnsi="Calibri"/>
                <w:szCs w:val="22"/>
              </w:rPr>
              <w:t xml:space="preserve">, Key Statement EN1 of the </w:t>
            </w:r>
            <w:proofErr w:type="spellStart"/>
            <w:r w:rsidR="003E5100" w:rsidRPr="003E5100">
              <w:rPr>
                <w:rFonts w:ascii="Calibri" w:hAnsi="Calibri"/>
                <w:szCs w:val="22"/>
              </w:rPr>
              <w:t>Ribble</w:t>
            </w:r>
            <w:proofErr w:type="spellEnd"/>
            <w:r w:rsidR="003E5100" w:rsidRPr="003E5100">
              <w:rPr>
                <w:rFonts w:ascii="Calibri" w:hAnsi="Calibri"/>
                <w:szCs w:val="22"/>
              </w:rPr>
              <w:t xml:space="preserve"> Valley Core Strategy states that </w:t>
            </w:r>
            <w:r w:rsidR="003E5100" w:rsidRPr="003E5100">
              <w:rPr>
                <w:rFonts w:ascii="Calibri" w:hAnsi="Calibri"/>
                <w:i/>
                <w:szCs w:val="22"/>
              </w:rPr>
              <w:t>‘the overall extent of the Green Belt will be maintained to safeguard the surrounding countryside from inappropriate encroachment.’</w:t>
            </w:r>
          </w:p>
          <w:p w14:paraId="27731BED" w14:textId="77777777" w:rsidR="005C4390" w:rsidRDefault="005C4390" w:rsidP="006644F6">
            <w:pPr>
              <w:pStyle w:val="Header"/>
              <w:rPr>
                <w:rFonts w:ascii="Calibri" w:hAnsi="Calibri"/>
                <w:i/>
                <w:szCs w:val="22"/>
              </w:rPr>
            </w:pPr>
          </w:p>
          <w:p w14:paraId="5324197A" w14:textId="20EE2842" w:rsidR="00900269" w:rsidRDefault="005C4390" w:rsidP="006644F6">
            <w:pPr>
              <w:pStyle w:val="Header"/>
              <w:rPr>
                <w:rFonts w:ascii="Calibri" w:hAnsi="Calibri"/>
                <w:iCs/>
                <w:szCs w:val="22"/>
              </w:rPr>
            </w:pPr>
            <w:r>
              <w:rPr>
                <w:rFonts w:ascii="Calibri" w:hAnsi="Calibri"/>
                <w:iCs/>
                <w:szCs w:val="22"/>
              </w:rPr>
              <w:t xml:space="preserve">The Location Plan submitted with the application indicates that the applicant is in ownership of land situated immediately to the South of </w:t>
            </w:r>
            <w:r w:rsidR="007C2CB6">
              <w:rPr>
                <w:rFonts w:ascii="Calibri" w:hAnsi="Calibri"/>
                <w:iCs/>
                <w:szCs w:val="22"/>
              </w:rPr>
              <w:t>the main property</w:t>
            </w:r>
            <w:r w:rsidR="00903630">
              <w:rPr>
                <w:rFonts w:ascii="Calibri" w:hAnsi="Calibri"/>
                <w:iCs/>
                <w:szCs w:val="22"/>
              </w:rPr>
              <w:t>. The land parcel covers an area of approximately 760 square metres and lies within the surrounding Green Belt. The plans submitted show that the proposed granny annex would be situated within the land parcel.</w:t>
            </w:r>
          </w:p>
          <w:p w14:paraId="6373F794" w14:textId="77777777" w:rsidR="000E5405" w:rsidRDefault="000E5405" w:rsidP="00900269">
            <w:pPr>
              <w:pStyle w:val="Header"/>
              <w:rPr>
                <w:rFonts w:ascii="Calibri" w:hAnsi="Calibri"/>
                <w:iCs/>
                <w:szCs w:val="22"/>
              </w:rPr>
            </w:pPr>
          </w:p>
          <w:p w14:paraId="0377B5EA" w14:textId="6B8B4297" w:rsidR="0046709F" w:rsidRDefault="0046709F" w:rsidP="00900269">
            <w:pPr>
              <w:pStyle w:val="Header"/>
              <w:rPr>
                <w:rFonts w:ascii="Calibri" w:hAnsi="Calibri"/>
                <w:iCs/>
                <w:szCs w:val="22"/>
              </w:rPr>
            </w:pPr>
            <w:r>
              <w:rPr>
                <w:rFonts w:ascii="Calibri" w:hAnsi="Calibri"/>
                <w:iCs/>
                <w:szCs w:val="22"/>
              </w:rPr>
              <w:t>Paragraph 149 of the NPPF states that:</w:t>
            </w:r>
          </w:p>
          <w:p w14:paraId="58869A28" w14:textId="77777777" w:rsidR="00DA4F2C" w:rsidRDefault="00DA4F2C" w:rsidP="00900269">
            <w:pPr>
              <w:pStyle w:val="Header"/>
              <w:rPr>
                <w:rFonts w:ascii="Calibri" w:hAnsi="Calibri"/>
                <w:iCs/>
                <w:szCs w:val="22"/>
              </w:rPr>
            </w:pPr>
          </w:p>
          <w:p w14:paraId="01BDFCAA" w14:textId="7C399A04" w:rsidR="0046709F" w:rsidRDefault="0046709F" w:rsidP="00900269">
            <w:pPr>
              <w:pStyle w:val="Header"/>
              <w:rPr>
                <w:rFonts w:ascii="Calibri" w:hAnsi="Calibri"/>
                <w:iCs/>
                <w:szCs w:val="22"/>
              </w:rPr>
            </w:pPr>
            <w:r>
              <w:rPr>
                <w:rFonts w:ascii="Calibri" w:hAnsi="Calibri"/>
                <w:iCs/>
                <w:szCs w:val="22"/>
              </w:rPr>
              <w:t>‘</w:t>
            </w:r>
            <w:r w:rsidRPr="0046709F">
              <w:rPr>
                <w:rFonts w:ascii="Calibri" w:hAnsi="Calibri"/>
                <w:i/>
                <w:szCs w:val="22"/>
              </w:rPr>
              <w:t>A local planning authority should regard the construction of new buildings as inappropriate in the Green Belt. Exceptions to this are</w:t>
            </w:r>
            <w:r w:rsidRPr="0046709F">
              <w:rPr>
                <w:rFonts w:ascii="Calibri" w:hAnsi="Calibri"/>
                <w:iCs/>
                <w:szCs w:val="22"/>
              </w:rPr>
              <w:t>:</w:t>
            </w:r>
          </w:p>
          <w:p w14:paraId="34F69154" w14:textId="723200E1" w:rsidR="0046709F" w:rsidRDefault="0046709F" w:rsidP="00900269">
            <w:pPr>
              <w:pStyle w:val="Header"/>
              <w:rPr>
                <w:rFonts w:ascii="Calibri" w:hAnsi="Calibri"/>
                <w:iCs/>
                <w:szCs w:val="22"/>
              </w:rPr>
            </w:pPr>
          </w:p>
          <w:p w14:paraId="0358AEE1" w14:textId="551AF777" w:rsidR="0046709F" w:rsidRDefault="00410BB2" w:rsidP="00410BB2">
            <w:pPr>
              <w:pStyle w:val="Header"/>
              <w:numPr>
                <w:ilvl w:val="0"/>
                <w:numId w:val="19"/>
              </w:numPr>
              <w:rPr>
                <w:rFonts w:ascii="Calibri" w:hAnsi="Calibri"/>
                <w:i/>
                <w:szCs w:val="22"/>
              </w:rPr>
            </w:pPr>
            <w:r w:rsidRPr="00410BB2">
              <w:rPr>
                <w:rFonts w:ascii="Calibri" w:hAnsi="Calibri"/>
                <w:i/>
                <w:szCs w:val="22"/>
              </w:rPr>
              <w:t xml:space="preserve">buildings for agriculture and </w:t>
            </w:r>
            <w:proofErr w:type="gramStart"/>
            <w:r w:rsidRPr="00410BB2">
              <w:rPr>
                <w:rFonts w:ascii="Calibri" w:hAnsi="Calibri"/>
                <w:i/>
                <w:szCs w:val="22"/>
              </w:rPr>
              <w:t>forestry;</w:t>
            </w:r>
            <w:proofErr w:type="gramEnd"/>
          </w:p>
          <w:p w14:paraId="06948306" w14:textId="77777777" w:rsidR="00410BB2" w:rsidRDefault="00410BB2" w:rsidP="00410BB2">
            <w:pPr>
              <w:pStyle w:val="Header"/>
              <w:ind w:left="720"/>
              <w:rPr>
                <w:rFonts w:ascii="Calibri" w:hAnsi="Calibri"/>
                <w:i/>
                <w:szCs w:val="22"/>
              </w:rPr>
            </w:pPr>
          </w:p>
          <w:p w14:paraId="407C3D55" w14:textId="01B0DC9A" w:rsidR="00410BB2" w:rsidRDefault="00410BB2" w:rsidP="00410BB2">
            <w:pPr>
              <w:pStyle w:val="Header"/>
              <w:numPr>
                <w:ilvl w:val="0"/>
                <w:numId w:val="19"/>
              </w:numPr>
              <w:rPr>
                <w:rFonts w:ascii="Calibri" w:hAnsi="Calibri"/>
                <w:i/>
                <w:szCs w:val="22"/>
              </w:rPr>
            </w:pPr>
            <w:r w:rsidRPr="00410BB2">
              <w:rPr>
                <w:rFonts w:ascii="Calibri" w:hAnsi="Calibri"/>
                <w:i/>
                <w:szCs w:val="22"/>
              </w:rPr>
              <w:t xml:space="preserve">the provision of appropriate facilities for outdoor sport, outdoor recreation, cemeteries and burial grounds and </w:t>
            </w:r>
            <w:proofErr w:type="gramStart"/>
            <w:r w:rsidRPr="00410BB2">
              <w:rPr>
                <w:rFonts w:ascii="Calibri" w:hAnsi="Calibri"/>
                <w:i/>
                <w:szCs w:val="22"/>
              </w:rPr>
              <w:t>allotments;</w:t>
            </w:r>
            <w:proofErr w:type="gramEnd"/>
          </w:p>
          <w:p w14:paraId="50A44B45" w14:textId="77777777" w:rsidR="00410BB2" w:rsidRDefault="00410BB2" w:rsidP="00410BB2">
            <w:pPr>
              <w:pStyle w:val="ListParagraph"/>
              <w:rPr>
                <w:rFonts w:ascii="Calibri" w:hAnsi="Calibri"/>
                <w:i/>
                <w:szCs w:val="22"/>
              </w:rPr>
            </w:pPr>
          </w:p>
          <w:p w14:paraId="790BB178" w14:textId="6BB27EAD" w:rsidR="00410BB2" w:rsidRDefault="00C702FE" w:rsidP="00410BB2">
            <w:pPr>
              <w:pStyle w:val="Header"/>
              <w:numPr>
                <w:ilvl w:val="0"/>
                <w:numId w:val="19"/>
              </w:numPr>
              <w:rPr>
                <w:rFonts w:ascii="Calibri" w:hAnsi="Calibri"/>
                <w:i/>
                <w:szCs w:val="22"/>
              </w:rPr>
            </w:pPr>
            <w:r w:rsidRPr="00C702FE">
              <w:rPr>
                <w:rFonts w:ascii="Calibri" w:hAnsi="Calibri"/>
                <w:i/>
                <w:szCs w:val="22"/>
              </w:rPr>
              <w:t xml:space="preserve">the extension or alteration of a building provided that it does not result in disproportionate additions over and above the size of the original </w:t>
            </w:r>
            <w:proofErr w:type="gramStart"/>
            <w:r w:rsidRPr="00C702FE">
              <w:rPr>
                <w:rFonts w:ascii="Calibri" w:hAnsi="Calibri"/>
                <w:i/>
                <w:szCs w:val="22"/>
              </w:rPr>
              <w:t>building;</w:t>
            </w:r>
            <w:proofErr w:type="gramEnd"/>
          </w:p>
          <w:p w14:paraId="18100586" w14:textId="77777777" w:rsidR="00C702FE" w:rsidRDefault="00C702FE" w:rsidP="00C702FE">
            <w:pPr>
              <w:pStyle w:val="ListParagraph"/>
              <w:rPr>
                <w:rFonts w:ascii="Calibri" w:hAnsi="Calibri"/>
                <w:i/>
                <w:szCs w:val="22"/>
              </w:rPr>
            </w:pPr>
          </w:p>
          <w:p w14:paraId="39B2B67F" w14:textId="66C33A6D" w:rsidR="00C702FE" w:rsidRDefault="001D04F0" w:rsidP="00410BB2">
            <w:pPr>
              <w:pStyle w:val="Header"/>
              <w:numPr>
                <w:ilvl w:val="0"/>
                <w:numId w:val="19"/>
              </w:numPr>
              <w:rPr>
                <w:rFonts w:ascii="Calibri" w:hAnsi="Calibri"/>
                <w:i/>
                <w:szCs w:val="22"/>
              </w:rPr>
            </w:pPr>
            <w:r w:rsidRPr="001D04F0">
              <w:rPr>
                <w:rFonts w:ascii="Calibri" w:hAnsi="Calibri"/>
                <w:i/>
                <w:szCs w:val="22"/>
              </w:rPr>
              <w:t xml:space="preserve">the replacement of a building, provided the new building is in the same use and not materially larger than the one it </w:t>
            </w:r>
            <w:proofErr w:type="gramStart"/>
            <w:r w:rsidRPr="001D04F0">
              <w:rPr>
                <w:rFonts w:ascii="Calibri" w:hAnsi="Calibri"/>
                <w:i/>
                <w:szCs w:val="22"/>
              </w:rPr>
              <w:t>replaces;</w:t>
            </w:r>
            <w:proofErr w:type="gramEnd"/>
          </w:p>
          <w:p w14:paraId="60EBD5EF" w14:textId="77777777" w:rsidR="001D04F0" w:rsidRDefault="001D04F0" w:rsidP="001D04F0">
            <w:pPr>
              <w:pStyle w:val="ListParagraph"/>
              <w:rPr>
                <w:rFonts w:ascii="Calibri" w:hAnsi="Calibri"/>
                <w:i/>
                <w:szCs w:val="22"/>
              </w:rPr>
            </w:pPr>
          </w:p>
          <w:p w14:paraId="6AA54242" w14:textId="70AE1D5E" w:rsidR="001D04F0" w:rsidRDefault="001D04F0" w:rsidP="00410BB2">
            <w:pPr>
              <w:pStyle w:val="Header"/>
              <w:numPr>
                <w:ilvl w:val="0"/>
                <w:numId w:val="19"/>
              </w:numPr>
              <w:rPr>
                <w:rFonts w:ascii="Calibri" w:hAnsi="Calibri"/>
                <w:i/>
                <w:szCs w:val="22"/>
              </w:rPr>
            </w:pPr>
            <w:r w:rsidRPr="001D04F0">
              <w:rPr>
                <w:rFonts w:ascii="Calibri" w:hAnsi="Calibri"/>
                <w:i/>
                <w:szCs w:val="22"/>
              </w:rPr>
              <w:t xml:space="preserve">limited infilling in </w:t>
            </w:r>
            <w:proofErr w:type="gramStart"/>
            <w:r w:rsidRPr="001D04F0">
              <w:rPr>
                <w:rFonts w:ascii="Calibri" w:hAnsi="Calibri"/>
                <w:i/>
                <w:szCs w:val="22"/>
              </w:rPr>
              <w:t>villages</w:t>
            </w:r>
            <w:r>
              <w:rPr>
                <w:rFonts w:ascii="Calibri" w:hAnsi="Calibri"/>
                <w:i/>
                <w:szCs w:val="22"/>
              </w:rPr>
              <w:t>;</w:t>
            </w:r>
            <w:proofErr w:type="gramEnd"/>
          </w:p>
          <w:p w14:paraId="1F2DDEA3" w14:textId="77777777" w:rsidR="001D04F0" w:rsidRDefault="001D04F0" w:rsidP="001D04F0">
            <w:pPr>
              <w:pStyle w:val="ListParagraph"/>
              <w:rPr>
                <w:rFonts w:ascii="Calibri" w:hAnsi="Calibri"/>
                <w:i/>
                <w:szCs w:val="22"/>
              </w:rPr>
            </w:pPr>
          </w:p>
          <w:p w14:paraId="62A997B5" w14:textId="2BD04FAD" w:rsidR="001D04F0" w:rsidRDefault="001D04F0" w:rsidP="00410BB2">
            <w:pPr>
              <w:pStyle w:val="Header"/>
              <w:numPr>
                <w:ilvl w:val="0"/>
                <w:numId w:val="19"/>
              </w:numPr>
              <w:rPr>
                <w:rFonts w:ascii="Calibri" w:hAnsi="Calibri"/>
                <w:i/>
                <w:szCs w:val="22"/>
              </w:rPr>
            </w:pPr>
            <w:r w:rsidRPr="001D04F0">
              <w:rPr>
                <w:rFonts w:ascii="Calibri" w:hAnsi="Calibri"/>
                <w:i/>
                <w:szCs w:val="22"/>
              </w:rPr>
              <w:t>limited affordable housing for local community needs under policies set out in the development pla</w:t>
            </w:r>
            <w:r>
              <w:rPr>
                <w:rFonts w:ascii="Calibri" w:hAnsi="Calibri"/>
                <w:i/>
                <w:szCs w:val="22"/>
              </w:rPr>
              <w:t>n</w:t>
            </w:r>
          </w:p>
          <w:p w14:paraId="59B63B4D" w14:textId="77777777" w:rsidR="001D04F0" w:rsidRDefault="001D04F0" w:rsidP="001D04F0">
            <w:pPr>
              <w:pStyle w:val="ListParagraph"/>
              <w:rPr>
                <w:rFonts w:ascii="Calibri" w:hAnsi="Calibri"/>
                <w:i/>
                <w:szCs w:val="22"/>
              </w:rPr>
            </w:pPr>
          </w:p>
          <w:p w14:paraId="718D6DB2" w14:textId="6B46D680" w:rsidR="001D04F0" w:rsidRDefault="001D04F0" w:rsidP="00410BB2">
            <w:pPr>
              <w:pStyle w:val="Header"/>
              <w:numPr>
                <w:ilvl w:val="0"/>
                <w:numId w:val="19"/>
              </w:numPr>
              <w:rPr>
                <w:rFonts w:ascii="Calibri" w:hAnsi="Calibri"/>
                <w:i/>
                <w:szCs w:val="22"/>
              </w:rPr>
            </w:pPr>
            <w:r w:rsidRPr="001D04F0">
              <w:rPr>
                <w:rFonts w:ascii="Calibri" w:hAnsi="Calibri"/>
                <w:i/>
                <w:szCs w:val="22"/>
              </w:rPr>
              <w:t>limited infilling or the partial or complete redevelopment of previously developed land, whether redundant or in continuing use</w:t>
            </w:r>
          </w:p>
          <w:p w14:paraId="6C2ED3CF" w14:textId="77777777" w:rsidR="001D04F0" w:rsidRDefault="001D04F0" w:rsidP="001D04F0">
            <w:pPr>
              <w:pStyle w:val="ListParagraph"/>
              <w:rPr>
                <w:rFonts w:ascii="Calibri" w:hAnsi="Calibri"/>
                <w:i/>
                <w:szCs w:val="22"/>
              </w:rPr>
            </w:pPr>
          </w:p>
          <w:p w14:paraId="16002B2B" w14:textId="77777777" w:rsidR="000A5492" w:rsidRDefault="004A434D" w:rsidP="000A5492">
            <w:pPr>
              <w:pStyle w:val="Header"/>
              <w:rPr>
                <w:rFonts w:ascii="Calibri" w:hAnsi="Calibri"/>
                <w:iCs/>
                <w:szCs w:val="22"/>
              </w:rPr>
            </w:pPr>
            <w:r>
              <w:rPr>
                <w:rFonts w:ascii="Calibri" w:hAnsi="Calibri"/>
                <w:iCs/>
                <w:szCs w:val="22"/>
              </w:rPr>
              <w:t xml:space="preserve">The design and access statement provided in support of the application states </w:t>
            </w:r>
            <w:r w:rsidR="0013139E" w:rsidRPr="0013139E">
              <w:rPr>
                <w:rFonts w:ascii="Calibri" w:hAnsi="Calibri"/>
                <w:i/>
                <w:szCs w:val="22"/>
              </w:rPr>
              <w:t xml:space="preserve">‘the </w:t>
            </w:r>
            <w:r w:rsidRPr="0013139E">
              <w:rPr>
                <w:rFonts w:ascii="Calibri" w:hAnsi="Calibri"/>
                <w:i/>
                <w:szCs w:val="22"/>
              </w:rPr>
              <w:t>propos</w:t>
            </w:r>
            <w:r w:rsidR="0013139E" w:rsidRPr="0013139E">
              <w:rPr>
                <w:rFonts w:ascii="Calibri" w:hAnsi="Calibri"/>
                <w:i/>
                <w:szCs w:val="22"/>
              </w:rPr>
              <w:t>al is for an ancillary granny annex</w:t>
            </w:r>
            <w:r w:rsidRPr="0013139E">
              <w:rPr>
                <w:rFonts w:ascii="Calibri" w:hAnsi="Calibri"/>
                <w:i/>
                <w:szCs w:val="22"/>
              </w:rPr>
              <w:t xml:space="preserve"> </w:t>
            </w:r>
            <w:r w:rsidR="0013139E" w:rsidRPr="0013139E">
              <w:rPr>
                <w:rFonts w:ascii="Calibri" w:hAnsi="Calibri"/>
                <w:i/>
                <w:szCs w:val="22"/>
              </w:rPr>
              <w:t>that will be located within an existing residential curtilage and will be heavily dependent on the host dwellin</w:t>
            </w:r>
            <w:r w:rsidR="000A5492">
              <w:rPr>
                <w:rFonts w:ascii="Calibri" w:hAnsi="Calibri"/>
                <w:i/>
                <w:szCs w:val="22"/>
              </w:rPr>
              <w:t xml:space="preserve">g’ </w:t>
            </w:r>
            <w:r w:rsidR="000A5492" w:rsidRPr="000A5492">
              <w:rPr>
                <w:rFonts w:ascii="Calibri" w:hAnsi="Calibri"/>
                <w:iCs/>
                <w:szCs w:val="22"/>
              </w:rPr>
              <w:t>h</w:t>
            </w:r>
            <w:r w:rsidR="0013139E">
              <w:rPr>
                <w:rFonts w:ascii="Calibri" w:hAnsi="Calibri"/>
                <w:iCs/>
                <w:szCs w:val="22"/>
              </w:rPr>
              <w:t>owever</w:t>
            </w:r>
            <w:r w:rsidR="00DA7EAF">
              <w:rPr>
                <w:rFonts w:ascii="Calibri" w:hAnsi="Calibri"/>
                <w:iCs/>
                <w:szCs w:val="22"/>
              </w:rPr>
              <w:t xml:space="preserve">, </w:t>
            </w:r>
            <w:r w:rsidR="0013139E">
              <w:rPr>
                <w:rFonts w:ascii="Calibri" w:hAnsi="Calibri"/>
                <w:iCs/>
                <w:szCs w:val="22"/>
              </w:rPr>
              <w:t>this statement is problematic on two counts.</w:t>
            </w:r>
            <w:r w:rsidR="00DA7EAF">
              <w:rPr>
                <w:rFonts w:ascii="Calibri" w:hAnsi="Calibri"/>
                <w:iCs/>
                <w:szCs w:val="22"/>
              </w:rPr>
              <w:t xml:space="preserve"> </w:t>
            </w:r>
          </w:p>
          <w:p w14:paraId="4432BB71" w14:textId="77777777" w:rsidR="000A5492" w:rsidRDefault="000A5492" w:rsidP="000A5492">
            <w:pPr>
              <w:pStyle w:val="Header"/>
              <w:rPr>
                <w:rFonts w:ascii="Calibri" w:hAnsi="Calibri"/>
                <w:iCs/>
                <w:szCs w:val="22"/>
              </w:rPr>
            </w:pPr>
          </w:p>
          <w:p w14:paraId="09F189D0" w14:textId="34F29713" w:rsidR="000A5492" w:rsidRDefault="0013139E" w:rsidP="000A5492">
            <w:pPr>
              <w:pStyle w:val="Header"/>
              <w:rPr>
                <w:rFonts w:ascii="Calibri" w:hAnsi="Calibri"/>
                <w:iCs/>
                <w:szCs w:val="22"/>
              </w:rPr>
            </w:pPr>
            <w:r>
              <w:rPr>
                <w:rFonts w:ascii="Calibri" w:hAnsi="Calibri"/>
                <w:iCs/>
                <w:szCs w:val="22"/>
              </w:rPr>
              <w:t xml:space="preserve">First, </w:t>
            </w:r>
            <w:r w:rsidR="000A5492">
              <w:rPr>
                <w:rFonts w:ascii="Calibri" w:hAnsi="Calibri"/>
                <w:iCs/>
                <w:szCs w:val="22"/>
              </w:rPr>
              <w:t>the design statement notes:</w:t>
            </w:r>
          </w:p>
          <w:p w14:paraId="53D0D197" w14:textId="100B8C89" w:rsidR="000A5492" w:rsidRDefault="000A5492" w:rsidP="000A5492">
            <w:pPr>
              <w:pStyle w:val="Header"/>
              <w:rPr>
                <w:rFonts w:ascii="Calibri" w:hAnsi="Calibri"/>
                <w:iCs/>
                <w:szCs w:val="22"/>
              </w:rPr>
            </w:pPr>
          </w:p>
          <w:p w14:paraId="3D572E64" w14:textId="67B77351" w:rsidR="000A5492" w:rsidRPr="000A5492" w:rsidRDefault="000A5492" w:rsidP="000A5492">
            <w:pPr>
              <w:pStyle w:val="Header"/>
              <w:rPr>
                <w:rFonts w:ascii="Calibri" w:hAnsi="Calibri"/>
                <w:i/>
                <w:iCs/>
                <w:szCs w:val="22"/>
              </w:rPr>
            </w:pPr>
            <w:r>
              <w:rPr>
                <w:rFonts w:ascii="Calibri" w:hAnsi="Calibri"/>
                <w:i/>
                <w:iCs/>
                <w:szCs w:val="22"/>
              </w:rPr>
              <w:t>‘I</w:t>
            </w:r>
            <w:r w:rsidRPr="000A5492">
              <w:rPr>
                <w:rFonts w:ascii="Calibri" w:hAnsi="Calibri"/>
                <w:i/>
                <w:iCs/>
                <w:szCs w:val="22"/>
              </w:rPr>
              <w:t>t is intended that the occupant will be preparing and eating meals in the main dwelling, watching television / relaxing, socialising with the family and using existing household facilities’</w:t>
            </w:r>
            <w:r>
              <w:rPr>
                <w:rFonts w:ascii="Calibri" w:hAnsi="Calibri"/>
                <w:i/>
                <w:iCs/>
                <w:szCs w:val="22"/>
              </w:rPr>
              <w:t xml:space="preserve"> </w:t>
            </w:r>
            <w:r w:rsidRPr="000A5492">
              <w:rPr>
                <w:rFonts w:ascii="Calibri" w:hAnsi="Calibri"/>
                <w:szCs w:val="22"/>
              </w:rPr>
              <w:t>however</w:t>
            </w:r>
            <w:r>
              <w:rPr>
                <w:rFonts w:ascii="Calibri" w:hAnsi="Calibri"/>
                <w:szCs w:val="22"/>
              </w:rPr>
              <w:t xml:space="preserve"> </w:t>
            </w:r>
            <w:r w:rsidR="0013139E">
              <w:rPr>
                <w:rFonts w:ascii="Calibri" w:hAnsi="Calibri"/>
                <w:iCs/>
                <w:szCs w:val="22"/>
              </w:rPr>
              <w:t>the proposed floor plans submitted with the application indicate</w:t>
            </w:r>
            <w:r w:rsidR="00BF0757">
              <w:rPr>
                <w:rFonts w:ascii="Calibri" w:hAnsi="Calibri"/>
                <w:iCs/>
                <w:szCs w:val="22"/>
              </w:rPr>
              <w:t>s</w:t>
            </w:r>
            <w:r w:rsidR="0013139E">
              <w:rPr>
                <w:rFonts w:ascii="Calibri" w:hAnsi="Calibri"/>
                <w:iCs/>
                <w:szCs w:val="22"/>
              </w:rPr>
              <w:t xml:space="preserve"> that the granny annex </w:t>
            </w:r>
            <w:r w:rsidR="00DA7EAF">
              <w:rPr>
                <w:rFonts w:ascii="Calibri" w:hAnsi="Calibri"/>
                <w:iCs/>
                <w:szCs w:val="22"/>
              </w:rPr>
              <w:t xml:space="preserve">would contain </w:t>
            </w:r>
            <w:r>
              <w:rPr>
                <w:rFonts w:ascii="Calibri" w:hAnsi="Calibri"/>
                <w:iCs/>
                <w:szCs w:val="22"/>
              </w:rPr>
              <w:t>a kitchen and dining area, living room, bathroom</w:t>
            </w:r>
            <w:r w:rsidR="00281535">
              <w:rPr>
                <w:rFonts w:ascii="Calibri" w:hAnsi="Calibri"/>
                <w:iCs/>
                <w:szCs w:val="22"/>
              </w:rPr>
              <w:t xml:space="preserve"> and </w:t>
            </w:r>
            <w:proofErr w:type="spellStart"/>
            <w:r w:rsidR="00E328C7">
              <w:rPr>
                <w:rFonts w:ascii="Calibri" w:hAnsi="Calibri"/>
                <w:iCs/>
                <w:szCs w:val="22"/>
              </w:rPr>
              <w:t>e</w:t>
            </w:r>
            <w:r>
              <w:rPr>
                <w:rFonts w:ascii="Calibri" w:hAnsi="Calibri"/>
                <w:iCs/>
                <w:szCs w:val="22"/>
              </w:rPr>
              <w:t>n</w:t>
            </w:r>
            <w:proofErr w:type="spellEnd"/>
            <w:r w:rsidR="00281535">
              <w:rPr>
                <w:rFonts w:ascii="Calibri" w:hAnsi="Calibri"/>
                <w:iCs/>
                <w:szCs w:val="22"/>
              </w:rPr>
              <w:t>-</w:t>
            </w:r>
            <w:r>
              <w:rPr>
                <w:rFonts w:ascii="Calibri" w:hAnsi="Calibri"/>
                <w:iCs/>
                <w:szCs w:val="22"/>
              </w:rPr>
              <w:t>suite</w:t>
            </w:r>
            <w:r w:rsidR="00462BC4">
              <w:rPr>
                <w:rFonts w:ascii="Calibri" w:hAnsi="Calibri"/>
                <w:iCs/>
                <w:szCs w:val="22"/>
              </w:rPr>
              <w:t>, all of which would suggest</w:t>
            </w:r>
            <w:r w:rsidR="00BF10F1">
              <w:rPr>
                <w:rFonts w:ascii="Calibri" w:hAnsi="Calibri"/>
                <w:iCs/>
                <w:szCs w:val="22"/>
              </w:rPr>
              <w:t xml:space="preserve"> that the granny annex would in fact have</w:t>
            </w:r>
            <w:r w:rsidR="00462BC4">
              <w:rPr>
                <w:rFonts w:ascii="Calibri" w:hAnsi="Calibri"/>
                <w:iCs/>
                <w:szCs w:val="22"/>
              </w:rPr>
              <w:t xml:space="preserve"> a notable degree of independence from the main property.</w:t>
            </w:r>
            <w:r w:rsidR="00E328C7">
              <w:rPr>
                <w:rFonts w:ascii="Calibri" w:hAnsi="Calibri"/>
                <w:iCs/>
                <w:szCs w:val="22"/>
              </w:rPr>
              <w:t xml:space="preserve"> </w:t>
            </w:r>
          </w:p>
          <w:p w14:paraId="6FF30738" w14:textId="549B7D08" w:rsidR="0013139E" w:rsidRPr="0013139E" w:rsidRDefault="0013139E" w:rsidP="001D04F0">
            <w:pPr>
              <w:pStyle w:val="Header"/>
              <w:rPr>
                <w:rFonts w:ascii="Calibri" w:hAnsi="Calibri"/>
                <w:iCs/>
                <w:szCs w:val="22"/>
              </w:rPr>
            </w:pPr>
          </w:p>
          <w:p w14:paraId="4487E728" w14:textId="32E3C9AE" w:rsidR="0013139E" w:rsidRPr="001D04F0" w:rsidRDefault="00462BC4" w:rsidP="001D04F0">
            <w:pPr>
              <w:pStyle w:val="Header"/>
              <w:rPr>
                <w:rFonts w:ascii="Calibri" w:hAnsi="Calibri"/>
                <w:iCs/>
                <w:szCs w:val="22"/>
              </w:rPr>
            </w:pPr>
            <w:r>
              <w:rPr>
                <w:rFonts w:ascii="Calibri" w:hAnsi="Calibri"/>
                <w:iCs/>
                <w:szCs w:val="22"/>
              </w:rPr>
              <w:t xml:space="preserve">As such, there is reasonable evidence to suggest that the proposed granny annex would </w:t>
            </w:r>
            <w:r w:rsidR="00BF10F1">
              <w:rPr>
                <w:rFonts w:ascii="Calibri" w:hAnsi="Calibri"/>
                <w:iCs/>
                <w:szCs w:val="22"/>
              </w:rPr>
              <w:t>function</w:t>
            </w:r>
            <w:r>
              <w:rPr>
                <w:rFonts w:ascii="Calibri" w:hAnsi="Calibri"/>
                <w:iCs/>
                <w:szCs w:val="22"/>
              </w:rPr>
              <w:t xml:space="preserve"> a</w:t>
            </w:r>
            <w:r w:rsidR="00BF10F1">
              <w:rPr>
                <w:rFonts w:ascii="Calibri" w:hAnsi="Calibri"/>
                <w:iCs/>
                <w:szCs w:val="22"/>
              </w:rPr>
              <w:t>s a</w:t>
            </w:r>
            <w:r>
              <w:rPr>
                <w:rFonts w:ascii="Calibri" w:hAnsi="Calibri"/>
                <w:iCs/>
                <w:szCs w:val="22"/>
              </w:rPr>
              <w:t xml:space="preserve"> separate dwelling that </w:t>
            </w:r>
            <w:r w:rsidR="0013139E" w:rsidRPr="0013139E">
              <w:rPr>
                <w:rFonts w:ascii="Calibri" w:hAnsi="Calibri"/>
                <w:iCs/>
                <w:szCs w:val="22"/>
              </w:rPr>
              <w:t>would not</w:t>
            </w:r>
            <w:r w:rsidR="00403990">
              <w:rPr>
                <w:rFonts w:ascii="Calibri" w:hAnsi="Calibri"/>
                <w:iCs/>
                <w:szCs w:val="22"/>
              </w:rPr>
              <w:t xml:space="preserve"> accord with any of</w:t>
            </w:r>
            <w:r w:rsidR="0013139E" w:rsidRPr="0013139E">
              <w:rPr>
                <w:rFonts w:ascii="Calibri" w:hAnsi="Calibri"/>
                <w:iCs/>
                <w:szCs w:val="22"/>
              </w:rPr>
              <w:t xml:space="preserve"> the exceptions listed above </w:t>
            </w:r>
            <w:r>
              <w:rPr>
                <w:rFonts w:ascii="Calibri" w:hAnsi="Calibri"/>
                <w:iCs/>
                <w:szCs w:val="22"/>
              </w:rPr>
              <w:t>in paragraph 149 of the NPPF</w:t>
            </w:r>
            <w:r w:rsidR="002F7C03">
              <w:rPr>
                <w:rFonts w:ascii="Calibri" w:hAnsi="Calibri"/>
                <w:iCs/>
                <w:szCs w:val="22"/>
              </w:rPr>
              <w:t xml:space="preserve">. </w:t>
            </w:r>
          </w:p>
          <w:p w14:paraId="53D8AE56" w14:textId="77777777" w:rsidR="002F7C03" w:rsidRDefault="002F7C03" w:rsidP="00900269">
            <w:pPr>
              <w:pStyle w:val="Header"/>
              <w:rPr>
                <w:rFonts w:ascii="Calibri" w:hAnsi="Calibri"/>
                <w:iCs/>
                <w:szCs w:val="22"/>
              </w:rPr>
            </w:pPr>
          </w:p>
          <w:p w14:paraId="1D8946F3" w14:textId="77777777" w:rsidR="009209D1" w:rsidRDefault="00015A32" w:rsidP="00900269">
            <w:pPr>
              <w:pStyle w:val="Header"/>
              <w:rPr>
                <w:rFonts w:ascii="Calibri" w:hAnsi="Calibri"/>
                <w:iCs/>
                <w:szCs w:val="22"/>
              </w:rPr>
            </w:pPr>
            <w:r>
              <w:rPr>
                <w:rFonts w:ascii="Calibri" w:hAnsi="Calibri"/>
                <w:iCs/>
                <w:szCs w:val="22"/>
              </w:rPr>
              <w:t xml:space="preserve">Second, </w:t>
            </w:r>
            <w:r w:rsidR="00900269">
              <w:rPr>
                <w:rFonts w:ascii="Calibri" w:hAnsi="Calibri"/>
                <w:iCs/>
                <w:szCs w:val="22"/>
              </w:rPr>
              <w:t>th</w:t>
            </w:r>
            <w:r w:rsidR="000E5405">
              <w:rPr>
                <w:rFonts w:ascii="Calibri" w:hAnsi="Calibri"/>
                <w:iCs/>
                <w:szCs w:val="22"/>
              </w:rPr>
              <w:t>e</w:t>
            </w:r>
            <w:r>
              <w:rPr>
                <w:rFonts w:ascii="Calibri" w:hAnsi="Calibri"/>
                <w:iCs/>
                <w:szCs w:val="22"/>
              </w:rPr>
              <w:t xml:space="preserve"> applicant states that</w:t>
            </w:r>
            <w:r w:rsidR="00AF2603">
              <w:rPr>
                <w:rFonts w:ascii="Calibri" w:hAnsi="Calibri"/>
                <w:iCs/>
                <w:szCs w:val="22"/>
              </w:rPr>
              <w:t xml:space="preserve"> the granny annex ‘</w:t>
            </w:r>
            <w:r w:rsidR="00AF2603" w:rsidRPr="0013139E">
              <w:rPr>
                <w:rFonts w:ascii="Calibri" w:hAnsi="Calibri"/>
                <w:i/>
                <w:szCs w:val="22"/>
              </w:rPr>
              <w:t>will be located within an existing residential curtilage</w:t>
            </w:r>
            <w:r w:rsidR="00AF2603">
              <w:rPr>
                <w:rFonts w:ascii="Calibri" w:hAnsi="Calibri"/>
                <w:i/>
                <w:szCs w:val="22"/>
              </w:rPr>
              <w:t xml:space="preserve">’ </w:t>
            </w:r>
            <w:r w:rsidR="00AF2603">
              <w:rPr>
                <w:rFonts w:ascii="Calibri" w:hAnsi="Calibri"/>
                <w:iCs/>
                <w:szCs w:val="22"/>
              </w:rPr>
              <w:t xml:space="preserve">however this statement is inaccurate in as much that the land parcel forming the proposal site for the granny annex </w:t>
            </w:r>
            <w:r w:rsidR="00403990">
              <w:rPr>
                <w:rFonts w:ascii="Calibri" w:hAnsi="Calibri"/>
                <w:iCs/>
                <w:szCs w:val="22"/>
              </w:rPr>
              <w:t>has never been subject to an application to extend the property’s residential curtilage</w:t>
            </w:r>
            <w:r w:rsidR="002F7C03">
              <w:rPr>
                <w:rFonts w:ascii="Calibri" w:hAnsi="Calibri"/>
                <w:iCs/>
                <w:szCs w:val="22"/>
              </w:rPr>
              <w:t>.</w:t>
            </w:r>
            <w:r w:rsidR="009209D1">
              <w:rPr>
                <w:rFonts w:ascii="Calibri" w:hAnsi="Calibri"/>
                <w:iCs/>
                <w:szCs w:val="22"/>
              </w:rPr>
              <w:t xml:space="preserve"> </w:t>
            </w:r>
            <w:r w:rsidR="002F7C03">
              <w:rPr>
                <w:rFonts w:ascii="Calibri" w:hAnsi="Calibri"/>
                <w:iCs/>
                <w:szCs w:val="22"/>
              </w:rPr>
              <w:t xml:space="preserve">This is reflected in the </w:t>
            </w:r>
            <w:r w:rsidR="00BA6F21">
              <w:rPr>
                <w:rFonts w:ascii="Calibri" w:hAnsi="Calibri"/>
                <w:iCs/>
                <w:szCs w:val="22"/>
              </w:rPr>
              <w:t>applicant</w:t>
            </w:r>
            <w:r w:rsidR="002F7C03">
              <w:rPr>
                <w:rFonts w:ascii="Calibri" w:hAnsi="Calibri"/>
                <w:iCs/>
                <w:szCs w:val="22"/>
              </w:rPr>
              <w:t xml:space="preserve"> seeking consent to extend the property’s residential curtilage in the current proposal</w:t>
            </w:r>
            <w:r w:rsidR="009209D1">
              <w:rPr>
                <w:rFonts w:ascii="Calibri" w:hAnsi="Calibri"/>
                <w:iCs/>
                <w:szCs w:val="22"/>
              </w:rPr>
              <w:t>.</w:t>
            </w:r>
          </w:p>
          <w:p w14:paraId="0E5A0806" w14:textId="77777777" w:rsidR="009209D1" w:rsidRDefault="009209D1" w:rsidP="00900269">
            <w:pPr>
              <w:pStyle w:val="Header"/>
              <w:rPr>
                <w:rFonts w:ascii="Calibri" w:hAnsi="Calibri"/>
                <w:iCs/>
                <w:szCs w:val="22"/>
              </w:rPr>
            </w:pPr>
          </w:p>
          <w:p w14:paraId="655CC7E2" w14:textId="19F33058" w:rsidR="00761001" w:rsidRPr="002F7C03" w:rsidRDefault="009209D1" w:rsidP="00900269">
            <w:pPr>
              <w:pStyle w:val="Header"/>
              <w:rPr>
                <w:rFonts w:ascii="Calibri" w:hAnsi="Calibri"/>
                <w:iCs/>
                <w:szCs w:val="22"/>
              </w:rPr>
            </w:pPr>
            <w:r>
              <w:rPr>
                <w:rFonts w:ascii="Calibri" w:hAnsi="Calibri"/>
                <w:iCs/>
                <w:szCs w:val="22"/>
              </w:rPr>
              <w:t>As such,</w:t>
            </w:r>
            <w:r w:rsidR="002F7C03">
              <w:rPr>
                <w:rFonts w:ascii="Calibri" w:hAnsi="Calibri"/>
                <w:iCs/>
                <w:szCs w:val="22"/>
              </w:rPr>
              <w:t xml:space="preserve"> this </w:t>
            </w:r>
            <w:r>
              <w:rPr>
                <w:rFonts w:ascii="Calibri" w:hAnsi="Calibri"/>
                <w:iCs/>
                <w:szCs w:val="22"/>
              </w:rPr>
              <w:t xml:space="preserve">aspect of the proposal </w:t>
            </w:r>
            <w:r w:rsidR="00900269">
              <w:rPr>
                <w:rFonts w:ascii="Calibri" w:hAnsi="Calibri"/>
                <w:iCs/>
                <w:szCs w:val="22"/>
              </w:rPr>
              <w:t xml:space="preserve">presents a </w:t>
            </w:r>
            <w:r w:rsidR="0046709F">
              <w:rPr>
                <w:rFonts w:ascii="Calibri" w:hAnsi="Calibri"/>
                <w:iCs/>
                <w:szCs w:val="22"/>
              </w:rPr>
              <w:t>fu</w:t>
            </w:r>
            <w:r w:rsidR="002F7C03">
              <w:rPr>
                <w:rFonts w:ascii="Calibri" w:hAnsi="Calibri"/>
                <w:iCs/>
                <w:szCs w:val="22"/>
              </w:rPr>
              <w:t>ndamental</w:t>
            </w:r>
            <w:r w:rsidR="00900269">
              <w:rPr>
                <w:rFonts w:ascii="Calibri" w:hAnsi="Calibri"/>
                <w:iCs/>
                <w:szCs w:val="22"/>
              </w:rPr>
              <w:t xml:space="preserve"> issue in as much th</w:t>
            </w:r>
            <w:r w:rsidR="002F7C03">
              <w:rPr>
                <w:rFonts w:ascii="Calibri" w:hAnsi="Calibri"/>
                <w:iCs/>
                <w:szCs w:val="22"/>
              </w:rPr>
              <w:t xml:space="preserve">at </w:t>
            </w:r>
            <w:r>
              <w:rPr>
                <w:rFonts w:ascii="Calibri" w:hAnsi="Calibri"/>
                <w:iCs/>
                <w:szCs w:val="22"/>
              </w:rPr>
              <w:t xml:space="preserve">the proposed land parcel lies within the Green Belt however </w:t>
            </w:r>
            <w:r w:rsidR="002F7C03">
              <w:rPr>
                <w:rFonts w:ascii="Calibri" w:hAnsi="Calibri"/>
                <w:iCs/>
                <w:szCs w:val="22"/>
              </w:rPr>
              <w:t xml:space="preserve">to approve </w:t>
            </w:r>
            <w:r>
              <w:rPr>
                <w:rFonts w:ascii="Calibri" w:hAnsi="Calibri"/>
                <w:iCs/>
                <w:szCs w:val="22"/>
              </w:rPr>
              <w:t>an extension of residential curtilage with the Green Belt</w:t>
            </w:r>
            <w:r w:rsidR="002F7C03">
              <w:rPr>
                <w:rFonts w:ascii="Calibri" w:hAnsi="Calibri"/>
                <w:iCs/>
                <w:szCs w:val="22"/>
              </w:rPr>
              <w:t xml:space="preserve"> </w:t>
            </w:r>
            <w:r w:rsidR="000E5405">
              <w:rPr>
                <w:rFonts w:ascii="Calibri" w:hAnsi="Calibri"/>
                <w:iCs/>
                <w:szCs w:val="22"/>
              </w:rPr>
              <w:t xml:space="preserve">would be contrary to the aims of the NPPF and </w:t>
            </w:r>
            <w:proofErr w:type="spellStart"/>
            <w:r w:rsidR="000E5405">
              <w:rPr>
                <w:rFonts w:ascii="Calibri" w:hAnsi="Calibri"/>
                <w:iCs/>
                <w:szCs w:val="22"/>
              </w:rPr>
              <w:t>Ribble</w:t>
            </w:r>
            <w:proofErr w:type="spellEnd"/>
            <w:r w:rsidR="000E5405">
              <w:rPr>
                <w:rFonts w:ascii="Calibri" w:hAnsi="Calibri"/>
                <w:iCs/>
                <w:szCs w:val="22"/>
              </w:rPr>
              <w:t xml:space="preserve"> Valley Borough Council Core Strategy outlined above</w:t>
            </w:r>
            <w:r w:rsidR="000C35FE">
              <w:rPr>
                <w:rFonts w:ascii="Calibri" w:hAnsi="Calibri"/>
                <w:iCs/>
                <w:szCs w:val="22"/>
              </w:rPr>
              <w:t xml:space="preserve"> as t</w:t>
            </w:r>
            <w:r w:rsidR="00761001" w:rsidRPr="00761001">
              <w:rPr>
                <w:rFonts w:ascii="Calibri" w:hAnsi="Calibri"/>
                <w:bCs/>
                <w:szCs w:val="22"/>
              </w:rPr>
              <w:t xml:space="preserve">he designation of </w:t>
            </w:r>
            <w:r w:rsidR="00761001">
              <w:rPr>
                <w:rFonts w:ascii="Calibri" w:hAnsi="Calibri"/>
                <w:bCs/>
                <w:szCs w:val="22"/>
              </w:rPr>
              <w:t>land as Green Belt is intended to protect the open countryside from the encroachment of new</w:t>
            </w:r>
            <w:r w:rsidR="009830A1">
              <w:rPr>
                <w:rFonts w:ascii="Calibri" w:hAnsi="Calibri"/>
                <w:bCs/>
                <w:szCs w:val="22"/>
              </w:rPr>
              <w:t xml:space="preserve"> </w:t>
            </w:r>
            <w:r w:rsidR="00761001">
              <w:rPr>
                <w:rFonts w:ascii="Calibri" w:hAnsi="Calibri"/>
                <w:bCs/>
                <w:szCs w:val="22"/>
              </w:rPr>
              <w:t>development</w:t>
            </w:r>
            <w:r w:rsidR="000C35FE">
              <w:rPr>
                <w:rFonts w:ascii="Calibri" w:hAnsi="Calibri"/>
                <w:bCs/>
                <w:szCs w:val="22"/>
              </w:rPr>
              <w:t>,</w:t>
            </w:r>
            <w:r w:rsidR="00761001">
              <w:rPr>
                <w:rFonts w:ascii="Calibri" w:hAnsi="Calibri"/>
                <w:bCs/>
                <w:szCs w:val="22"/>
              </w:rPr>
              <w:t xml:space="preserve"> irrespective of how small or large it may be</w:t>
            </w:r>
            <w:r w:rsidR="000C35FE">
              <w:rPr>
                <w:rFonts w:ascii="Calibri" w:hAnsi="Calibri"/>
                <w:bCs/>
                <w:szCs w:val="22"/>
              </w:rPr>
              <w:t>.</w:t>
            </w:r>
          </w:p>
          <w:p w14:paraId="0F17EA2C" w14:textId="0A61611D" w:rsidR="000C35FE" w:rsidRDefault="000C35FE" w:rsidP="00900269">
            <w:pPr>
              <w:pStyle w:val="Header"/>
              <w:rPr>
                <w:rFonts w:ascii="Calibri" w:hAnsi="Calibri"/>
                <w:iCs/>
                <w:szCs w:val="22"/>
              </w:rPr>
            </w:pPr>
          </w:p>
          <w:p w14:paraId="4591F1B8" w14:textId="7D55A694" w:rsidR="00CF3710" w:rsidRPr="00CF3710" w:rsidRDefault="003C74A1" w:rsidP="00CF3710">
            <w:pPr>
              <w:pStyle w:val="Header"/>
              <w:rPr>
                <w:rFonts w:ascii="Calibri" w:hAnsi="Calibri"/>
                <w:iCs/>
                <w:szCs w:val="22"/>
                <w:highlight w:val="yellow"/>
              </w:rPr>
            </w:pPr>
            <w:r>
              <w:rPr>
                <w:rFonts w:ascii="Calibri" w:hAnsi="Calibri"/>
                <w:iCs/>
                <w:szCs w:val="22"/>
              </w:rPr>
              <w:t xml:space="preserve">Accordingly, the </w:t>
            </w:r>
            <w:r w:rsidR="0003171A">
              <w:rPr>
                <w:rFonts w:ascii="Calibri" w:hAnsi="Calibri"/>
                <w:iCs/>
                <w:szCs w:val="22"/>
              </w:rPr>
              <w:t xml:space="preserve">proposal is deemed to be unacceptable </w:t>
            </w:r>
            <w:r w:rsidR="00DD7FDB">
              <w:rPr>
                <w:rFonts w:ascii="Calibri" w:hAnsi="Calibri"/>
                <w:iCs/>
                <w:szCs w:val="22"/>
              </w:rPr>
              <w:t>on</w:t>
            </w:r>
            <w:r w:rsidR="002F7C03">
              <w:rPr>
                <w:rFonts w:ascii="Calibri" w:hAnsi="Calibri"/>
                <w:iCs/>
                <w:szCs w:val="22"/>
              </w:rPr>
              <w:t xml:space="preserve"> two </w:t>
            </w:r>
            <w:r w:rsidR="00DD7FDB">
              <w:rPr>
                <w:rFonts w:ascii="Calibri" w:hAnsi="Calibri"/>
                <w:iCs/>
                <w:szCs w:val="22"/>
              </w:rPr>
              <w:t>grounds</w:t>
            </w:r>
            <w:r w:rsidR="009209D1">
              <w:rPr>
                <w:rFonts w:ascii="Calibri" w:hAnsi="Calibri"/>
                <w:iCs/>
                <w:szCs w:val="22"/>
              </w:rPr>
              <w:t>;</w:t>
            </w:r>
            <w:r w:rsidR="002F7C03">
              <w:rPr>
                <w:rFonts w:ascii="Calibri" w:hAnsi="Calibri"/>
                <w:iCs/>
                <w:szCs w:val="22"/>
              </w:rPr>
              <w:t xml:space="preserve"> namely </w:t>
            </w:r>
            <w:r w:rsidR="0003171A">
              <w:rPr>
                <w:rFonts w:ascii="Calibri" w:hAnsi="Calibri"/>
                <w:iCs/>
                <w:szCs w:val="22"/>
              </w:rPr>
              <w:t xml:space="preserve">that the proposed </w:t>
            </w:r>
            <w:r w:rsidR="009209D1">
              <w:rPr>
                <w:rFonts w:ascii="Calibri" w:hAnsi="Calibri"/>
                <w:iCs/>
                <w:szCs w:val="22"/>
              </w:rPr>
              <w:t xml:space="preserve">granny annex </w:t>
            </w:r>
            <w:proofErr w:type="gramStart"/>
            <w:r w:rsidR="009209D1">
              <w:rPr>
                <w:rFonts w:ascii="Calibri" w:hAnsi="Calibri"/>
                <w:iCs/>
                <w:szCs w:val="22"/>
              </w:rPr>
              <w:t>is considered to be</w:t>
            </w:r>
            <w:proofErr w:type="gramEnd"/>
            <w:r w:rsidR="009209D1">
              <w:rPr>
                <w:rFonts w:ascii="Calibri" w:hAnsi="Calibri"/>
                <w:iCs/>
                <w:szCs w:val="22"/>
              </w:rPr>
              <w:t xml:space="preserve"> inappropriate development within the Green Belt and that the proposed </w:t>
            </w:r>
            <w:r w:rsidR="00C918D2">
              <w:rPr>
                <w:rFonts w:ascii="Calibri" w:hAnsi="Calibri"/>
                <w:iCs/>
                <w:szCs w:val="22"/>
              </w:rPr>
              <w:t>extension of residential curtilage</w:t>
            </w:r>
            <w:r w:rsidR="00DD7FDB">
              <w:rPr>
                <w:rFonts w:ascii="Calibri" w:hAnsi="Calibri"/>
                <w:iCs/>
                <w:szCs w:val="22"/>
              </w:rPr>
              <w:t xml:space="preserve"> would constitute encroachment into the countryside</w:t>
            </w:r>
            <w:r w:rsidR="009209D1">
              <w:rPr>
                <w:rFonts w:ascii="Calibri" w:hAnsi="Calibri"/>
                <w:iCs/>
                <w:szCs w:val="22"/>
              </w:rPr>
              <w:t xml:space="preserve">, </w:t>
            </w:r>
            <w:r w:rsidR="009209D1" w:rsidRPr="00137060">
              <w:rPr>
                <w:rFonts w:ascii="Calibri" w:hAnsi="Calibri"/>
                <w:iCs/>
                <w:szCs w:val="22"/>
                <w:highlight w:val="yellow"/>
              </w:rPr>
              <w:t>both of which</w:t>
            </w:r>
            <w:r w:rsidR="00DD7FDB" w:rsidRPr="00137060">
              <w:rPr>
                <w:rFonts w:ascii="Calibri" w:hAnsi="Calibri"/>
                <w:iCs/>
                <w:szCs w:val="22"/>
                <w:highlight w:val="yellow"/>
              </w:rPr>
              <w:t xml:space="preserve"> would be</w:t>
            </w:r>
            <w:r w:rsidR="00137060" w:rsidRPr="00137060">
              <w:rPr>
                <w:rFonts w:ascii="Calibri" w:hAnsi="Calibri"/>
                <w:iCs/>
                <w:szCs w:val="22"/>
                <w:highlight w:val="yellow"/>
              </w:rPr>
              <w:t xml:space="preserve"> </w:t>
            </w:r>
            <w:r w:rsidR="007A5577" w:rsidRPr="00CF3710">
              <w:rPr>
                <w:rFonts w:ascii="Calibri" w:hAnsi="Calibri"/>
                <w:iCs/>
                <w:szCs w:val="22"/>
                <w:highlight w:val="yellow"/>
              </w:rPr>
              <w:t>harmful to the openness and visual</w:t>
            </w:r>
            <w:r w:rsidR="007A5577">
              <w:rPr>
                <w:rFonts w:ascii="Calibri" w:hAnsi="Calibri"/>
                <w:iCs/>
                <w:szCs w:val="22"/>
                <w:highlight w:val="yellow"/>
              </w:rPr>
              <w:t xml:space="preserve"> character</w:t>
            </w:r>
            <w:r w:rsidR="007A5577" w:rsidRPr="00CF3710">
              <w:rPr>
                <w:rFonts w:ascii="Calibri" w:hAnsi="Calibri"/>
                <w:iCs/>
                <w:szCs w:val="22"/>
                <w:highlight w:val="yellow"/>
              </w:rPr>
              <w:t xml:space="preserve"> of the surrounding Green Belt</w:t>
            </w:r>
            <w:r w:rsidR="007A5577">
              <w:rPr>
                <w:rFonts w:ascii="Calibri" w:hAnsi="Calibri"/>
                <w:iCs/>
                <w:szCs w:val="22"/>
                <w:highlight w:val="yellow"/>
              </w:rPr>
              <w:t xml:space="preserve"> and in turn </w:t>
            </w:r>
            <w:r w:rsidR="00CF3710" w:rsidRPr="00137060">
              <w:rPr>
                <w:rFonts w:ascii="Calibri" w:hAnsi="Calibri"/>
                <w:iCs/>
                <w:szCs w:val="22"/>
                <w:highlight w:val="yellow"/>
              </w:rPr>
              <w:t>contrary to paragraphs 138, 145 and 149 of the NPPF</w:t>
            </w:r>
            <w:r w:rsidR="007A5577">
              <w:rPr>
                <w:rFonts w:ascii="Calibri" w:hAnsi="Calibri"/>
                <w:iCs/>
                <w:szCs w:val="22"/>
                <w:highlight w:val="yellow"/>
              </w:rPr>
              <w:t>.</w:t>
            </w:r>
          </w:p>
        </w:tc>
      </w:tr>
      <w:tr w:rsidR="008C75E4" w:rsidRPr="008C75E4" w14:paraId="7E4BEC4D" w14:textId="77777777" w:rsidTr="00421D25">
        <w:trPr>
          <w:trHeight w:val="864"/>
          <w:jc w:val="center"/>
        </w:trPr>
        <w:tc>
          <w:tcPr>
            <w:tcW w:w="9968" w:type="dxa"/>
            <w:gridSpan w:val="15"/>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14:paraId="67C56FC9" w14:textId="7249518B" w:rsidR="00DD7FDB" w:rsidRDefault="00DD7FDB" w:rsidP="00EB242F">
            <w:pPr>
              <w:contextualSpacing/>
              <w:jc w:val="both"/>
              <w:rPr>
                <w:rFonts w:ascii="Calibri" w:hAnsi="Calibri"/>
                <w:szCs w:val="22"/>
              </w:rPr>
            </w:pPr>
          </w:p>
          <w:p w14:paraId="01CA3544" w14:textId="50B544B7" w:rsidR="00EB188D" w:rsidRDefault="00863DD7" w:rsidP="00EB242F">
            <w:pPr>
              <w:contextualSpacing/>
              <w:jc w:val="both"/>
              <w:rPr>
                <w:rFonts w:ascii="Calibri" w:hAnsi="Calibri"/>
                <w:szCs w:val="22"/>
              </w:rPr>
            </w:pPr>
            <w:r>
              <w:rPr>
                <w:rFonts w:ascii="Calibri" w:hAnsi="Calibri"/>
                <w:szCs w:val="22"/>
              </w:rPr>
              <w:t xml:space="preserve">The </w:t>
            </w:r>
            <w:r w:rsidR="007E2AA9">
              <w:rPr>
                <w:rFonts w:ascii="Calibri" w:hAnsi="Calibri"/>
                <w:szCs w:val="22"/>
              </w:rPr>
              <w:t xml:space="preserve">proposed granny annex would be sited approximately 20 metres away from the nearest neighbouring properties which in this instance would be No. 6 and No. 4 Hawthorn close therefore no loss of privacy, natural light or outlook to any neighbouring residents is anticipated </w:t>
            </w:r>
            <w:proofErr w:type="gramStart"/>
            <w:r w:rsidR="007E2AA9">
              <w:rPr>
                <w:rFonts w:ascii="Calibri" w:hAnsi="Calibri"/>
                <w:szCs w:val="22"/>
              </w:rPr>
              <w:t>as a result of</w:t>
            </w:r>
            <w:proofErr w:type="gramEnd"/>
            <w:r w:rsidR="007E2AA9">
              <w:rPr>
                <w:rFonts w:ascii="Calibri" w:hAnsi="Calibri"/>
                <w:szCs w:val="22"/>
              </w:rPr>
              <w:t xml:space="preserve"> the proposed works.</w:t>
            </w:r>
          </w:p>
          <w:p w14:paraId="7D13DE81" w14:textId="46E6923A" w:rsidR="00EB242F" w:rsidRPr="00D23470" w:rsidRDefault="00EB242F" w:rsidP="000E5E8D">
            <w:pPr>
              <w:contextualSpacing/>
              <w:jc w:val="both"/>
              <w:rPr>
                <w:rFonts w:ascii="Calibri" w:hAnsi="Calibri"/>
                <w:szCs w:val="22"/>
              </w:rPr>
            </w:pPr>
          </w:p>
        </w:tc>
      </w:tr>
      <w:tr w:rsidR="008C75E4" w:rsidRPr="008C75E4" w14:paraId="2C196D2F" w14:textId="77777777" w:rsidTr="00421D25">
        <w:trPr>
          <w:trHeight w:val="864"/>
          <w:jc w:val="center"/>
        </w:trPr>
        <w:tc>
          <w:tcPr>
            <w:tcW w:w="9968" w:type="dxa"/>
            <w:gridSpan w:val="15"/>
            <w:tcMar>
              <w:top w:w="57" w:type="dxa"/>
              <w:bottom w:w="57" w:type="dxa"/>
            </w:tcMar>
          </w:tcPr>
          <w:p w14:paraId="625D7D93" w14:textId="67315E61" w:rsidR="00C50517" w:rsidRDefault="00DF42DA" w:rsidP="00454754">
            <w:pPr>
              <w:contextualSpacing/>
              <w:jc w:val="both"/>
              <w:rPr>
                <w:rFonts w:ascii="Calibri" w:hAnsi="Calibri"/>
                <w:b/>
                <w:szCs w:val="22"/>
              </w:rPr>
            </w:pPr>
            <w:r w:rsidRPr="00DF42DA">
              <w:rPr>
                <w:rFonts w:ascii="Calibri" w:hAnsi="Calibri"/>
                <w:b/>
                <w:szCs w:val="22"/>
              </w:rPr>
              <w:t>Visual Amenity:</w:t>
            </w:r>
          </w:p>
          <w:p w14:paraId="6BFEB00A" w14:textId="77777777" w:rsidR="00831708" w:rsidRPr="00831708" w:rsidRDefault="00831708" w:rsidP="00454754">
            <w:pPr>
              <w:contextualSpacing/>
              <w:jc w:val="both"/>
              <w:rPr>
                <w:rFonts w:ascii="Calibri" w:hAnsi="Calibri"/>
                <w:b/>
                <w:szCs w:val="22"/>
              </w:rPr>
            </w:pPr>
          </w:p>
          <w:p w14:paraId="6E1B0483" w14:textId="78920646" w:rsidR="003E5856" w:rsidRPr="000C2162" w:rsidRDefault="00FA3044" w:rsidP="00EF1310">
            <w:pPr>
              <w:contextualSpacing/>
              <w:jc w:val="both"/>
              <w:rPr>
                <w:rFonts w:ascii="Calibri" w:hAnsi="Calibri"/>
                <w:szCs w:val="22"/>
                <w:highlight w:val="yellow"/>
              </w:rPr>
            </w:pPr>
            <w:r w:rsidRPr="00137060">
              <w:rPr>
                <w:rFonts w:ascii="Calibri" w:hAnsi="Calibri"/>
                <w:szCs w:val="22"/>
                <w:highlight w:val="yellow"/>
              </w:rPr>
              <w:t xml:space="preserve">The </w:t>
            </w:r>
            <w:r w:rsidR="009F301B" w:rsidRPr="00137060">
              <w:rPr>
                <w:rFonts w:ascii="Calibri" w:hAnsi="Calibri"/>
                <w:szCs w:val="22"/>
                <w:highlight w:val="yellow"/>
              </w:rPr>
              <w:t xml:space="preserve">proposed </w:t>
            </w:r>
            <w:r w:rsidR="003246FC" w:rsidRPr="00137060">
              <w:rPr>
                <w:rFonts w:ascii="Calibri" w:hAnsi="Calibri"/>
                <w:szCs w:val="22"/>
                <w:highlight w:val="yellow"/>
              </w:rPr>
              <w:t>granny annex</w:t>
            </w:r>
            <w:r w:rsidRPr="00137060">
              <w:rPr>
                <w:rFonts w:ascii="Calibri" w:hAnsi="Calibri"/>
                <w:szCs w:val="22"/>
                <w:highlight w:val="yellow"/>
              </w:rPr>
              <w:t xml:space="preserve"> </w:t>
            </w:r>
            <w:r w:rsidR="000C2162">
              <w:rPr>
                <w:rFonts w:ascii="Calibri" w:hAnsi="Calibri"/>
                <w:szCs w:val="22"/>
                <w:highlight w:val="yellow"/>
              </w:rPr>
              <w:t xml:space="preserve">would be a visually imposing structure </w:t>
            </w:r>
            <w:r w:rsidR="00520F5F">
              <w:rPr>
                <w:rFonts w:ascii="Calibri" w:hAnsi="Calibri"/>
                <w:szCs w:val="22"/>
                <w:highlight w:val="yellow"/>
              </w:rPr>
              <w:t>by virtue of its</w:t>
            </w:r>
            <w:r w:rsidR="00EF1310" w:rsidRPr="00137060">
              <w:rPr>
                <w:rFonts w:ascii="Calibri" w:hAnsi="Calibri"/>
                <w:szCs w:val="22"/>
                <w:highlight w:val="yellow"/>
              </w:rPr>
              <w:t xml:space="preserve"> significant footprint </w:t>
            </w:r>
            <w:r w:rsidRPr="00137060">
              <w:rPr>
                <w:rFonts w:ascii="Calibri" w:hAnsi="Calibri"/>
                <w:szCs w:val="22"/>
                <w:highlight w:val="yellow"/>
              </w:rPr>
              <w:t>measur</w:t>
            </w:r>
            <w:r w:rsidR="00EF1310">
              <w:rPr>
                <w:rFonts w:ascii="Calibri" w:hAnsi="Calibri"/>
                <w:szCs w:val="22"/>
                <w:highlight w:val="yellow"/>
              </w:rPr>
              <w:t>ing</w:t>
            </w:r>
            <w:r w:rsidRPr="00137060">
              <w:rPr>
                <w:rFonts w:ascii="Calibri" w:hAnsi="Calibri"/>
                <w:szCs w:val="22"/>
                <w:highlight w:val="yellow"/>
              </w:rPr>
              <w:t xml:space="preserve"> </w:t>
            </w:r>
            <w:r w:rsidR="009F301B" w:rsidRPr="00137060">
              <w:rPr>
                <w:rFonts w:ascii="Calibri" w:hAnsi="Calibri"/>
                <w:szCs w:val="22"/>
                <w:highlight w:val="yellow"/>
              </w:rPr>
              <w:t>almost 40 feet in length with a width of just over 20 feet</w:t>
            </w:r>
            <w:r w:rsidR="00EF1310">
              <w:rPr>
                <w:rFonts w:ascii="Calibri" w:hAnsi="Calibri"/>
                <w:szCs w:val="22"/>
                <w:highlight w:val="yellow"/>
              </w:rPr>
              <w:t xml:space="preserve"> which would be comparable to the footprint of the main property. </w:t>
            </w:r>
            <w:r w:rsidR="000C2162">
              <w:rPr>
                <w:rFonts w:ascii="Calibri" w:hAnsi="Calibri"/>
                <w:szCs w:val="22"/>
                <w:highlight w:val="yellow"/>
              </w:rPr>
              <w:t>The</w:t>
            </w:r>
            <w:r w:rsidR="009F301B" w:rsidRPr="00137060">
              <w:rPr>
                <w:rFonts w:ascii="Calibri" w:hAnsi="Calibri"/>
                <w:szCs w:val="22"/>
                <w:highlight w:val="yellow"/>
              </w:rPr>
              <w:t xml:space="preserve"> annex would</w:t>
            </w:r>
            <w:r w:rsidR="000C2162">
              <w:rPr>
                <w:rFonts w:ascii="Calibri" w:hAnsi="Calibri"/>
                <w:szCs w:val="22"/>
                <w:highlight w:val="yellow"/>
              </w:rPr>
              <w:t xml:space="preserve"> be highly visible in as much that it</w:t>
            </w:r>
            <w:r w:rsidR="009F301B" w:rsidRPr="00137060">
              <w:rPr>
                <w:rFonts w:ascii="Calibri" w:hAnsi="Calibri"/>
                <w:szCs w:val="22"/>
                <w:highlight w:val="yellow"/>
              </w:rPr>
              <w:t xml:space="preserve"> be sited forward of the main property’s front building line where it would be visible </w:t>
            </w:r>
            <w:r w:rsidR="00C864A7" w:rsidRPr="00137060">
              <w:rPr>
                <w:rFonts w:ascii="Calibri" w:hAnsi="Calibri"/>
                <w:szCs w:val="22"/>
                <w:highlight w:val="yellow"/>
              </w:rPr>
              <w:t>from</w:t>
            </w:r>
            <w:r w:rsidR="009F301B" w:rsidRPr="00137060">
              <w:rPr>
                <w:rFonts w:ascii="Calibri" w:hAnsi="Calibri"/>
                <w:szCs w:val="22"/>
                <w:highlight w:val="yellow"/>
              </w:rPr>
              <w:t xml:space="preserve"> numerous </w:t>
            </w:r>
            <w:r w:rsidR="00C864A7" w:rsidRPr="00137060">
              <w:rPr>
                <w:rFonts w:ascii="Calibri" w:hAnsi="Calibri"/>
                <w:szCs w:val="22"/>
                <w:highlight w:val="yellow"/>
              </w:rPr>
              <w:t xml:space="preserve">neighbouring </w:t>
            </w:r>
            <w:r w:rsidR="009F301B" w:rsidRPr="00137060">
              <w:rPr>
                <w:rFonts w:ascii="Calibri" w:hAnsi="Calibri"/>
                <w:szCs w:val="22"/>
                <w:highlight w:val="yellow"/>
              </w:rPr>
              <w:t>properties on Hawthorn Close</w:t>
            </w:r>
            <w:r w:rsidR="00EF1310">
              <w:rPr>
                <w:rFonts w:ascii="Calibri" w:hAnsi="Calibri"/>
                <w:szCs w:val="22"/>
                <w:highlight w:val="yellow"/>
              </w:rPr>
              <w:t xml:space="preserve"> and </w:t>
            </w:r>
            <w:r w:rsidR="00C864A7" w:rsidRPr="00137060">
              <w:rPr>
                <w:rFonts w:ascii="Calibri" w:hAnsi="Calibri"/>
                <w:szCs w:val="22"/>
                <w:highlight w:val="yellow"/>
              </w:rPr>
              <w:t xml:space="preserve">Whalley Old Road by virtue of the difference in topography </w:t>
            </w:r>
            <w:r w:rsidR="001A207E" w:rsidRPr="00137060">
              <w:rPr>
                <w:rFonts w:ascii="Calibri" w:hAnsi="Calibri"/>
                <w:szCs w:val="22"/>
                <w:highlight w:val="yellow"/>
              </w:rPr>
              <w:t xml:space="preserve">between Hawthorn Close and Whalley Old Road which looks down onto the proposal site. </w:t>
            </w:r>
            <w:r w:rsidR="00EF1310" w:rsidRPr="000C2162">
              <w:rPr>
                <w:rFonts w:ascii="Calibri" w:hAnsi="Calibri"/>
                <w:szCs w:val="22"/>
                <w:highlight w:val="yellow"/>
              </w:rPr>
              <w:t xml:space="preserve">Furthermore, the annex would </w:t>
            </w:r>
            <w:r w:rsidR="000C2162" w:rsidRPr="000C2162">
              <w:rPr>
                <w:rFonts w:ascii="Calibri" w:hAnsi="Calibri"/>
                <w:szCs w:val="22"/>
                <w:highlight w:val="yellow"/>
              </w:rPr>
              <w:t xml:space="preserve">be a noticeable anomaly within the existing pattern of development in as much that none of the other properties on Hawthorn Close </w:t>
            </w:r>
            <w:r w:rsidR="000C2162">
              <w:rPr>
                <w:rFonts w:ascii="Calibri" w:hAnsi="Calibri"/>
                <w:szCs w:val="22"/>
                <w:highlight w:val="yellow"/>
              </w:rPr>
              <w:t xml:space="preserve">incorporate </w:t>
            </w:r>
            <w:proofErr w:type="gramStart"/>
            <w:r w:rsidR="000C2162">
              <w:rPr>
                <w:rFonts w:ascii="Calibri" w:hAnsi="Calibri"/>
                <w:szCs w:val="22"/>
                <w:highlight w:val="yellow"/>
              </w:rPr>
              <w:t>large detached</w:t>
            </w:r>
            <w:proofErr w:type="gramEnd"/>
            <w:r w:rsidR="000C2162">
              <w:rPr>
                <w:rFonts w:ascii="Calibri" w:hAnsi="Calibri"/>
                <w:szCs w:val="22"/>
                <w:highlight w:val="yellow"/>
              </w:rPr>
              <w:t xml:space="preserve"> structures to the front of their principle elevations.</w:t>
            </w:r>
          </w:p>
          <w:p w14:paraId="2D5292E0" w14:textId="77777777" w:rsidR="00EF1310" w:rsidRDefault="00EF1310" w:rsidP="00EF1310">
            <w:pPr>
              <w:contextualSpacing/>
              <w:jc w:val="both"/>
              <w:rPr>
                <w:rFonts w:ascii="Calibri" w:hAnsi="Calibri"/>
                <w:szCs w:val="22"/>
              </w:rPr>
            </w:pPr>
          </w:p>
          <w:p w14:paraId="53F1E483" w14:textId="77777777" w:rsidR="00EF1310" w:rsidRDefault="00EF1310" w:rsidP="00EF1310">
            <w:pPr>
              <w:contextualSpacing/>
              <w:jc w:val="both"/>
              <w:rPr>
                <w:rFonts w:ascii="Calibri" w:hAnsi="Calibri"/>
                <w:szCs w:val="22"/>
              </w:rPr>
            </w:pPr>
          </w:p>
          <w:p w14:paraId="3EB7F477" w14:textId="77777777" w:rsidR="00DB2FB4" w:rsidRDefault="007A5577" w:rsidP="00EF1310">
            <w:pPr>
              <w:contextualSpacing/>
              <w:jc w:val="both"/>
              <w:rPr>
                <w:rFonts w:ascii="Calibri" w:hAnsi="Calibri"/>
                <w:szCs w:val="22"/>
                <w:highlight w:val="yellow"/>
              </w:rPr>
            </w:pPr>
            <w:r>
              <w:rPr>
                <w:rFonts w:ascii="Calibri" w:hAnsi="Calibri"/>
                <w:szCs w:val="22"/>
                <w:highlight w:val="yellow"/>
              </w:rPr>
              <w:t xml:space="preserve">Paragraph 145 of the NPPF states that: </w:t>
            </w:r>
          </w:p>
          <w:p w14:paraId="1CAAAC3F" w14:textId="77777777" w:rsidR="00DB2FB4" w:rsidRDefault="00DB2FB4" w:rsidP="00EF1310">
            <w:pPr>
              <w:contextualSpacing/>
              <w:jc w:val="both"/>
              <w:rPr>
                <w:rFonts w:ascii="Calibri" w:hAnsi="Calibri"/>
                <w:szCs w:val="22"/>
                <w:highlight w:val="yellow"/>
              </w:rPr>
            </w:pPr>
          </w:p>
          <w:p w14:paraId="12AB6416" w14:textId="175A6955" w:rsidR="00DB2FB4" w:rsidRDefault="007A5577" w:rsidP="00EF1310">
            <w:pPr>
              <w:contextualSpacing/>
              <w:jc w:val="both"/>
              <w:rPr>
                <w:rFonts w:ascii="Calibri" w:hAnsi="Calibri"/>
                <w:i/>
                <w:iCs/>
                <w:szCs w:val="22"/>
                <w:highlight w:val="yellow"/>
              </w:rPr>
            </w:pPr>
            <w:r>
              <w:rPr>
                <w:rFonts w:ascii="Calibri" w:hAnsi="Calibri"/>
                <w:szCs w:val="22"/>
                <w:highlight w:val="yellow"/>
              </w:rPr>
              <w:t>‘</w:t>
            </w:r>
            <w:r w:rsidR="00DB2FB4">
              <w:rPr>
                <w:rFonts w:ascii="Calibri" w:hAnsi="Calibri"/>
                <w:szCs w:val="22"/>
                <w:highlight w:val="yellow"/>
              </w:rPr>
              <w:t>O</w:t>
            </w:r>
            <w:r w:rsidRPr="007A5577">
              <w:rPr>
                <w:rFonts w:ascii="Calibri" w:hAnsi="Calibri"/>
                <w:i/>
                <w:iCs/>
                <w:szCs w:val="22"/>
                <w:highlight w:val="yellow"/>
              </w:rPr>
              <w:t>nce Green Belts have been defined, local planning authorities should plan positively to</w:t>
            </w:r>
            <w:r>
              <w:rPr>
                <w:rFonts w:ascii="Calibri" w:hAnsi="Calibri"/>
                <w:i/>
                <w:iCs/>
                <w:szCs w:val="22"/>
                <w:highlight w:val="yellow"/>
              </w:rPr>
              <w:t xml:space="preserve"> </w:t>
            </w:r>
            <w:r w:rsidRPr="007A5577">
              <w:rPr>
                <w:rFonts w:ascii="Calibri" w:hAnsi="Calibri"/>
                <w:i/>
                <w:iCs/>
                <w:szCs w:val="22"/>
                <w:highlight w:val="yellow"/>
              </w:rPr>
              <w:t>retain and enhance landscapes</w:t>
            </w:r>
            <w:r>
              <w:rPr>
                <w:rFonts w:ascii="Calibri" w:hAnsi="Calibri"/>
                <w:i/>
                <w:iCs/>
                <w:szCs w:val="22"/>
                <w:highlight w:val="yellow"/>
              </w:rPr>
              <w:t xml:space="preserve"> and</w:t>
            </w:r>
            <w:r w:rsidRPr="007A5577">
              <w:rPr>
                <w:rFonts w:ascii="Calibri" w:hAnsi="Calibri"/>
                <w:i/>
                <w:iCs/>
                <w:szCs w:val="22"/>
                <w:highlight w:val="yellow"/>
              </w:rPr>
              <w:t xml:space="preserve"> visual amenity</w:t>
            </w:r>
            <w:r>
              <w:rPr>
                <w:rFonts w:ascii="Calibri" w:hAnsi="Calibri"/>
                <w:i/>
                <w:iCs/>
                <w:szCs w:val="22"/>
                <w:highlight w:val="yellow"/>
              </w:rPr>
              <w:t xml:space="preserve">’. </w:t>
            </w:r>
          </w:p>
          <w:p w14:paraId="1E7B6544" w14:textId="77777777" w:rsidR="00DB2FB4" w:rsidRDefault="00DB2FB4" w:rsidP="00EF1310">
            <w:pPr>
              <w:contextualSpacing/>
              <w:jc w:val="both"/>
              <w:rPr>
                <w:rFonts w:ascii="Calibri" w:hAnsi="Calibri"/>
                <w:i/>
                <w:szCs w:val="22"/>
                <w:highlight w:val="yellow"/>
              </w:rPr>
            </w:pPr>
          </w:p>
          <w:p w14:paraId="01D851E8" w14:textId="6BB84F44" w:rsidR="00EF1310" w:rsidRPr="00EF1310" w:rsidRDefault="007A5577" w:rsidP="00EF1310">
            <w:pPr>
              <w:contextualSpacing/>
              <w:jc w:val="both"/>
              <w:rPr>
                <w:rFonts w:ascii="Calibri" w:hAnsi="Calibri"/>
                <w:szCs w:val="22"/>
                <w:highlight w:val="yellow"/>
              </w:rPr>
            </w:pPr>
            <w:r w:rsidRPr="007A5577">
              <w:rPr>
                <w:rFonts w:ascii="Calibri" w:hAnsi="Calibri"/>
                <w:szCs w:val="22"/>
                <w:highlight w:val="yellow"/>
              </w:rPr>
              <w:t>Furthermore,</w:t>
            </w:r>
            <w:r>
              <w:rPr>
                <w:rFonts w:ascii="Calibri" w:hAnsi="Calibri"/>
                <w:i/>
                <w:iCs/>
                <w:szCs w:val="22"/>
                <w:highlight w:val="yellow"/>
              </w:rPr>
              <w:t xml:space="preserve"> </w:t>
            </w:r>
            <w:r w:rsidR="00EF1310" w:rsidRPr="00EF1310">
              <w:rPr>
                <w:rFonts w:ascii="Calibri" w:hAnsi="Calibri"/>
                <w:szCs w:val="22"/>
                <w:highlight w:val="yellow"/>
              </w:rPr>
              <w:t xml:space="preserve">Policy DMG1 of the </w:t>
            </w:r>
            <w:proofErr w:type="spellStart"/>
            <w:r w:rsidR="00EF1310" w:rsidRPr="00EF1310">
              <w:rPr>
                <w:rFonts w:ascii="Calibri" w:hAnsi="Calibri"/>
                <w:szCs w:val="22"/>
                <w:highlight w:val="yellow"/>
              </w:rPr>
              <w:t>Ribble</w:t>
            </w:r>
            <w:proofErr w:type="spellEnd"/>
            <w:r w:rsidR="00EF1310" w:rsidRPr="00EF1310">
              <w:rPr>
                <w:rFonts w:ascii="Calibri" w:hAnsi="Calibri"/>
                <w:szCs w:val="22"/>
                <w:highlight w:val="yellow"/>
              </w:rPr>
              <w:t xml:space="preserve"> Valley Core Strategy states that all development must ‘</w:t>
            </w:r>
            <w:r w:rsidR="00EF1310" w:rsidRPr="00EF1310">
              <w:rPr>
                <w:rFonts w:ascii="Calibri" w:hAnsi="Calibri"/>
                <w:i/>
                <w:szCs w:val="22"/>
                <w:highlight w:val="yellow"/>
              </w:rPr>
              <w:t xml:space="preserve">be sympathetic to existing and proposed land uses in terms of its size, intensity and nature as well as scale, massing and style’ </w:t>
            </w:r>
            <w:r w:rsidR="00EF1310" w:rsidRPr="00EF1310">
              <w:rPr>
                <w:rFonts w:ascii="Calibri" w:hAnsi="Calibri"/>
                <w:szCs w:val="22"/>
                <w:highlight w:val="yellow"/>
              </w:rPr>
              <w:t xml:space="preserve">and </w:t>
            </w:r>
            <w:r w:rsidR="00EF1310" w:rsidRPr="00EF1310">
              <w:rPr>
                <w:rFonts w:ascii="Calibri" w:hAnsi="Calibri"/>
                <w:i/>
                <w:szCs w:val="22"/>
                <w:highlight w:val="yellow"/>
              </w:rPr>
              <w:t xml:space="preserve">‘not adversely affect the amenities of the surrounding area’ </w:t>
            </w:r>
            <w:r w:rsidR="00EF1310" w:rsidRPr="00EF1310">
              <w:rPr>
                <w:rFonts w:ascii="Calibri" w:hAnsi="Calibri"/>
                <w:szCs w:val="22"/>
                <w:highlight w:val="yellow"/>
              </w:rPr>
              <w:t xml:space="preserve">however given </w:t>
            </w:r>
            <w:r w:rsidR="00EF1310">
              <w:rPr>
                <w:rFonts w:ascii="Calibri" w:hAnsi="Calibri"/>
                <w:szCs w:val="22"/>
                <w:highlight w:val="yellow"/>
              </w:rPr>
              <w:t xml:space="preserve">the </w:t>
            </w:r>
            <w:r w:rsidR="00EF1310" w:rsidRPr="00EF1310">
              <w:rPr>
                <w:rFonts w:ascii="Calibri" w:hAnsi="Calibri"/>
                <w:szCs w:val="22"/>
                <w:highlight w:val="yellow"/>
              </w:rPr>
              <w:t>proposal</w:t>
            </w:r>
            <w:r w:rsidR="00EF1310">
              <w:rPr>
                <w:rFonts w:ascii="Calibri" w:hAnsi="Calibri"/>
                <w:szCs w:val="22"/>
                <w:highlight w:val="yellow"/>
              </w:rPr>
              <w:t>’s</w:t>
            </w:r>
            <w:r w:rsidR="00EF1310" w:rsidRPr="00EF1310">
              <w:rPr>
                <w:rFonts w:ascii="Calibri" w:hAnsi="Calibri"/>
                <w:szCs w:val="22"/>
                <w:highlight w:val="yellow"/>
              </w:rPr>
              <w:t xml:space="preserve"> </w:t>
            </w:r>
            <w:r w:rsidR="00520F5F">
              <w:rPr>
                <w:rFonts w:ascii="Calibri" w:hAnsi="Calibri"/>
                <w:szCs w:val="22"/>
                <w:highlight w:val="yellow"/>
              </w:rPr>
              <w:t xml:space="preserve">scale, </w:t>
            </w:r>
            <w:r w:rsidR="00EF1310" w:rsidRPr="00EF1310">
              <w:rPr>
                <w:rFonts w:ascii="Calibri" w:hAnsi="Calibri"/>
                <w:szCs w:val="22"/>
                <w:highlight w:val="yellow"/>
              </w:rPr>
              <w:t xml:space="preserve">massing, </w:t>
            </w:r>
            <w:r w:rsidR="000C2162">
              <w:rPr>
                <w:rFonts w:ascii="Calibri" w:hAnsi="Calibri"/>
                <w:szCs w:val="22"/>
                <w:highlight w:val="yellow"/>
              </w:rPr>
              <w:t xml:space="preserve">siting and </w:t>
            </w:r>
            <w:r w:rsidR="00EF1310" w:rsidRPr="00EF1310">
              <w:rPr>
                <w:rFonts w:ascii="Calibri" w:hAnsi="Calibri"/>
                <w:szCs w:val="22"/>
                <w:highlight w:val="yellow"/>
              </w:rPr>
              <w:t>high level of visibility, it is considered that the proposed g</w:t>
            </w:r>
            <w:r w:rsidR="00EF1310">
              <w:rPr>
                <w:rFonts w:ascii="Calibri" w:hAnsi="Calibri"/>
                <w:szCs w:val="22"/>
                <w:highlight w:val="yellow"/>
              </w:rPr>
              <w:t>ranny annex</w:t>
            </w:r>
            <w:r w:rsidR="00EF1310" w:rsidRPr="00EF1310">
              <w:rPr>
                <w:rFonts w:ascii="Calibri" w:hAnsi="Calibri"/>
                <w:szCs w:val="22"/>
                <w:highlight w:val="yellow"/>
              </w:rPr>
              <w:t xml:space="preserve"> would be an over dominant and </w:t>
            </w:r>
            <w:r w:rsidR="000C2162">
              <w:rPr>
                <w:rFonts w:ascii="Calibri" w:hAnsi="Calibri"/>
                <w:szCs w:val="22"/>
                <w:highlight w:val="yellow"/>
              </w:rPr>
              <w:t>incongruous</w:t>
            </w:r>
            <w:r w:rsidR="00EF1310" w:rsidRPr="00EF1310">
              <w:rPr>
                <w:rFonts w:ascii="Calibri" w:hAnsi="Calibri"/>
                <w:szCs w:val="22"/>
                <w:highlight w:val="yellow"/>
              </w:rPr>
              <w:t xml:space="preserve"> addition to the existing pattern of development that would be both harmful to the visual amenities of the </w:t>
            </w:r>
            <w:r w:rsidR="00EF1310">
              <w:rPr>
                <w:rFonts w:ascii="Calibri" w:hAnsi="Calibri"/>
                <w:szCs w:val="22"/>
                <w:highlight w:val="yellow"/>
              </w:rPr>
              <w:t>immediate street scene and surround</w:t>
            </w:r>
            <w:r w:rsidR="00520F5F">
              <w:rPr>
                <w:rFonts w:ascii="Calibri" w:hAnsi="Calibri"/>
                <w:szCs w:val="22"/>
                <w:highlight w:val="yellow"/>
              </w:rPr>
              <w:t>ing</w:t>
            </w:r>
            <w:r w:rsidR="00EF1310">
              <w:rPr>
                <w:rFonts w:ascii="Calibri" w:hAnsi="Calibri"/>
                <w:szCs w:val="22"/>
                <w:highlight w:val="yellow"/>
              </w:rPr>
              <w:t xml:space="preserve"> Green Belt</w:t>
            </w:r>
            <w:r>
              <w:rPr>
                <w:rFonts w:ascii="Calibri" w:hAnsi="Calibri"/>
                <w:szCs w:val="22"/>
                <w:highlight w:val="yellow"/>
              </w:rPr>
              <w:t>, both of</w:t>
            </w:r>
            <w:r w:rsidR="00EF1310">
              <w:rPr>
                <w:rFonts w:ascii="Calibri" w:hAnsi="Calibri"/>
                <w:szCs w:val="22"/>
                <w:highlight w:val="yellow"/>
              </w:rPr>
              <w:t xml:space="preserve"> which would be </w:t>
            </w:r>
            <w:r w:rsidR="00EF1310" w:rsidRPr="00EF1310">
              <w:rPr>
                <w:rFonts w:ascii="Calibri" w:hAnsi="Calibri"/>
                <w:szCs w:val="22"/>
                <w:highlight w:val="yellow"/>
              </w:rPr>
              <w:t>contrary to the aims of the above policy</w:t>
            </w:r>
            <w:r>
              <w:rPr>
                <w:rFonts w:ascii="Calibri" w:hAnsi="Calibri"/>
                <w:szCs w:val="22"/>
                <w:highlight w:val="yellow"/>
              </w:rPr>
              <w:t xml:space="preserve"> and guidance set out in</w:t>
            </w:r>
            <w:r w:rsidR="00DB2FB4">
              <w:rPr>
                <w:rFonts w:ascii="Calibri" w:hAnsi="Calibri"/>
                <w:szCs w:val="22"/>
                <w:highlight w:val="yellow"/>
              </w:rPr>
              <w:t xml:space="preserve"> Paragraph 145 of</w:t>
            </w:r>
            <w:r>
              <w:rPr>
                <w:rFonts w:ascii="Calibri" w:hAnsi="Calibri"/>
                <w:szCs w:val="22"/>
                <w:highlight w:val="yellow"/>
              </w:rPr>
              <w:t xml:space="preserve"> the NPPF.</w:t>
            </w:r>
          </w:p>
          <w:p w14:paraId="37A766A4" w14:textId="53D9572B" w:rsidR="00EF1310" w:rsidRPr="0091595C" w:rsidRDefault="00EF1310" w:rsidP="00EF1310">
            <w:pPr>
              <w:contextualSpacing/>
              <w:jc w:val="both"/>
              <w:rPr>
                <w:rFonts w:ascii="Calibri" w:hAnsi="Calibri"/>
                <w:szCs w:val="22"/>
              </w:rPr>
            </w:pPr>
          </w:p>
        </w:tc>
      </w:tr>
      <w:tr w:rsidR="004643EA" w:rsidRPr="008C75E4" w14:paraId="396A22D7" w14:textId="77777777" w:rsidTr="00421D25">
        <w:trPr>
          <w:trHeight w:val="864"/>
          <w:jc w:val="center"/>
        </w:trPr>
        <w:tc>
          <w:tcPr>
            <w:tcW w:w="9968" w:type="dxa"/>
            <w:gridSpan w:val="15"/>
            <w:tcMar>
              <w:top w:w="57" w:type="dxa"/>
              <w:bottom w:w="57" w:type="dxa"/>
            </w:tcMar>
          </w:tcPr>
          <w:p w14:paraId="667E621D" w14:textId="77777777" w:rsidR="004643EA" w:rsidRDefault="004643EA" w:rsidP="006126D1">
            <w:pPr>
              <w:contextualSpacing/>
              <w:jc w:val="both"/>
              <w:rPr>
                <w:rFonts w:ascii="Calibri" w:hAnsi="Calibri"/>
                <w:b/>
                <w:bCs/>
                <w:szCs w:val="22"/>
              </w:rPr>
            </w:pPr>
            <w:r>
              <w:rPr>
                <w:rFonts w:ascii="Calibri" w:hAnsi="Calibri"/>
                <w:b/>
                <w:bCs/>
                <w:szCs w:val="22"/>
              </w:rPr>
              <w:t xml:space="preserve">Landscape/Ecology: </w:t>
            </w:r>
          </w:p>
          <w:p w14:paraId="1986DBAA" w14:textId="77777777" w:rsidR="004643EA" w:rsidRDefault="004643EA" w:rsidP="006126D1">
            <w:pPr>
              <w:contextualSpacing/>
              <w:jc w:val="both"/>
              <w:rPr>
                <w:rFonts w:ascii="Calibri" w:hAnsi="Calibri"/>
                <w:b/>
                <w:bCs/>
                <w:szCs w:val="22"/>
              </w:rPr>
            </w:pPr>
          </w:p>
          <w:p w14:paraId="4E6B1C44" w14:textId="014C9AEF" w:rsidR="00FA2FDF" w:rsidRPr="0003622C" w:rsidRDefault="0003622C" w:rsidP="007C7B47">
            <w:pPr>
              <w:contextualSpacing/>
              <w:jc w:val="both"/>
              <w:rPr>
                <w:rFonts w:ascii="Calibri" w:hAnsi="Calibri"/>
                <w:szCs w:val="22"/>
              </w:rPr>
            </w:pPr>
            <w:r w:rsidRPr="0003622C">
              <w:rPr>
                <w:rFonts w:ascii="Calibri" w:hAnsi="Calibri"/>
                <w:szCs w:val="22"/>
              </w:rPr>
              <w:t>No ecological constraints were identified in relation to the proposal.</w:t>
            </w:r>
          </w:p>
          <w:p w14:paraId="214A45F2" w14:textId="38F29C83" w:rsidR="0003622C" w:rsidRPr="008C75E4" w:rsidRDefault="0003622C" w:rsidP="007C7B47">
            <w:pPr>
              <w:contextualSpacing/>
              <w:jc w:val="both"/>
              <w:rPr>
                <w:rFonts w:ascii="Calibri" w:hAnsi="Calibri"/>
                <w:b/>
                <w:bCs/>
                <w:szCs w:val="22"/>
              </w:rPr>
            </w:pPr>
          </w:p>
        </w:tc>
      </w:tr>
      <w:tr w:rsidR="00D02F83" w:rsidRPr="008C75E4" w14:paraId="6B8E5DAB" w14:textId="77777777" w:rsidTr="00421D25">
        <w:trPr>
          <w:trHeight w:val="864"/>
          <w:jc w:val="center"/>
        </w:trPr>
        <w:tc>
          <w:tcPr>
            <w:tcW w:w="9968" w:type="dxa"/>
            <w:gridSpan w:val="15"/>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74FE2C06" w14:textId="19F8FA0B" w:rsidR="00D13259" w:rsidRPr="0003622C" w:rsidRDefault="0003622C" w:rsidP="007C7B47">
            <w:pPr>
              <w:contextualSpacing/>
              <w:jc w:val="both"/>
              <w:rPr>
                <w:rFonts w:ascii="Calibri" w:hAnsi="Calibri"/>
                <w:szCs w:val="22"/>
              </w:rPr>
            </w:pPr>
            <w:r w:rsidRPr="0003622C">
              <w:rPr>
                <w:rFonts w:ascii="Calibri" w:hAnsi="Calibri"/>
                <w:szCs w:val="22"/>
              </w:rPr>
              <w:t xml:space="preserve">Lancashire County Council highways have </w:t>
            </w:r>
            <w:r w:rsidR="00D00A1A">
              <w:rPr>
                <w:rFonts w:ascii="Calibri" w:hAnsi="Calibri"/>
                <w:szCs w:val="22"/>
              </w:rPr>
              <w:t>no objections to the proposal subject to the implementation of additional planning conditions to ensure compliance with highway safety.</w:t>
            </w:r>
          </w:p>
          <w:p w14:paraId="72741D21" w14:textId="55EBCDDA" w:rsidR="0003622C" w:rsidRPr="008C75E4" w:rsidRDefault="0003622C" w:rsidP="007C7B47">
            <w:pPr>
              <w:contextualSpacing/>
              <w:jc w:val="both"/>
              <w:rPr>
                <w:rFonts w:ascii="Calibri" w:hAnsi="Calibri"/>
                <w:b/>
                <w:bCs/>
                <w:szCs w:val="22"/>
              </w:rPr>
            </w:pPr>
          </w:p>
        </w:tc>
      </w:tr>
      <w:tr w:rsidR="008C75E4" w:rsidRPr="008C75E4" w14:paraId="5B942BE0" w14:textId="77777777" w:rsidTr="00421D25">
        <w:trPr>
          <w:trHeight w:val="864"/>
          <w:jc w:val="center"/>
        </w:trPr>
        <w:tc>
          <w:tcPr>
            <w:tcW w:w="9968" w:type="dxa"/>
            <w:gridSpan w:val="15"/>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5D0E14E0" w14:textId="066D4D62" w:rsidR="00DD7FDB" w:rsidRDefault="007E2656" w:rsidP="00640CA7">
            <w:pPr>
              <w:pStyle w:val="Header"/>
              <w:rPr>
                <w:rFonts w:ascii="Calibri" w:hAnsi="Calibri"/>
                <w:bCs/>
                <w:szCs w:val="22"/>
              </w:rPr>
            </w:pPr>
            <w:r w:rsidRPr="007E2656">
              <w:rPr>
                <w:rFonts w:ascii="Calibri" w:hAnsi="Calibri"/>
                <w:bCs/>
                <w:szCs w:val="22"/>
              </w:rPr>
              <w:t>The proposal does not raise any concerns in relation to residential amenity in as much that the proposed works would not allow any new opportunities for overlooking or lead to any loss of natural light</w:t>
            </w:r>
            <w:r w:rsidR="000E5E8D">
              <w:rPr>
                <w:rFonts w:ascii="Calibri" w:hAnsi="Calibri"/>
                <w:bCs/>
                <w:szCs w:val="22"/>
              </w:rPr>
              <w:t xml:space="preserve">, </w:t>
            </w:r>
            <w:proofErr w:type="gramStart"/>
            <w:r w:rsidRPr="007E2656">
              <w:rPr>
                <w:rFonts w:ascii="Calibri" w:hAnsi="Calibri"/>
                <w:bCs/>
                <w:szCs w:val="22"/>
              </w:rPr>
              <w:t>outlook</w:t>
            </w:r>
            <w:proofErr w:type="gramEnd"/>
            <w:r w:rsidR="000E5E8D">
              <w:rPr>
                <w:rFonts w:ascii="Calibri" w:hAnsi="Calibri"/>
                <w:bCs/>
                <w:szCs w:val="22"/>
              </w:rPr>
              <w:t xml:space="preserve"> or noise disturbances</w:t>
            </w:r>
            <w:r w:rsidR="00A2354D">
              <w:rPr>
                <w:rFonts w:ascii="Calibri" w:hAnsi="Calibri"/>
                <w:bCs/>
                <w:szCs w:val="22"/>
              </w:rPr>
              <w:t xml:space="preserve"> for any neighbouring residents</w:t>
            </w:r>
            <w:r w:rsidR="007E2AA9">
              <w:rPr>
                <w:rFonts w:ascii="Calibri" w:hAnsi="Calibri"/>
                <w:bCs/>
                <w:szCs w:val="22"/>
              </w:rPr>
              <w:t>.</w:t>
            </w:r>
          </w:p>
          <w:p w14:paraId="32CFDA6D" w14:textId="77777777" w:rsidR="004563D1" w:rsidRDefault="004563D1" w:rsidP="00640CA7">
            <w:pPr>
              <w:pStyle w:val="Header"/>
              <w:rPr>
                <w:rFonts w:ascii="Calibri" w:hAnsi="Calibri"/>
                <w:bCs/>
                <w:szCs w:val="22"/>
              </w:rPr>
            </w:pPr>
          </w:p>
          <w:p w14:paraId="12CBEB3D" w14:textId="2A3E4AFF" w:rsidR="0044314D" w:rsidRDefault="0044314D" w:rsidP="00640CA7">
            <w:pPr>
              <w:pStyle w:val="Header"/>
              <w:rPr>
                <w:rFonts w:ascii="Calibri" w:hAnsi="Calibri"/>
                <w:bCs/>
                <w:szCs w:val="22"/>
              </w:rPr>
            </w:pPr>
            <w:r w:rsidRPr="0044314D">
              <w:rPr>
                <w:rFonts w:ascii="Calibri" w:hAnsi="Calibri"/>
                <w:bCs/>
                <w:szCs w:val="22"/>
              </w:rPr>
              <w:t xml:space="preserve">The applicant has </w:t>
            </w:r>
            <w:r>
              <w:rPr>
                <w:rFonts w:ascii="Calibri" w:hAnsi="Calibri"/>
                <w:bCs/>
                <w:szCs w:val="22"/>
              </w:rPr>
              <w:t>stated</w:t>
            </w:r>
            <w:r w:rsidRPr="0044314D">
              <w:rPr>
                <w:rFonts w:ascii="Calibri" w:hAnsi="Calibri"/>
                <w:bCs/>
                <w:szCs w:val="22"/>
              </w:rPr>
              <w:t xml:space="preserve"> that the proposed works would provide </w:t>
            </w:r>
            <w:r w:rsidR="00EB188D">
              <w:rPr>
                <w:rFonts w:ascii="Calibri" w:hAnsi="Calibri"/>
                <w:bCs/>
                <w:szCs w:val="22"/>
              </w:rPr>
              <w:t>ancillary</w:t>
            </w:r>
            <w:r w:rsidRPr="0044314D">
              <w:rPr>
                <w:rFonts w:ascii="Calibri" w:hAnsi="Calibri"/>
                <w:bCs/>
                <w:szCs w:val="22"/>
              </w:rPr>
              <w:t xml:space="preserve"> accommodation for </w:t>
            </w:r>
            <w:r w:rsidR="00EB188D">
              <w:rPr>
                <w:rFonts w:ascii="Calibri" w:hAnsi="Calibri"/>
                <w:bCs/>
                <w:szCs w:val="22"/>
              </w:rPr>
              <w:t xml:space="preserve">two </w:t>
            </w:r>
            <w:r w:rsidRPr="0044314D">
              <w:rPr>
                <w:rFonts w:ascii="Calibri" w:hAnsi="Calibri"/>
                <w:bCs/>
                <w:szCs w:val="22"/>
              </w:rPr>
              <w:t xml:space="preserve">elderly </w:t>
            </w:r>
            <w:r>
              <w:rPr>
                <w:rFonts w:ascii="Calibri" w:hAnsi="Calibri"/>
                <w:bCs/>
                <w:szCs w:val="22"/>
              </w:rPr>
              <w:t>re</w:t>
            </w:r>
            <w:r w:rsidR="00EB188D">
              <w:rPr>
                <w:rFonts w:ascii="Calibri" w:hAnsi="Calibri"/>
                <w:bCs/>
                <w:szCs w:val="22"/>
              </w:rPr>
              <w:t>sidents</w:t>
            </w:r>
            <w:r>
              <w:rPr>
                <w:rFonts w:ascii="Calibri" w:hAnsi="Calibri"/>
                <w:bCs/>
                <w:szCs w:val="22"/>
              </w:rPr>
              <w:t xml:space="preserve"> </w:t>
            </w:r>
            <w:r w:rsidRPr="0044314D">
              <w:rPr>
                <w:rFonts w:ascii="Calibri" w:hAnsi="Calibri"/>
                <w:bCs/>
                <w:szCs w:val="22"/>
              </w:rPr>
              <w:t xml:space="preserve">with health issues which in turn would allow the occupants </w:t>
            </w:r>
            <w:r w:rsidR="00EB188D">
              <w:rPr>
                <w:rFonts w:ascii="Calibri" w:hAnsi="Calibri"/>
                <w:bCs/>
                <w:szCs w:val="22"/>
              </w:rPr>
              <w:t xml:space="preserve">of the main property </w:t>
            </w:r>
            <w:r w:rsidRPr="0044314D">
              <w:rPr>
                <w:rFonts w:ascii="Calibri" w:hAnsi="Calibri"/>
                <w:bCs/>
                <w:szCs w:val="22"/>
              </w:rPr>
              <w:t>to provide comprehensive care for their relative</w:t>
            </w:r>
            <w:r>
              <w:rPr>
                <w:rFonts w:ascii="Calibri" w:hAnsi="Calibri"/>
                <w:bCs/>
                <w:szCs w:val="22"/>
              </w:rPr>
              <w:t>s</w:t>
            </w:r>
            <w:r w:rsidR="00EB188D">
              <w:rPr>
                <w:rFonts w:ascii="Calibri" w:hAnsi="Calibri"/>
                <w:bCs/>
                <w:szCs w:val="22"/>
              </w:rPr>
              <w:t xml:space="preserve"> </w:t>
            </w:r>
            <w:r w:rsidR="00EB188D" w:rsidRPr="00EB188D">
              <w:rPr>
                <w:rFonts w:ascii="Calibri" w:hAnsi="Calibri"/>
                <w:bCs/>
                <w:szCs w:val="22"/>
              </w:rPr>
              <w:t xml:space="preserve">however it is of upmost importance that all planning applications should be considered on their own individual merits and whilst the above </w:t>
            </w:r>
            <w:r w:rsidR="00EB188D">
              <w:rPr>
                <w:rFonts w:ascii="Calibri" w:hAnsi="Calibri"/>
                <w:bCs/>
                <w:szCs w:val="22"/>
              </w:rPr>
              <w:t>circumstances</w:t>
            </w:r>
            <w:r w:rsidR="00EB188D" w:rsidRPr="00EB188D">
              <w:rPr>
                <w:rFonts w:ascii="Calibri" w:hAnsi="Calibri"/>
                <w:bCs/>
                <w:szCs w:val="22"/>
              </w:rPr>
              <w:t xml:space="preserve"> </w:t>
            </w:r>
            <w:r w:rsidR="00EB188D">
              <w:rPr>
                <w:rFonts w:ascii="Calibri" w:hAnsi="Calibri"/>
                <w:bCs/>
                <w:szCs w:val="22"/>
              </w:rPr>
              <w:t>are noted</w:t>
            </w:r>
            <w:r w:rsidR="00EB188D" w:rsidRPr="00EB188D">
              <w:rPr>
                <w:rFonts w:ascii="Calibri" w:hAnsi="Calibri"/>
                <w:bCs/>
                <w:szCs w:val="22"/>
              </w:rPr>
              <w:t xml:space="preserve"> it is not considered in this particular case that they would amount to an occurrence of ‘very special circumstances’</w:t>
            </w:r>
            <w:r w:rsidR="00EB188D">
              <w:rPr>
                <w:rFonts w:ascii="Calibri" w:hAnsi="Calibri"/>
                <w:bCs/>
                <w:szCs w:val="22"/>
              </w:rPr>
              <w:t xml:space="preserve"> detailed in paragraph 148 of the NPPF.</w:t>
            </w:r>
          </w:p>
          <w:p w14:paraId="6E0E8116" w14:textId="3D7B1F74" w:rsidR="007E2656" w:rsidRDefault="007E2656" w:rsidP="00640CA7">
            <w:pPr>
              <w:pStyle w:val="Header"/>
              <w:rPr>
                <w:rFonts w:ascii="Calibri" w:hAnsi="Calibri"/>
                <w:bCs/>
                <w:szCs w:val="22"/>
              </w:rPr>
            </w:pPr>
          </w:p>
          <w:p w14:paraId="379CFE6E" w14:textId="2B8F514B" w:rsidR="00451AF3" w:rsidRPr="001D04F0" w:rsidRDefault="00451AF3" w:rsidP="00451AF3">
            <w:pPr>
              <w:pStyle w:val="Header"/>
              <w:rPr>
                <w:rFonts w:ascii="Calibri" w:hAnsi="Calibri"/>
                <w:iCs/>
                <w:szCs w:val="22"/>
              </w:rPr>
            </w:pPr>
            <w:r>
              <w:rPr>
                <w:rFonts w:ascii="Calibri" w:hAnsi="Calibri"/>
                <w:bCs/>
                <w:szCs w:val="22"/>
              </w:rPr>
              <w:lastRenderedPageBreak/>
              <w:t>Moreover</w:t>
            </w:r>
            <w:r w:rsidR="00C257CE" w:rsidRPr="00C257CE">
              <w:rPr>
                <w:rFonts w:ascii="Calibri" w:hAnsi="Calibri"/>
                <w:bCs/>
                <w:szCs w:val="22"/>
              </w:rPr>
              <w:t>, the propos</w:t>
            </w:r>
            <w:r w:rsidR="00C257CE">
              <w:rPr>
                <w:rFonts w:ascii="Calibri" w:hAnsi="Calibri"/>
                <w:bCs/>
                <w:szCs w:val="22"/>
              </w:rPr>
              <w:t xml:space="preserve">al </w:t>
            </w:r>
            <w:proofErr w:type="gramStart"/>
            <w:r w:rsidR="00C257CE">
              <w:rPr>
                <w:rFonts w:ascii="Calibri" w:hAnsi="Calibri"/>
                <w:bCs/>
                <w:szCs w:val="22"/>
              </w:rPr>
              <w:t>is considered to be</w:t>
            </w:r>
            <w:proofErr w:type="gramEnd"/>
            <w:r w:rsidR="00C257CE">
              <w:rPr>
                <w:rFonts w:ascii="Calibri" w:hAnsi="Calibri"/>
                <w:bCs/>
                <w:szCs w:val="22"/>
              </w:rPr>
              <w:t xml:space="preserve"> inappropriate development within the Green Belt</w:t>
            </w:r>
            <w:r w:rsidR="00C257CE" w:rsidRPr="00C257CE">
              <w:rPr>
                <w:rFonts w:ascii="Calibri" w:hAnsi="Calibri"/>
                <w:bCs/>
                <w:szCs w:val="22"/>
              </w:rPr>
              <w:t xml:space="preserve"> </w:t>
            </w:r>
            <w:r w:rsidR="005C0160">
              <w:rPr>
                <w:rFonts w:ascii="Calibri" w:hAnsi="Calibri"/>
                <w:bCs/>
                <w:szCs w:val="22"/>
              </w:rPr>
              <w:t xml:space="preserve">in </w:t>
            </w:r>
            <w:r w:rsidR="00C257CE">
              <w:rPr>
                <w:rFonts w:ascii="Calibri" w:hAnsi="Calibri"/>
                <w:bCs/>
                <w:szCs w:val="22"/>
              </w:rPr>
              <w:t xml:space="preserve">as </w:t>
            </w:r>
            <w:r>
              <w:rPr>
                <w:rFonts w:ascii="Calibri" w:hAnsi="Calibri"/>
                <w:bCs/>
                <w:szCs w:val="22"/>
              </w:rPr>
              <w:t xml:space="preserve">much that the proposed granny annex fails to </w:t>
            </w:r>
            <w:r>
              <w:rPr>
                <w:rFonts w:ascii="Calibri" w:hAnsi="Calibri"/>
                <w:iCs/>
                <w:szCs w:val="22"/>
              </w:rPr>
              <w:t>accord with any of</w:t>
            </w:r>
            <w:r w:rsidRPr="0013139E">
              <w:rPr>
                <w:rFonts w:ascii="Calibri" w:hAnsi="Calibri"/>
                <w:iCs/>
                <w:szCs w:val="22"/>
              </w:rPr>
              <w:t xml:space="preserve"> the exceptions </w:t>
            </w:r>
            <w:r>
              <w:rPr>
                <w:rFonts w:ascii="Calibri" w:hAnsi="Calibri"/>
                <w:iCs/>
                <w:szCs w:val="22"/>
              </w:rPr>
              <w:t xml:space="preserve">for new buildings </w:t>
            </w:r>
            <w:r w:rsidRPr="0013139E">
              <w:rPr>
                <w:rFonts w:ascii="Calibri" w:hAnsi="Calibri"/>
                <w:iCs/>
                <w:szCs w:val="22"/>
              </w:rPr>
              <w:t xml:space="preserve">listed above </w:t>
            </w:r>
            <w:r>
              <w:rPr>
                <w:rFonts w:ascii="Calibri" w:hAnsi="Calibri"/>
                <w:iCs/>
                <w:szCs w:val="22"/>
              </w:rPr>
              <w:t xml:space="preserve">in paragraph 149 of the NPPF. </w:t>
            </w:r>
          </w:p>
          <w:p w14:paraId="32652108" w14:textId="1CD9834D" w:rsidR="00451AF3" w:rsidRDefault="00451AF3" w:rsidP="00640CA7">
            <w:pPr>
              <w:pStyle w:val="Header"/>
              <w:rPr>
                <w:rFonts w:ascii="Calibri" w:hAnsi="Calibri"/>
                <w:bCs/>
                <w:szCs w:val="22"/>
              </w:rPr>
            </w:pPr>
          </w:p>
          <w:p w14:paraId="377285B9" w14:textId="6E89ACD0" w:rsidR="007E2656" w:rsidRDefault="00451AF3" w:rsidP="00640CA7">
            <w:pPr>
              <w:pStyle w:val="Header"/>
              <w:rPr>
                <w:rFonts w:ascii="Calibri" w:hAnsi="Calibri"/>
                <w:bCs/>
                <w:szCs w:val="22"/>
              </w:rPr>
            </w:pPr>
            <w:r w:rsidRPr="00137060">
              <w:rPr>
                <w:rFonts w:ascii="Calibri" w:hAnsi="Calibri"/>
                <w:bCs/>
                <w:szCs w:val="22"/>
                <w:highlight w:val="yellow"/>
              </w:rPr>
              <w:t xml:space="preserve">Furthermore, </w:t>
            </w:r>
            <w:r w:rsidR="00CF3710">
              <w:rPr>
                <w:rFonts w:ascii="Calibri" w:hAnsi="Calibri"/>
                <w:bCs/>
                <w:szCs w:val="22"/>
                <w:highlight w:val="yellow"/>
              </w:rPr>
              <w:t>the proposal</w:t>
            </w:r>
            <w:r w:rsidR="00C257CE" w:rsidRPr="00137060">
              <w:rPr>
                <w:rFonts w:ascii="Calibri" w:hAnsi="Calibri"/>
                <w:bCs/>
                <w:szCs w:val="22"/>
                <w:highlight w:val="yellow"/>
              </w:rPr>
              <w:t xml:space="preserve"> would be contrary to the aims of </w:t>
            </w:r>
            <w:r w:rsidR="008F642C" w:rsidRPr="00137060">
              <w:rPr>
                <w:rFonts w:ascii="Calibri" w:hAnsi="Calibri"/>
                <w:bCs/>
                <w:szCs w:val="22"/>
                <w:highlight w:val="yellow"/>
              </w:rPr>
              <w:t>P</w:t>
            </w:r>
            <w:r w:rsidRPr="00137060">
              <w:rPr>
                <w:rFonts w:ascii="Calibri" w:hAnsi="Calibri"/>
                <w:bCs/>
                <w:szCs w:val="22"/>
                <w:highlight w:val="yellow"/>
              </w:rPr>
              <w:t>aragraph</w:t>
            </w:r>
            <w:r w:rsidR="00137060">
              <w:rPr>
                <w:rFonts w:ascii="Calibri" w:hAnsi="Calibri"/>
                <w:bCs/>
                <w:szCs w:val="22"/>
                <w:highlight w:val="yellow"/>
              </w:rPr>
              <w:t>s 138 and</w:t>
            </w:r>
            <w:r w:rsidRPr="00137060">
              <w:rPr>
                <w:rFonts w:ascii="Calibri" w:hAnsi="Calibri"/>
                <w:bCs/>
                <w:szCs w:val="22"/>
                <w:highlight w:val="yellow"/>
              </w:rPr>
              <w:t xml:space="preserve"> </w:t>
            </w:r>
            <w:r w:rsidR="008F642C" w:rsidRPr="00137060">
              <w:rPr>
                <w:rFonts w:ascii="Calibri" w:hAnsi="Calibri"/>
                <w:bCs/>
                <w:szCs w:val="22"/>
                <w:highlight w:val="yellow"/>
              </w:rPr>
              <w:t>145</w:t>
            </w:r>
            <w:r w:rsidR="00C257CE" w:rsidRPr="00137060">
              <w:rPr>
                <w:rFonts w:ascii="Calibri" w:hAnsi="Calibri"/>
                <w:bCs/>
                <w:szCs w:val="22"/>
                <w:highlight w:val="yellow"/>
              </w:rPr>
              <w:t xml:space="preserve"> of the NPPF and </w:t>
            </w:r>
            <w:r w:rsidR="008F642C" w:rsidRPr="00137060">
              <w:rPr>
                <w:rFonts w:ascii="Calibri" w:hAnsi="Calibri"/>
                <w:bCs/>
                <w:szCs w:val="22"/>
                <w:highlight w:val="yellow"/>
              </w:rPr>
              <w:t xml:space="preserve">Policy DMG1 and </w:t>
            </w:r>
            <w:r w:rsidR="00C257CE" w:rsidRPr="00137060">
              <w:rPr>
                <w:rFonts w:ascii="Calibri" w:hAnsi="Calibri"/>
                <w:bCs/>
                <w:szCs w:val="22"/>
                <w:highlight w:val="yellow"/>
              </w:rPr>
              <w:t xml:space="preserve">Key Statement EN1 of the </w:t>
            </w:r>
            <w:proofErr w:type="spellStart"/>
            <w:r w:rsidR="00C257CE" w:rsidRPr="00137060">
              <w:rPr>
                <w:rFonts w:ascii="Calibri" w:hAnsi="Calibri"/>
                <w:bCs/>
                <w:szCs w:val="22"/>
                <w:highlight w:val="yellow"/>
              </w:rPr>
              <w:t>Ribble</w:t>
            </w:r>
            <w:proofErr w:type="spellEnd"/>
            <w:r w:rsidR="00C257CE" w:rsidRPr="00137060">
              <w:rPr>
                <w:rFonts w:ascii="Calibri" w:hAnsi="Calibri"/>
                <w:bCs/>
                <w:szCs w:val="22"/>
                <w:highlight w:val="yellow"/>
              </w:rPr>
              <w:t xml:space="preserve"> Valley Core Strategy, </w:t>
            </w:r>
            <w:r w:rsidR="008F642C" w:rsidRPr="00137060">
              <w:rPr>
                <w:rFonts w:ascii="Calibri" w:hAnsi="Calibri"/>
                <w:bCs/>
                <w:szCs w:val="22"/>
                <w:highlight w:val="yellow"/>
              </w:rPr>
              <w:t>all</w:t>
            </w:r>
            <w:r w:rsidR="00C257CE" w:rsidRPr="00137060">
              <w:rPr>
                <w:rFonts w:ascii="Calibri" w:hAnsi="Calibri"/>
                <w:bCs/>
                <w:szCs w:val="22"/>
                <w:highlight w:val="yellow"/>
              </w:rPr>
              <w:t xml:space="preserve"> of which aim to retain the </w:t>
            </w:r>
            <w:r w:rsidR="008F642C" w:rsidRPr="00137060">
              <w:rPr>
                <w:rFonts w:ascii="Calibri" w:hAnsi="Calibri"/>
                <w:bCs/>
                <w:szCs w:val="22"/>
                <w:highlight w:val="yellow"/>
              </w:rPr>
              <w:t xml:space="preserve">visual character, </w:t>
            </w:r>
            <w:proofErr w:type="gramStart"/>
            <w:r w:rsidR="00C257CE" w:rsidRPr="00137060">
              <w:rPr>
                <w:rFonts w:ascii="Calibri" w:hAnsi="Calibri"/>
                <w:bCs/>
                <w:szCs w:val="22"/>
                <w:highlight w:val="yellow"/>
              </w:rPr>
              <w:t>openness</w:t>
            </w:r>
            <w:proofErr w:type="gramEnd"/>
            <w:r w:rsidR="008F642C" w:rsidRPr="00137060">
              <w:rPr>
                <w:rFonts w:ascii="Calibri" w:hAnsi="Calibri"/>
                <w:bCs/>
                <w:szCs w:val="22"/>
                <w:highlight w:val="yellow"/>
              </w:rPr>
              <w:t xml:space="preserve"> and </w:t>
            </w:r>
            <w:r w:rsidR="00C257CE" w:rsidRPr="00137060">
              <w:rPr>
                <w:rFonts w:ascii="Calibri" w:hAnsi="Calibri"/>
                <w:bCs/>
                <w:szCs w:val="22"/>
                <w:highlight w:val="yellow"/>
              </w:rPr>
              <w:t>permanence of the Green Belt through guarding against excessive development and inappropriate encroachment.</w:t>
            </w:r>
          </w:p>
          <w:p w14:paraId="3F69455E" w14:textId="77777777" w:rsidR="00DD7FDB" w:rsidRDefault="00DD7FDB" w:rsidP="00640CA7">
            <w:pPr>
              <w:pStyle w:val="Header"/>
              <w:rPr>
                <w:rFonts w:ascii="Calibri" w:hAnsi="Calibri"/>
                <w:bCs/>
                <w:szCs w:val="22"/>
              </w:rPr>
            </w:pPr>
          </w:p>
          <w:p w14:paraId="6745D61D" w14:textId="0043ADA5" w:rsidR="00831708" w:rsidRDefault="00DD7FDB" w:rsidP="00640CA7">
            <w:pPr>
              <w:pStyle w:val="Header"/>
              <w:rPr>
                <w:rFonts w:ascii="Calibri" w:hAnsi="Calibri"/>
                <w:bCs/>
                <w:szCs w:val="22"/>
              </w:rPr>
            </w:pPr>
            <w:r w:rsidRPr="00DD7FDB">
              <w:rPr>
                <w:rFonts w:ascii="Calibri" w:hAnsi="Calibri"/>
                <w:bCs/>
                <w:szCs w:val="22"/>
              </w:rPr>
              <w:t>It is for the above reasons and having regard to all material considerations and matters raised that planning consent be refused.</w:t>
            </w:r>
          </w:p>
          <w:p w14:paraId="17DEDB6A" w14:textId="01E68443" w:rsidR="00EB242F" w:rsidRPr="002840B2" w:rsidRDefault="00EB242F" w:rsidP="007C7B47">
            <w:pPr>
              <w:pStyle w:val="Header"/>
              <w:rPr>
                <w:rFonts w:ascii="Calibri" w:hAnsi="Calibri"/>
                <w:bCs/>
                <w:szCs w:val="22"/>
              </w:rPr>
            </w:pPr>
          </w:p>
        </w:tc>
      </w:tr>
      <w:tr w:rsidR="00C0704D" w:rsidRPr="008C75E4" w14:paraId="5817A72D" w14:textId="77777777" w:rsidTr="00421D25">
        <w:trPr>
          <w:jc w:val="center"/>
        </w:trPr>
        <w:tc>
          <w:tcPr>
            <w:tcW w:w="2142" w:type="dxa"/>
            <w:gridSpan w:val="2"/>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7826" w:type="dxa"/>
            <w:gridSpan w:val="13"/>
          </w:tcPr>
          <w:p w14:paraId="41C5B0AD" w14:textId="2AB38745" w:rsidR="00C0704D" w:rsidRPr="008C75E4" w:rsidRDefault="00421D25" w:rsidP="006126D1">
            <w:pPr>
              <w:jc w:val="both"/>
              <w:rPr>
                <w:rFonts w:ascii="Calibri" w:hAnsi="Calibri"/>
                <w:bCs/>
                <w:szCs w:val="22"/>
              </w:rPr>
            </w:pPr>
            <w:r>
              <w:rPr>
                <w:rFonts w:ascii="Calibri" w:hAnsi="Calibri"/>
                <w:bCs/>
                <w:szCs w:val="22"/>
              </w:rPr>
              <w:t>That planning permission be refused for the following reason</w:t>
            </w:r>
            <w:r w:rsidR="00C918D2">
              <w:rPr>
                <w:rFonts w:ascii="Calibri" w:hAnsi="Calibri"/>
                <w:bCs/>
                <w:szCs w:val="22"/>
              </w:rPr>
              <w:t>(s)</w:t>
            </w:r>
            <w:r>
              <w:rPr>
                <w:rFonts w:ascii="Calibri" w:hAnsi="Calibri"/>
                <w:bCs/>
                <w:szCs w:val="22"/>
              </w:rPr>
              <w:t>:</w:t>
            </w:r>
          </w:p>
        </w:tc>
      </w:tr>
      <w:tr w:rsidR="00C918D2" w:rsidRPr="008C75E4" w14:paraId="310ADE92" w14:textId="77777777" w:rsidTr="00F95349">
        <w:trPr>
          <w:trHeight w:val="642"/>
          <w:jc w:val="center"/>
        </w:trPr>
        <w:tc>
          <w:tcPr>
            <w:tcW w:w="562" w:type="dxa"/>
            <w:tcMar>
              <w:top w:w="57" w:type="dxa"/>
              <w:bottom w:w="57" w:type="dxa"/>
            </w:tcMar>
          </w:tcPr>
          <w:p w14:paraId="54D77DF0" w14:textId="47550F3B" w:rsidR="00C918D2" w:rsidRPr="00421D25" w:rsidRDefault="00C918D2" w:rsidP="00C918D2">
            <w:pPr>
              <w:rPr>
                <w:rFonts w:ascii="Calibri" w:hAnsi="Calibri"/>
                <w:b/>
                <w:szCs w:val="22"/>
              </w:rPr>
            </w:pPr>
            <w:r>
              <w:rPr>
                <w:rFonts w:ascii="Calibri" w:hAnsi="Calibri"/>
                <w:b/>
                <w:szCs w:val="22"/>
              </w:rPr>
              <w:t>01</w:t>
            </w:r>
          </w:p>
        </w:tc>
        <w:tc>
          <w:tcPr>
            <w:tcW w:w="9406" w:type="dxa"/>
            <w:gridSpan w:val="14"/>
          </w:tcPr>
          <w:p w14:paraId="6A0731B5" w14:textId="1E31D51E" w:rsidR="00C918D2" w:rsidRPr="00F95349" w:rsidRDefault="00C918D2" w:rsidP="00F95349">
            <w:pPr>
              <w:jc w:val="both"/>
              <w:rPr>
                <w:rFonts w:ascii="Calibri" w:hAnsi="Calibri"/>
                <w:bCs/>
                <w:szCs w:val="22"/>
              </w:rPr>
            </w:pPr>
            <w:r w:rsidRPr="00C918D2">
              <w:rPr>
                <w:rFonts w:ascii="Calibri" w:hAnsi="Calibri"/>
                <w:bCs/>
                <w:szCs w:val="22"/>
              </w:rPr>
              <w:t xml:space="preserve">The proposal is considered </w:t>
            </w:r>
            <w:r>
              <w:rPr>
                <w:rFonts w:ascii="Calibri" w:hAnsi="Calibri"/>
                <w:bCs/>
                <w:szCs w:val="22"/>
              </w:rPr>
              <w:t xml:space="preserve">to be inappropriate development within the Green Belt in as much that the proposed works would be </w:t>
            </w:r>
            <w:r w:rsidRPr="00C918D2">
              <w:rPr>
                <w:rFonts w:ascii="Calibri" w:hAnsi="Calibri"/>
                <w:bCs/>
                <w:szCs w:val="22"/>
              </w:rPr>
              <w:t xml:space="preserve">contrary to the main aims and objectives of </w:t>
            </w:r>
            <w:r w:rsidR="00137060">
              <w:rPr>
                <w:rFonts w:ascii="Calibri" w:hAnsi="Calibri"/>
                <w:bCs/>
                <w:szCs w:val="22"/>
              </w:rPr>
              <w:t>P</w:t>
            </w:r>
            <w:r>
              <w:rPr>
                <w:rFonts w:ascii="Calibri" w:hAnsi="Calibri"/>
                <w:bCs/>
                <w:szCs w:val="22"/>
              </w:rPr>
              <w:t>aragraph 149 of the NPPF</w:t>
            </w:r>
            <w:r w:rsidRPr="00C918D2">
              <w:rPr>
                <w:rFonts w:ascii="Calibri" w:hAnsi="Calibri"/>
                <w:bCs/>
                <w:szCs w:val="22"/>
              </w:rPr>
              <w:t xml:space="preserve"> which seeks to limit the development of new buildings in the Green Belt to those that are for the purposes of agriculture, forestry, essential outdoor sport and recreation, cemeteries and for other uses of land which preserve the openness of the Green Belt and which do not conflict with the purposes of the designation.</w:t>
            </w:r>
          </w:p>
        </w:tc>
      </w:tr>
      <w:tr w:rsidR="00421D25" w:rsidRPr="008C75E4" w14:paraId="76D0202A" w14:textId="77777777" w:rsidTr="00F95349">
        <w:trPr>
          <w:trHeight w:val="642"/>
          <w:jc w:val="center"/>
        </w:trPr>
        <w:tc>
          <w:tcPr>
            <w:tcW w:w="562" w:type="dxa"/>
            <w:tcMar>
              <w:top w:w="57" w:type="dxa"/>
              <w:bottom w:w="57" w:type="dxa"/>
            </w:tcMar>
          </w:tcPr>
          <w:p w14:paraId="4C5F3DA6" w14:textId="2814CEDF" w:rsidR="00421D25" w:rsidRPr="00421D25" w:rsidRDefault="00421D25" w:rsidP="00421D25">
            <w:pPr>
              <w:jc w:val="center"/>
              <w:rPr>
                <w:rFonts w:ascii="Calibri" w:hAnsi="Calibri"/>
                <w:b/>
                <w:szCs w:val="22"/>
              </w:rPr>
            </w:pPr>
            <w:r w:rsidRPr="00421D25">
              <w:rPr>
                <w:rFonts w:ascii="Calibri" w:hAnsi="Calibri"/>
                <w:b/>
                <w:szCs w:val="22"/>
              </w:rPr>
              <w:t>0</w:t>
            </w:r>
            <w:r w:rsidR="00C918D2">
              <w:rPr>
                <w:rFonts w:ascii="Calibri" w:hAnsi="Calibri"/>
                <w:b/>
                <w:szCs w:val="22"/>
              </w:rPr>
              <w:t>2</w:t>
            </w:r>
          </w:p>
        </w:tc>
        <w:tc>
          <w:tcPr>
            <w:tcW w:w="9406" w:type="dxa"/>
            <w:gridSpan w:val="14"/>
          </w:tcPr>
          <w:p w14:paraId="7566762A" w14:textId="363D937F" w:rsidR="00421D25" w:rsidRDefault="008077F2" w:rsidP="006126D1">
            <w:pPr>
              <w:jc w:val="both"/>
              <w:rPr>
                <w:rFonts w:ascii="Calibri" w:hAnsi="Calibri"/>
                <w:bCs/>
                <w:szCs w:val="22"/>
              </w:rPr>
            </w:pPr>
            <w:r w:rsidRPr="008077F2">
              <w:rPr>
                <w:rFonts w:ascii="Calibri" w:hAnsi="Calibri"/>
                <w:bCs/>
                <w:szCs w:val="22"/>
                <w:highlight w:val="yellow"/>
              </w:rPr>
              <w:t xml:space="preserve">It is considered that the approval of this application would lead to the creation of an </w:t>
            </w:r>
            <w:r w:rsidRPr="00137060">
              <w:rPr>
                <w:rFonts w:ascii="Calibri" w:hAnsi="Calibri"/>
                <w:bCs/>
                <w:szCs w:val="22"/>
                <w:highlight w:val="yellow"/>
              </w:rPr>
              <w:t>over dominant</w:t>
            </w:r>
            <w:r w:rsidR="00DB2FB4">
              <w:rPr>
                <w:rFonts w:ascii="Calibri" w:hAnsi="Calibri"/>
                <w:bCs/>
                <w:szCs w:val="22"/>
                <w:highlight w:val="yellow"/>
              </w:rPr>
              <w:t xml:space="preserve"> </w:t>
            </w:r>
            <w:r w:rsidRPr="008077F2">
              <w:rPr>
                <w:rFonts w:ascii="Calibri" w:hAnsi="Calibri"/>
                <w:bCs/>
                <w:szCs w:val="22"/>
                <w:highlight w:val="yellow"/>
              </w:rPr>
              <w:t xml:space="preserve">and incongruous form of development that would fail to protect, </w:t>
            </w:r>
            <w:proofErr w:type="gramStart"/>
            <w:r w:rsidRPr="008077F2">
              <w:rPr>
                <w:rFonts w:ascii="Calibri" w:hAnsi="Calibri"/>
                <w:bCs/>
                <w:szCs w:val="22"/>
                <w:highlight w:val="yellow"/>
              </w:rPr>
              <w:t>enhance</w:t>
            </w:r>
            <w:proofErr w:type="gramEnd"/>
            <w:r w:rsidRPr="008077F2">
              <w:rPr>
                <w:rFonts w:ascii="Calibri" w:hAnsi="Calibri"/>
                <w:bCs/>
                <w:szCs w:val="22"/>
                <w:highlight w:val="yellow"/>
              </w:rPr>
              <w:t xml:space="preserve"> or conserve the character, visual amenities </w:t>
            </w:r>
            <w:r w:rsidR="00137060">
              <w:rPr>
                <w:rFonts w:ascii="Calibri" w:hAnsi="Calibri"/>
                <w:bCs/>
                <w:szCs w:val="22"/>
                <w:highlight w:val="yellow"/>
              </w:rPr>
              <w:t xml:space="preserve">and openness </w:t>
            </w:r>
            <w:r w:rsidRPr="008077F2">
              <w:rPr>
                <w:rFonts w:ascii="Calibri" w:hAnsi="Calibri"/>
                <w:bCs/>
                <w:szCs w:val="22"/>
                <w:highlight w:val="yellow"/>
              </w:rPr>
              <w:t>of the Green Belt</w:t>
            </w:r>
            <w:r w:rsidR="00137060" w:rsidRPr="00137060">
              <w:rPr>
                <w:rFonts w:ascii="Calibri" w:hAnsi="Calibri"/>
                <w:bCs/>
                <w:szCs w:val="22"/>
                <w:highlight w:val="yellow"/>
              </w:rPr>
              <w:t xml:space="preserve">, all of which would be in </w:t>
            </w:r>
            <w:r w:rsidRPr="008077F2">
              <w:rPr>
                <w:rFonts w:ascii="Calibri" w:hAnsi="Calibri"/>
                <w:bCs/>
                <w:szCs w:val="22"/>
                <w:highlight w:val="yellow"/>
              </w:rPr>
              <w:t>direct conflict</w:t>
            </w:r>
            <w:r w:rsidR="00137060" w:rsidRPr="00137060">
              <w:rPr>
                <w:rFonts w:ascii="Calibri" w:hAnsi="Calibri"/>
                <w:bCs/>
                <w:szCs w:val="22"/>
                <w:highlight w:val="yellow"/>
              </w:rPr>
              <w:t xml:space="preserve"> with</w:t>
            </w:r>
            <w:r w:rsidRPr="008077F2">
              <w:rPr>
                <w:rFonts w:ascii="Calibri" w:hAnsi="Calibri"/>
                <w:bCs/>
                <w:szCs w:val="22"/>
                <w:highlight w:val="yellow"/>
              </w:rPr>
              <w:t xml:space="preserve"> </w:t>
            </w:r>
            <w:r w:rsidR="008F642C" w:rsidRPr="00137060">
              <w:rPr>
                <w:rFonts w:ascii="Calibri" w:hAnsi="Calibri"/>
                <w:bCs/>
                <w:szCs w:val="22"/>
                <w:highlight w:val="yellow"/>
              </w:rPr>
              <w:t>Paragraph</w:t>
            </w:r>
            <w:r w:rsidR="00137060">
              <w:rPr>
                <w:rFonts w:ascii="Calibri" w:hAnsi="Calibri"/>
                <w:bCs/>
                <w:szCs w:val="22"/>
                <w:highlight w:val="yellow"/>
              </w:rPr>
              <w:t>s 138 and</w:t>
            </w:r>
            <w:r w:rsidR="008F642C" w:rsidRPr="00137060">
              <w:rPr>
                <w:rFonts w:ascii="Calibri" w:hAnsi="Calibri"/>
                <w:bCs/>
                <w:szCs w:val="22"/>
                <w:highlight w:val="yellow"/>
              </w:rPr>
              <w:t xml:space="preserve"> 145 of the NPPF and Policy DMG1 and Key Statement EN1 of the </w:t>
            </w:r>
            <w:proofErr w:type="spellStart"/>
            <w:r w:rsidR="008F642C" w:rsidRPr="00137060">
              <w:rPr>
                <w:rFonts w:ascii="Calibri" w:hAnsi="Calibri"/>
                <w:bCs/>
                <w:szCs w:val="22"/>
                <w:highlight w:val="yellow"/>
              </w:rPr>
              <w:t>Ribble</w:t>
            </w:r>
            <w:proofErr w:type="spellEnd"/>
            <w:r w:rsidR="008F642C" w:rsidRPr="00137060">
              <w:rPr>
                <w:rFonts w:ascii="Calibri" w:hAnsi="Calibri"/>
                <w:bCs/>
                <w:szCs w:val="22"/>
                <w:highlight w:val="yellow"/>
              </w:rPr>
              <w:t xml:space="preserve"> Valley Core Strategy</w:t>
            </w:r>
            <w:r w:rsidR="00137060" w:rsidRPr="00137060">
              <w:rPr>
                <w:rFonts w:ascii="Calibri" w:hAnsi="Calibri"/>
                <w:bCs/>
                <w:szCs w:val="22"/>
                <w:highlight w:val="yellow"/>
              </w:rPr>
              <w:t>.</w:t>
            </w:r>
          </w:p>
        </w:tc>
      </w:tr>
    </w:tbl>
    <w:p w14:paraId="1E754A62" w14:textId="77777777" w:rsidR="0031197A" w:rsidRPr="008C75E4" w:rsidRDefault="00C61527"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0E988" w14:textId="77777777" w:rsidR="00AB45F7" w:rsidRDefault="00AB45F7" w:rsidP="006D0B5F">
      <w:r>
        <w:separator/>
      </w:r>
    </w:p>
  </w:endnote>
  <w:endnote w:type="continuationSeparator" w:id="0">
    <w:p w14:paraId="4B7AA08C" w14:textId="77777777" w:rsidR="00AB45F7" w:rsidRDefault="00AB45F7"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8EED0" w14:textId="77777777" w:rsidR="00AB45F7" w:rsidRDefault="00AB45F7" w:rsidP="006D0B5F">
      <w:r>
        <w:separator/>
      </w:r>
    </w:p>
  </w:footnote>
  <w:footnote w:type="continuationSeparator" w:id="0">
    <w:p w14:paraId="61DFA676" w14:textId="77777777" w:rsidR="00AB45F7" w:rsidRDefault="00AB45F7"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461DE4"/>
    <w:multiLevelType w:val="hybridMultilevel"/>
    <w:tmpl w:val="EE6E8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DF7780"/>
    <w:multiLevelType w:val="hybridMultilevel"/>
    <w:tmpl w:val="637E4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294E07"/>
    <w:multiLevelType w:val="hybridMultilevel"/>
    <w:tmpl w:val="3E40A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6"/>
  </w:num>
  <w:num w:numId="4">
    <w:abstractNumId w:val="7"/>
  </w:num>
  <w:num w:numId="5">
    <w:abstractNumId w:val="0"/>
  </w:num>
  <w:num w:numId="6">
    <w:abstractNumId w:val="2"/>
  </w:num>
  <w:num w:numId="7">
    <w:abstractNumId w:val="8"/>
  </w:num>
  <w:num w:numId="8">
    <w:abstractNumId w:val="15"/>
  </w:num>
  <w:num w:numId="9">
    <w:abstractNumId w:val="4"/>
  </w:num>
  <w:num w:numId="10">
    <w:abstractNumId w:val="9"/>
  </w:num>
  <w:num w:numId="11">
    <w:abstractNumId w:val="13"/>
  </w:num>
  <w:num w:numId="12">
    <w:abstractNumId w:val="1"/>
  </w:num>
  <w:num w:numId="13">
    <w:abstractNumId w:val="3"/>
  </w:num>
  <w:num w:numId="14">
    <w:abstractNumId w:val="5"/>
  </w:num>
  <w:num w:numId="15">
    <w:abstractNumId w:val="11"/>
  </w:num>
  <w:num w:numId="16">
    <w:abstractNumId w:val="17"/>
  </w:num>
  <w:num w:numId="17">
    <w:abstractNumId w:val="14"/>
  </w:num>
  <w:num w:numId="18">
    <w:abstractNumId w:val="1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5A32"/>
    <w:rsid w:val="00016A73"/>
    <w:rsid w:val="000267F9"/>
    <w:rsid w:val="0003171A"/>
    <w:rsid w:val="0003622C"/>
    <w:rsid w:val="00041FBF"/>
    <w:rsid w:val="00055B13"/>
    <w:rsid w:val="0006136E"/>
    <w:rsid w:val="0008638E"/>
    <w:rsid w:val="00091A2A"/>
    <w:rsid w:val="00094129"/>
    <w:rsid w:val="00096654"/>
    <w:rsid w:val="000A037A"/>
    <w:rsid w:val="000A13A1"/>
    <w:rsid w:val="000A4B0D"/>
    <w:rsid w:val="000A5492"/>
    <w:rsid w:val="000B4085"/>
    <w:rsid w:val="000B5CB5"/>
    <w:rsid w:val="000C2162"/>
    <w:rsid w:val="000C35FE"/>
    <w:rsid w:val="000C7A57"/>
    <w:rsid w:val="000D11A4"/>
    <w:rsid w:val="000E5405"/>
    <w:rsid w:val="000E5E8D"/>
    <w:rsid w:val="00101855"/>
    <w:rsid w:val="00103648"/>
    <w:rsid w:val="0010371E"/>
    <w:rsid w:val="001039F9"/>
    <w:rsid w:val="00106932"/>
    <w:rsid w:val="001162A9"/>
    <w:rsid w:val="00130035"/>
    <w:rsid w:val="0013139E"/>
    <w:rsid w:val="00132FCC"/>
    <w:rsid w:val="0013474E"/>
    <w:rsid w:val="00137060"/>
    <w:rsid w:val="00141512"/>
    <w:rsid w:val="00162F15"/>
    <w:rsid w:val="0016428F"/>
    <w:rsid w:val="00164B55"/>
    <w:rsid w:val="001678C5"/>
    <w:rsid w:val="00171D54"/>
    <w:rsid w:val="00174004"/>
    <w:rsid w:val="001868A8"/>
    <w:rsid w:val="001936C6"/>
    <w:rsid w:val="001946E0"/>
    <w:rsid w:val="00196722"/>
    <w:rsid w:val="001A207E"/>
    <w:rsid w:val="001A2558"/>
    <w:rsid w:val="001A2C18"/>
    <w:rsid w:val="001A4EFD"/>
    <w:rsid w:val="001B1038"/>
    <w:rsid w:val="001B6840"/>
    <w:rsid w:val="001B769B"/>
    <w:rsid w:val="001C1453"/>
    <w:rsid w:val="001C276A"/>
    <w:rsid w:val="001C63D5"/>
    <w:rsid w:val="001D04F0"/>
    <w:rsid w:val="001D38E1"/>
    <w:rsid w:val="001D465B"/>
    <w:rsid w:val="001D4F7A"/>
    <w:rsid w:val="001D5ADD"/>
    <w:rsid w:val="001D6426"/>
    <w:rsid w:val="001F68E9"/>
    <w:rsid w:val="00203F50"/>
    <w:rsid w:val="00204ED1"/>
    <w:rsid w:val="00206E24"/>
    <w:rsid w:val="002122F4"/>
    <w:rsid w:val="0022611D"/>
    <w:rsid w:val="00230AE6"/>
    <w:rsid w:val="00233DDA"/>
    <w:rsid w:val="00237DA1"/>
    <w:rsid w:val="00242A1C"/>
    <w:rsid w:val="00250879"/>
    <w:rsid w:val="00261E1A"/>
    <w:rsid w:val="00263B45"/>
    <w:rsid w:val="00266D44"/>
    <w:rsid w:val="00281535"/>
    <w:rsid w:val="002840B2"/>
    <w:rsid w:val="00284480"/>
    <w:rsid w:val="0028751A"/>
    <w:rsid w:val="0029334A"/>
    <w:rsid w:val="00293599"/>
    <w:rsid w:val="002948B7"/>
    <w:rsid w:val="002A01CF"/>
    <w:rsid w:val="002A239D"/>
    <w:rsid w:val="002A4629"/>
    <w:rsid w:val="002A7DF7"/>
    <w:rsid w:val="002B7854"/>
    <w:rsid w:val="002C6277"/>
    <w:rsid w:val="002C7166"/>
    <w:rsid w:val="002D4346"/>
    <w:rsid w:val="002E2952"/>
    <w:rsid w:val="002E7762"/>
    <w:rsid w:val="002E7CC1"/>
    <w:rsid w:val="002F041D"/>
    <w:rsid w:val="002F2580"/>
    <w:rsid w:val="002F6780"/>
    <w:rsid w:val="002F7502"/>
    <w:rsid w:val="002F7C03"/>
    <w:rsid w:val="00301F0E"/>
    <w:rsid w:val="003137E0"/>
    <w:rsid w:val="00320A6F"/>
    <w:rsid w:val="00321B6E"/>
    <w:rsid w:val="003246FC"/>
    <w:rsid w:val="003359D0"/>
    <w:rsid w:val="0034083D"/>
    <w:rsid w:val="00341E8D"/>
    <w:rsid w:val="00345446"/>
    <w:rsid w:val="003454D6"/>
    <w:rsid w:val="00347F5E"/>
    <w:rsid w:val="003562A3"/>
    <w:rsid w:val="00356AE6"/>
    <w:rsid w:val="00362B4A"/>
    <w:rsid w:val="003634D9"/>
    <w:rsid w:val="0036536F"/>
    <w:rsid w:val="0036759A"/>
    <w:rsid w:val="00374CB0"/>
    <w:rsid w:val="003770F1"/>
    <w:rsid w:val="003825D5"/>
    <w:rsid w:val="00391BCC"/>
    <w:rsid w:val="00392B0B"/>
    <w:rsid w:val="003A4376"/>
    <w:rsid w:val="003C0C2B"/>
    <w:rsid w:val="003C28E1"/>
    <w:rsid w:val="003C4118"/>
    <w:rsid w:val="003C74A1"/>
    <w:rsid w:val="003D16BC"/>
    <w:rsid w:val="003D6F7B"/>
    <w:rsid w:val="003E2151"/>
    <w:rsid w:val="003E503F"/>
    <w:rsid w:val="003E5100"/>
    <w:rsid w:val="003E5856"/>
    <w:rsid w:val="003F16AA"/>
    <w:rsid w:val="003F16B4"/>
    <w:rsid w:val="003F3DB5"/>
    <w:rsid w:val="003F481A"/>
    <w:rsid w:val="00403990"/>
    <w:rsid w:val="00404C72"/>
    <w:rsid w:val="00410BB2"/>
    <w:rsid w:val="00413615"/>
    <w:rsid w:val="00416BAF"/>
    <w:rsid w:val="00421D25"/>
    <w:rsid w:val="0043472B"/>
    <w:rsid w:val="00435FC9"/>
    <w:rsid w:val="0044039F"/>
    <w:rsid w:val="00440CB6"/>
    <w:rsid w:val="0044314D"/>
    <w:rsid w:val="00444544"/>
    <w:rsid w:val="00451AF3"/>
    <w:rsid w:val="00454754"/>
    <w:rsid w:val="004563D1"/>
    <w:rsid w:val="00457C80"/>
    <w:rsid w:val="00462BC4"/>
    <w:rsid w:val="004643EA"/>
    <w:rsid w:val="004654DD"/>
    <w:rsid w:val="0046709F"/>
    <w:rsid w:val="00472615"/>
    <w:rsid w:val="00485386"/>
    <w:rsid w:val="004854EC"/>
    <w:rsid w:val="004912F8"/>
    <w:rsid w:val="004936A6"/>
    <w:rsid w:val="004947BB"/>
    <w:rsid w:val="004978AD"/>
    <w:rsid w:val="004A2C27"/>
    <w:rsid w:val="004A434D"/>
    <w:rsid w:val="004A5EA9"/>
    <w:rsid w:val="004B3551"/>
    <w:rsid w:val="004B6F92"/>
    <w:rsid w:val="004C2434"/>
    <w:rsid w:val="004C6109"/>
    <w:rsid w:val="004D33C8"/>
    <w:rsid w:val="004D52DC"/>
    <w:rsid w:val="004D6FC7"/>
    <w:rsid w:val="004E346F"/>
    <w:rsid w:val="004E58E3"/>
    <w:rsid w:val="004E7979"/>
    <w:rsid w:val="004F0649"/>
    <w:rsid w:val="004F1043"/>
    <w:rsid w:val="004F1E99"/>
    <w:rsid w:val="004F46AF"/>
    <w:rsid w:val="0050432D"/>
    <w:rsid w:val="00504440"/>
    <w:rsid w:val="00510DBF"/>
    <w:rsid w:val="00510FA2"/>
    <w:rsid w:val="00510FE3"/>
    <w:rsid w:val="00520F5F"/>
    <w:rsid w:val="00521ABA"/>
    <w:rsid w:val="0052349A"/>
    <w:rsid w:val="00525341"/>
    <w:rsid w:val="00527A31"/>
    <w:rsid w:val="00534611"/>
    <w:rsid w:val="00537C15"/>
    <w:rsid w:val="00542B47"/>
    <w:rsid w:val="00545D8C"/>
    <w:rsid w:val="00546A79"/>
    <w:rsid w:val="00546E14"/>
    <w:rsid w:val="00556ECD"/>
    <w:rsid w:val="005631B3"/>
    <w:rsid w:val="005633B0"/>
    <w:rsid w:val="005635FF"/>
    <w:rsid w:val="00563E70"/>
    <w:rsid w:val="00573B90"/>
    <w:rsid w:val="0057559F"/>
    <w:rsid w:val="00586075"/>
    <w:rsid w:val="005878FE"/>
    <w:rsid w:val="00593040"/>
    <w:rsid w:val="0059562A"/>
    <w:rsid w:val="005B0A0E"/>
    <w:rsid w:val="005B5710"/>
    <w:rsid w:val="005C0160"/>
    <w:rsid w:val="005C4390"/>
    <w:rsid w:val="005D3432"/>
    <w:rsid w:val="005E1088"/>
    <w:rsid w:val="005E1241"/>
    <w:rsid w:val="005E1C6C"/>
    <w:rsid w:val="005E65DF"/>
    <w:rsid w:val="005F1593"/>
    <w:rsid w:val="005F5A32"/>
    <w:rsid w:val="006075B0"/>
    <w:rsid w:val="006126D1"/>
    <w:rsid w:val="006326A2"/>
    <w:rsid w:val="0064032E"/>
    <w:rsid w:val="00640CA7"/>
    <w:rsid w:val="006644F6"/>
    <w:rsid w:val="00665C24"/>
    <w:rsid w:val="00690EC3"/>
    <w:rsid w:val="00692B60"/>
    <w:rsid w:val="00694BD3"/>
    <w:rsid w:val="00695F88"/>
    <w:rsid w:val="006A20B7"/>
    <w:rsid w:val="006A71AD"/>
    <w:rsid w:val="006B02EC"/>
    <w:rsid w:val="006C126E"/>
    <w:rsid w:val="006C2BFA"/>
    <w:rsid w:val="006C4F63"/>
    <w:rsid w:val="006D0B5F"/>
    <w:rsid w:val="006D4E58"/>
    <w:rsid w:val="006D6E47"/>
    <w:rsid w:val="006D7624"/>
    <w:rsid w:val="006D7B79"/>
    <w:rsid w:val="006E6AB0"/>
    <w:rsid w:val="006F137D"/>
    <w:rsid w:val="006F4D38"/>
    <w:rsid w:val="0070054B"/>
    <w:rsid w:val="00705690"/>
    <w:rsid w:val="00706480"/>
    <w:rsid w:val="00710DBB"/>
    <w:rsid w:val="00716AF6"/>
    <w:rsid w:val="00722962"/>
    <w:rsid w:val="00725F1C"/>
    <w:rsid w:val="00734E4F"/>
    <w:rsid w:val="007430C8"/>
    <w:rsid w:val="00755FCC"/>
    <w:rsid w:val="00761001"/>
    <w:rsid w:val="00776AE2"/>
    <w:rsid w:val="00781B02"/>
    <w:rsid w:val="007921CD"/>
    <w:rsid w:val="007926E3"/>
    <w:rsid w:val="0079566C"/>
    <w:rsid w:val="007A0928"/>
    <w:rsid w:val="007A3ADF"/>
    <w:rsid w:val="007A5577"/>
    <w:rsid w:val="007B6210"/>
    <w:rsid w:val="007B76A8"/>
    <w:rsid w:val="007C2CB6"/>
    <w:rsid w:val="007C5713"/>
    <w:rsid w:val="007C791C"/>
    <w:rsid w:val="007C7B47"/>
    <w:rsid w:val="007D69B7"/>
    <w:rsid w:val="007D6D02"/>
    <w:rsid w:val="007D7DF4"/>
    <w:rsid w:val="007E0BCB"/>
    <w:rsid w:val="007E0D23"/>
    <w:rsid w:val="007E2656"/>
    <w:rsid w:val="007E2AA9"/>
    <w:rsid w:val="007F196D"/>
    <w:rsid w:val="00805895"/>
    <w:rsid w:val="008075CB"/>
    <w:rsid w:val="008077F2"/>
    <w:rsid w:val="00811771"/>
    <w:rsid w:val="008154DD"/>
    <w:rsid w:val="00831075"/>
    <w:rsid w:val="00831708"/>
    <w:rsid w:val="00835B4D"/>
    <w:rsid w:val="0084216B"/>
    <w:rsid w:val="008542DE"/>
    <w:rsid w:val="00854600"/>
    <w:rsid w:val="008561F3"/>
    <w:rsid w:val="00861647"/>
    <w:rsid w:val="00863394"/>
    <w:rsid w:val="008638DE"/>
    <w:rsid w:val="00863DD7"/>
    <w:rsid w:val="00863E7E"/>
    <w:rsid w:val="008643DD"/>
    <w:rsid w:val="00883142"/>
    <w:rsid w:val="00884D36"/>
    <w:rsid w:val="00891182"/>
    <w:rsid w:val="0089425B"/>
    <w:rsid w:val="008977BD"/>
    <w:rsid w:val="008A28C8"/>
    <w:rsid w:val="008B5461"/>
    <w:rsid w:val="008B702B"/>
    <w:rsid w:val="008C13E2"/>
    <w:rsid w:val="008C150B"/>
    <w:rsid w:val="008C39D9"/>
    <w:rsid w:val="008C75E4"/>
    <w:rsid w:val="008D0FEE"/>
    <w:rsid w:val="008D4F9D"/>
    <w:rsid w:val="008E1DBF"/>
    <w:rsid w:val="008E2CC8"/>
    <w:rsid w:val="008F642C"/>
    <w:rsid w:val="008F6B58"/>
    <w:rsid w:val="008F788B"/>
    <w:rsid w:val="00900269"/>
    <w:rsid w:val="0090282C"/>
    <w:rsid w:val="00903630"/>
    <w:rsid w:val="00906D0C"/>
    <w:rsid w:val="009130B6"/>
    <w:rsid w:val="00913F09"/>
    <w:rsid w:val="0091417C"/>
    <w:rsid w:val="0091595C"/>
    <w:rsid w:val="009209D1"/>
    <w:rsid w:val="00934B34"/>
    <w:rsid w:val="00947364"/>
    <w:rsid w:val="00952061"/>
    <w:rsid w:val="009565F5"/>
    <w:rsid w:val="00967113"/>
    <w:rsid w:val="00970417"/>
    <w:rsid w:val="00970A9B"/>
    <w:rsid w:val="009775FC"/>
    <w:rsid w:val="009825FF"/>
    <w:rsid w:val="009830A1"/>
    <w:rsid w:val="00985097"/>
    <w:rsid w:val="00994EF1"/>
    <w:rsid w:val="009A2F73"/>
    <w:rsid w:val="009A6574"/>
    <w:rsid w:val="009B2C97"/>
    <w:rsid w:val="009B5A2C"/>
    <w:rsid w:val="009C4BCF"/>
    <w:rsid w:val="009C7F61"/>
    <w:rsid w:val="009E4064"/>
    <w:rsid w:val="009E62C3"/>
    <w:rsid w:val="009E6A8B"/>
    <w:rsid w:val="009F2222"/>
    <w:rsid w:val="009F301B"/>
    <w:rsid w:val="00A04A96"/>
    <w:rsid w:val="00A2354D"/>
    <w:rsid w:val="00A30351"/>
    <w:rsid w:val="00A33747"/>
    <w:rsid w:val="00A40070"/>
    <w:rsid w:val="00A42E82"/>
    <w:rsid w:val="00A4649D"/>
    <w:rsid w:val="00A46EE9"/>
    <w:rsid w:val="00A47F23"/>
    <w:rsid w:val="00A559FB"/>
    <w:rsid w:val="00A55E83"/>
    <w:rsid w:val="00A579BB"/>
    <w:rsid w:val="00A61BD5"/>
    <w:rsid w:val="00A63D55"/>
    <w:rsid w:val="00A6544E"/>
    <w:rsid w:val="00A67C5D"/>
    <w:rsid w:val="00A8254C"/>
    <w:rsid w:val="00A8441B"/>
    <w:rsid w:val="00A9088C"/>
    <w:rsid w:val="00A9168C"/>
    <w:rsid w:val="00A95D89"/>
    <w:rsid w:val="00AB2370"/>
    <w:rsid w:val="00AB2D43"/>
    <w:rsid w:val="00AB3243"/>
    <w:rsid w:val="00AB3437"/>
    <w:rsid w:val="00AB45F7"/>
    <w:rsid w:val="00AB5232"/>
    <w:rsid w:val="00AC5BAF"/>
    <w:rsid w:val="00AC79F2"/>
    <w:rsid w:val="00AD5FBF"/>
    <w:rsid w:val="00AD627A"/>
    <w:rsid w:val="00AE60D2"/>
    <w:rsid w:val="00AF207E"/>
    <w:rsid w:val="00AF2603"/>
    <w:rsid w:val="00B00C4D"/>
    <w:rsid w:val="00B00EBC"/>
    <w:rsid w:val="00B02036"/>
    <w:rsid w:val="00B02CBA"/>
    <w:rsid w:val="00B042B2"/>
    <w:rsid w:val="00B07260"/>
    <w:rsid w:val="00B10A05"/>
    <w:rsid w:val="00B10F81"/>
    <w:rsid w:val="00B11C82"/>
    <w:rsid w:val="00B14DDC"/>
    <w:rsid w:val="00B245A6"/>
    <w:rsid w:val="00B30A5E"/>
    <w:rsid w:val="00B31505"/>
    <w:rsid w:val="00B45D11"/>
    <w:rsid w:val="00B52154"/>
    <w:rsid w:val="00B6269C"/>
    <w:rsid w:val="00B72820"/>
    <w:rsid w:val="00B72CD1"/>
    <w:rsid w:val="00B7323F"/>
    <w:rsid w:val="00B74C73"/>
    <w:rsid w:val="00B80A22"/>
    <w:rsid w:val="00B82F0E"/>
    <w:rsid w:val="00B83851"/>
    <w:rsid w:val="00B93EB5"/>
    <w:rsid w:val="00B96F5A"/>
    <w:rsid w:val="00BA2247"/>
    <w:rsid w:val="00BA5D97"/>
    <w:rsid w:val="00BA6B19"/>
    <w:rsid w:val="00BA6F21"/>
    <w:rsid w:val="00BB12A3"/>
    <w:rsid w:val="00BB1C52"/>
    <w:rsid w:val="00BB2A50"/>
    <w:rsid w:val="00BB69FB"/>
    <w:rsid w:val="00BC0FF2"/>
    <w:rsid w:val="00BC1E48"/>
    <w:rsid w:val="00BD3F03"/>
    <w:rsid w:val="00BD4102"/>
    <w:rsid w:val="00BD6206"/>
    <w:rsid w:val="00BF0757"/>
    <w:rsid w:val="00BF10F1"/>
    <w:rsid w:val="00BF1898"/>
    <w:rsid w:val="00BF57DC"/>
    <w:rsid w:val="00BF6984"/>
    <w:rsid w:val="00BF6E64"/>
    <w:rsid w:val="00C01CF1"/>
    <w:rsid w:val="00C03259"/>
    <w:rsid w:val="00C065A2"/>
    <w:rsid w:val="00C0704D"/>
    <w:rsid w:val="00C161DA"/>
    <w:rsid w:val="00C214A6"/>
    <w:rsid w:val="00C24A51"/>
    <w:rsid w:val="00C25722"/>
    <w:rsid w:val="00C257CE"/>
    <w:rsid w:val="00C351D8"/>
    <w:rsid w:val="00C37FD5"/>
    <w:rsid w:val="00C44E40"/>
    <w:rsid w:val="00C50517"/>
    <w:rsid w:val="00C52703"/>
    <w:rsid w:val="00C61527"/>
    <w:rsid w:val="00C618DB"/>
    <w:rsid w:val="00C6456D"/>
    <w:rsid w:val="00C65DD8"/>
    <w:rsid w:val="00C702FE"/>
    <w:rsid w:val="00C742AE"/>
    <w:rsid w:val="00C847C5"/>
    <w:rsid w:val="00C864A7"/>
    <w:rsid w:val="00C918D2"/>
    <w:rsid w:val="00C93384"/>
    <w:rsid w:val="00C935AA"/>
    <w:rsid w:val="00CA28BA"/>
    <w:rsid w:val="00CB3674"/>
    <w:rsid w:val="00CB66DD"/>
    <w:rsid w:val="00CD1729"/>
    <w:rsid w:val="00CD2E03"/>
    <w:rsid w:val="00CD38B1"/>
    <w:rsid w:val="00CD5902"/>
    <w:rsid w:val="00CF3710"/>
    <w:rsid w:val="00CF4844"/>
    <w:rsid w:val="00D00A1A"/>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32BB"/>
    <w:rsid w:val="00D77F83"/>
    <w:rsid w:val="00D80310"/>
    <w:rsid w:val="00D82FD6"/>
    <w:rsid w:val="00D83D2D"/>
    <w:rsid w:val="00D91BFF"/>
    <w:rsid w:val="00D9608A"/>
    <w:rsid w:val="00D96DF7"/>
    <w:rsid w:val="00D97AA3"/>
    <w:rsid w:val="00DA27B6"/>
    <w:rsid w:val="00DA4F2C"/>
    <w:rsid w:val="00DA7EAF"/>
    <w:rsid w:val="00DB2FB4"/>
    <w:rsid w:val="00DC3C8A"/>
    <w:rsid w:val="00DD62F6"/>
    <w:rsid w:val="00DD7E97"/>
    <w:rsid w:val="00DD7FDB"/>
    <w:rsid w:val="00DE740E"/>
    <w:rsid w:val="00DF42DA"/>
    <w:rsid w:val="00E022DA"/>
    <w:rsid w:val="00E03AFD"/>
    <w:rsid w:val="00E0485E"/>
    <w:rsid w:val="00E06DFC"/>
    <w:rsid w:val="00E23FB0"/>
    <w:rsid w:val="00E270CB"/>
    <w:rsid w:val="00E328C7"/>
    <w:rsid w:val="00E3317F"/>
    <w:rsid w:val="00E46243"/>
    <w:rsid w:val="00E5248C"/>
    <w:rsid w:val="00E66534"/>
    <w:rsid w:val="00E66BAB"/>
    <w:rsid w:val="00E719D1"/>
    <w:rsid w:val="00E71A35"/>
    <w:rsid w:val="00E72F6C"/>
    <w:rsid w:val="00E74F99"/>
    <w:rsid w:val="00E758C0"/>
    <w:rsid w:val="00E80113"/>
    <w:rsid w:val="00E86F64"/>
    <w:rsid w:val="00EA09F9"/>
    <w:rsid w:val="00EA1673"/>
    <w:rsid w:val="00EA6D57"/>
    <w:rsid w:val="00EB188D"/>
    <w:rsid w:val="00EB242F"/>
    <w:rsid w:val="00EB7D74"/>
    <w:rsid w:val="00EC048F"/>
    <w:rsid w:val="00EC23C7"/>
    <w:rsid w:val="00EC499E"/>
    <w:rsid w:val="00ED00B7"/>
    <w:rsid w:val="00ED16B9"/>
    <w:rsid w:val="00ED5DDE"/>
    <w:rsid w:val="00EF1310"/>
    <w:rsid w:val="00EF1341"/>
    <w:rsid w:val="00EF44E6"/>
    <w:rsid w:val="00EF5101"/>
    <w:rsid w:val="00EF7B30"/>
    <w:rsid w:val="00F012FA"/>
    <w:rsid w:val="00F055D3"/>
    <w:rsid w:val="00F10979"/>
    <w:rsid w:val="00F129DD"/>
    <w:rsid w:val="00F16D0F"/>
    <w:rsid w:val="00F22332"/>
    <w:rsid w:val="00F308B2"/>
    <w:rsid w:val="00F32789"/>
    <w:rsid w:val="00F32831"/>
    <w:rsid w:val="00F40C28"/>
    <w:rsid w:val="00F4140E"/>
    <w:rsid w:val="00F71D53"/>
    <w:rsid w:val="00F731F5"/>
    <w:rsid w:val="00F75F59"/>
    <w:rsid w:val="00F804C4"/>
    <w:rsid w:val="00F8201E"/>
    <w:rsid w:val="00F86F3B"/>
    <w:rsid w:val="00F874F3"/>
    <w:rsid w:val="00F95349"/>
    <w:rsid w:val="00FA2FDF"/>
    <w:rsid w:val="00FA3044"/>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130453">
      <w:bodyDiv w:val="1"/>
      <w:marLeft w:val="0"/>
      <w:marRight w:val="0"/>
      <w:marTop w:val="0"/>
      <w:marBottom w:val="0"/>
      <w:divBdr>
        <w:top w:val="none" w:sz="0" w:space="0" w:color="auto"/>
        <w:left w:val="none" w:sz="0" w:space="0" w:color="auto"/>
        <w:bottom w:val="none" w:sz="0" w:space="0" w:color="auto"/>
        <w:right w:val="none" w:sz="0" w:space="0" w:color="auto"/>
      </w:divBdr>
    </w:div>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5690E-D59C-4B97-8A43-4C4BD6843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1853</Words>
  <Characters>10564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2021-11-04T14:25:00Z</cp:lastPrinted>
  <dcterms:created xsi:type="dcterms:W3CDTF">2021-11-04T14:27:00Z</dcterms:created>
  <dcterms:modified xsi:type="dcterms:W3CDTF">2021-11-04T14:27:00Z</dcterms:modified>
</cp:coreProperties>
</file>