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384"/>
        <w:gridCol w:w="430"/>
        <w:gridCol w:w="2588"/>
        <w:gridCol w:w="3634"/>
        <w:gridCol w:w="79"/>
      </w:tblGrid>
      <w:tr w:rsidR="004A5EA9" w:rsidRPr="00497B71" w14:paraId="3A185545"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011E8AF" w14:textId="77777777" w:rsidR="004A5EA9" w:rsidRPr="00497B71" w:rsidRDefault="00D2449B" w:rsidP="00D2449B">
            <w:pPr>
              <w:jc w:val="center"/>
              <w:rPr>
                <w:rFonts w:asciiTheme="minorHAnsi" w:hAnsiTheme="minorHAnsi" w:cstheme="minorHAnsi"/>
                <w:b/>
                <w:szCs w:val="22"/>
              </w:rPr>
            </w:pPr>
            <w:r w:rsidRPr="00497B71">
              <w:rPr>
                <w:rFonts w:asciiTheme="minorHAnsi" w:hAnsiTheme="minorHAnsi" w:cstheme="minorHAnsi"/>
                <w:b/>
                <w:szCs w:val="22"/>
              </w:rPr>
              <w:t>R</w:t>
            </w:r>
            <w:r w:rsidR="004A5EA9" w:rsidRPr="00497B71">
              <w:rPr>
                <w:rFonts w:asciiTheme="minorHAnsi" w:hAnsiTheme="minorHAnsi" w:cstheme="minorHAnsi"/>
                <w:b/>
                <w:szCs w:val="22"/>
              </w:rPr>
              <w:t>eport to be read in conjunction with the Decision Notice.</w:t>
            </w:r>
          </w:p>
        </w:tc>
      </w:tr>
      <w:tr w:rsidR="004A5EA9" w:rsidRPr="00497B71" w14:paraId="61F9AA10" w14:textId="77777777" w:rsidTr="00C70DC7">
        <w:trPr>
          <w:gridAfter w:val="1"/>
          <w:wAfter w:w="79" w:type="dxa"/>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8C0DC9" w14:textId="77777777" w:rsidR="004A5EA9" w:rsidRPr="00497B71" w:rsidRDefault="004A5EA9" w:rsidP="004A5EA9">
            <w:pPr>
              <w:jc w:val="center"/>
              <w:rPr>
                <w:rFonts w:asciiTheme="minorHAnsi" w:hAnsiTheme="minorHAnsi" w:cstheme="minorHAnsi"/>
                <w:b/>
                <w:szCs w:val="22"/>
              </w:rPr>
            </w:pPr>
          </w:p>
        </w:tc>
      </w:tr>
      <w:tr w:rsidR="004A5EA9" w:rsidRPr="00497B71" w14:paraId="2BE688EF"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FE240B"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999FB" w14:textId="45F4A994" w:rsidR="004A5EA9" w:rsidRPr="00497B71" w:rsidRDefault="00414D55" w:rsidP="002C0855">
            <w:pPr>
              <w:rPr>
                <w:rFonts w:asciiTheme="minorHAnsi" w:hAnsiTheme="minorHAnsi" w:cstheme="minorHAnsi"/>
                <w:szCs w:val="22"/>
              </w:rPr>
            </w:pPr>
            <w:r w:rsidRPr="00414D55">
              <w:rPr>
                <w:rFonts w:asciiTheme="minorHAnsi" w:hAnsiTheme="minorHAnsi" w:cstheme="minorHAnsi"/>
                <w:szCs w:val="22"/>
              </w:rPr>
              <w:t>3/202</w:t>
            </w:r>
            <w:r w:rsidR="00906E16">
              <w:rPr>
                <w:rFonts w:asciiTheme="minorHAnsi" w:hAnsiTheme="minorHAnsi" w:cstheme="minorHAnsi"/>
                <w:szCs w:val="22"/>
              </w:rPr>
              <w:t>1/0</w:t>
            </w:r>
            <w:r w:rsidR="00A00C58">
              <w:rPr>
                <w:rFonts w:asciiTheme="minorHAnsi" w:hAnsiTheme="minorHAnsi" w:cstheme="minorHAnsi"/>
                <w:szCs w:val="22"/>
              </w:rPr>
              <w:t>8</w:t>
            </w:r>
            <w:r w:rsidR="00207DB5">
              <w:rPr>
                <w:rFonts w:asciiTheme="minorHAnsi" w:hAnsiTheme="minorHAnsi" w:cstheme="minorHAnsi"/>
                <w:szCs w:val="22"/>
              </w:rPr>
              <w:t>82</w:t>
            </w:r>
          </w:p>
        </w:tc>
        <w:tc>
          <w:tcPr>
            <w:tcW w:w="363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54FFCF" w14:textId="77777777" w:rsidR="004A5EA9" w:rsidRPr="00497B71" w:rsidRDefault="004A5EA9">
            <w:pPr>
              <w:rPr>
                <w:rFonts w:asciiTheme="minorHAnsi" w:hAnsiTheme="minorHAnsi" w:cstheme="minorHAnsi"/>
                <w:szCs w:val="22"/>
              </w:rPr>
            </w:pPr>
            <w:r w:rsidRPr="00497B71">
              <w:rPr>
                <w:rFonts w:asciiTheme="minorHAnsi" w:hAnsiTheme="minorHAnsi" w:cstheme="minorHAnsi"/>
                <w:noProof/>
                <w:szCs w:val="22"/>
                <w:lang w:eastAsia="en-GB"/>
              </w:rPr>
              <w:drawing>
                <wp:anchor distT="0" distB="0" distL="114300" distR="114300" simplePos="0" relativeHeight="251658240" behindDoc="0" locked="0" layoutInCell="1" allowOverlap="1" wp14:anchorId="548D2069" wp14:editId="45212E9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497B71" w14:paraId="4DE3E4CF"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1FFF68" w14:textId="77777777" w:rsidR="004A5EA9" w:rsidRPr="00497B71" w:rsidRDefault="004A5EA9">
            <w:pPr>
              <w:rPr>
                <w:rFonts w:asciiTheme="minorHAnsi" w:hAnsiTheme="minorHAnsi" w:cstheme="minorHAnsi"/>
                <w:b/>
                <w:szCs w:val="22"/>
              </w:rPr>
            </w:pPr>
            <w:r w:rsidRPr="00497B71">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9616AA" w14:textId="0758D284" w:rsidR="004A5EA9" w:rsidRPr="00497B71" w:rsidRDefault="00207DB5">
            <w:pPr>
              <w:rPr>
                <w:rFonts w:asciiTheme="minorHAnsi" w:hAnsiTheme="minorHAnsi" w:cstheme="minorHAnsi"/>
                <w:szCs w:val="22"/>
              </w:rPr>
            </w:pPr>
            <w:r>
              <w:rPr>
                <w:rFonts w:asciiTheme="minorHAnsi" w:hAnsiTheme="minorHAnsi" w:cstheme="minorHAnsi"/>
                <w:szCs w:val="22"/>
              </w:rPr>
              <w:t>~</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F06874" w14:textId="77777777" w:rsidR="004A5EA9" w:rsidRPr="00497B71" w:rsidRDefault="004A5EA9">
            <w:pPr>
              <w:rPr>
                <w:rFonts w:asciiTheme="minorHAnsi" w:hAnsiTheme="minorHAnsi" w:cstheme="minorHAnsi"/>
                <w:szCs w:val="22"/>
              </w:rPr>
            </w:pPr>
          </w:p>
        </w:tc>
      </w:tr>
      <w:tr w:rsidR="004A5EA9" w:rsidRPr="00497B71" w14:paraId="3497921E" w14:textId="77777777" w:rsidTr="00C70DC7">
        <w:trPr>
          <w:gridAfter w:val="1"/>
          <w:wAfter w:w="79" w:type="dxa"/>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CDBBA8" w14:textId="77777777" w:rsidR="004A5EA9" w:rsidRPr="00497B71" w:rsidRDefault="00D2449B">
            <w:pPr>
              <w:rPr>
                <w:rFonts w:asciiTheme="minorHAnsi" w:hAnsiTheme="minorHAnsi" w:cstheme="minorHAnsi"/>
                <w:b/>
                <w:szCs w:val="22"/>
              </w:rPr>
            </w:pPr>
            <w:r w:rsidRPr="00497B71">
              <w:rPr>
                <w:rFonts w:asciiTheme="minorHAnsi" w:hAnsiTheme="minorHAnsi" w:cstheme="minorHAnsi"/>
                <w:b/>
                <w:szCs w:val="22"/>
              </w:rPr>
              <w:t>Officer</w:t>
            </w:r>
            <w:r w:rsidR="004A5EA9" w:rsidRPr="00497B71">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4E970" w14:textId="77777777" w:rsidR="004A5EA9" w:rsidRPr="00497B71" w:rsidRDefault="00F22639">
            <w:pPr>
              <w:rPr>
                <w:rFonts w:asciiTheme="minorHAnsi" w:hAnsiTheme="minorHAnsi" w:cstheme="minorHAnsi"/>
                <w:szCs w:val="22"/>
              </w:rPr>
            </w:pPr>
            <w:r w:rsidRPr="00497B71">
              <w:rPr>
                <w:rFonts w:asciiTheme="minorHAnsi" w:hAnsiTheme="minorHAnsi" w:cstheme="minorHAnsi"/>
                <w:szCs w:val="22"/>
              </w:rPr>
              <w:t>AB</w:t>
            </w:r>
          </w:p>
        </w:tc>
        <w:tc>
          <w:tcPr>
            <w:tcW w:w="363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9C1327" w14:textId="77777777" w:rsidR="004A5EA9" w:rsidRPr="00497B71" w:rsidRDefault="004A5EA9">
            <w:pPr>
              <w:rPr>
                <w:rFonts w:asciiTheme="minorHAnsi" w:hAnsiTheme="minorHAnsi" w:cstheme="minorHAnsi"/>
                <w:szCs w:val="22"/>
              </w:rPr>
            </w:pPr>
          </w:p>
        </w:tc>
      </w:tr>
      <w:tr w:rsidR="004A5EA9" w:rsidRPr="00497B71" w14:paraId="711E743C" w14:textId="77777777" w:rsidTr="00C70DC7">
        <w:trPr>
          <w:gridAfter w:val="1"/>
          <w:wAfter w:w="79" w:type="dxa"/>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D4ACC" w14:textId="77777777" w:rsidR="004A5EA9" w:rsidRPr="00497B71" w:rsidRDefault="004A5EA9" w:rsidP="004A5EA9">
            <w:pPr>
              <w:rPr>
                <w:rFonts w:asciiTheme="minorHAnsi" w:hAnsiTheme="minorHAnsi" w:cstheme="minorHAnsi"/>
                <w:b/>
                <w:szCs w:val="22"/>
              </w:rPr>
            </w:pPr>
            <w:r w:rsidRPr="00497B71">
              <w:rPr>
                <w:rFonts w:asciiTheme="minorHAnsi" w:hAnsiTheme="minorHAnsi" w:cstheme="minorHAnsi"/>
                <w:b/>
                <w:szCs w:val="22"/>
              </w:rPr>
              <w:t xml:space="preserve">DELEGATED ITEM FILE REPORT: </w:t>
            </w:r>
          </w:p>
        </w:tc>
        <w:tc>
          <w:tcPr>
            <w:tcW w:w="36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BB57A7" w14:textId="6B57F484" w:rsidR="004A5EA9" w:rsidRPr="00497B71" w:rsidRDefault="00207DB5" w:rsidP="002A01CF">
            <w:pPr>
              <w:jc w:val="center"/>
              <w:rPr>
                <w:rFonts w:asciiTheme="minorHAnsi" w:hAnsiTheme="minorHAnsi" w:cstheme="minorHAnsi"/>
                <w:b/>
                <w:szCs w:val="22"/>
              </w:rPr>
            </w:pPr>
            <w:r>
              <w:rPr>
                <w:rFonts w:asciiTheme="minorHAnsi" w:hAnsiTheme="minorHAnsi" w:cstheme="minorHAnsi"/>
                <w:b/>
                <w:szCs w:val="22"/>
              </w:rPr>
              <w:t>APPROVED</w:t>
            </w:r>
          </w:p>
        </w:tc>
      </w:tr>
      <w:tr w:rsidR="004A5EA9" w:rsidRPr="00497B71" w14:paraId="0F4260A1"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85E2872" w14:textId="77777777" w:rsidR="004A5EA9" w:rsidRPr="00497B71" w:rsidRDefault="007E0D23" w:rsidP="007E0D23">
            <w:pPr>
              <w:tabs>
                <w:tab w:val="left" w:pos="4007"/>
              </w:tabs>
              <w:rPr>
                <w:rFonts w:asciiTheme="minorHAnsi" w:hAnsiTheme="minorHAnsi" w:cstheme="minorHAnsi"/>
                <w:b/>
                <w:szCs w:val="22"/>
              </w:rPr>
            </w:pPr>
            <w:r w:rsidRPr="00497B71">
              <w:rPr>
                <w:rFonts w:asciiTheme="minorHAnsi" w:hAnsiTheme="minorHAnsi" w:cstheme="minorHAnsi"/>
                <w:b/>
                <w:szCs w:val="22"/>
              </w:rPr>
              <w:tab/>
            </w:r>
          </w:p>
        </w:tc>
      </w:tr>
      <w:tr w:rsidR="004A5EA9" w:rsidRPr="00497B71" w14:paraId="0230BAA4"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081B159" w14:textId="77777777" w:rsidR="004A5EA9" w:rsidRPr="00497B71" w:rsidRDefault="004A5EA9" w:rsidP="00A95D89">
            <w:pPr>
              <w:rPr>
                <w:rFonts w:asciiTheme="minorHAnsi" w:hAnsiTheme="minorHAnsi" w:cstheme="minorHAnsi"/>
                <w:b/>
                <w:szCs w:val="22"/>
              </w:rPr>
            </w:pPr>
            <w:r w:rsidRPr="00497B71">
              <w:rPr>
                <w:rFonts w:asciiTheme="minorHAnsi" w:hAnsiTheme="minorHAnsi" w:cstheme="minorHAnsi"/>
                <w:b/>
                <w:szCs w:val="22"/>
              </w:rPr>
              <w:t xml:space="preserve">Development </w:t>
            </w:r>
            <w:r w:rsidR="00A95D89" w:rsidRPr="00497B71">
              <w:rPr>
                <w:rFonts w:asciiTheme="minorHAnsi" w:hAnsiTheme="minorHAnsi" w:cstheme="minorHAnsi"/>
                <w:b/>
                <w:szCs w:val="22"/>
              </w:rPr>
              <w:t>Description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D40EF" w14:textId="6057D5B9" w:rsidR="004A5EA9" w:rsidRPr="00497B71" w:rsidRDefault="00207DB5">
            <w:pPr>
              <w:rPr>
                <w:rFonts w:asciiTheme="minorHAnsi" w:hAnsiTheme="minorHAnsi" w:cstheme="minorHAnsi"/>
                <w:b/>
                <w:szCs w:val="22"/>
              </w:rPr>
            </w:pPr>
            <w:r w:rsidRPr="00207DB5">
              <w:rPr>
                <w:rFonts w:asciiTheme="minorHAnsi" w:hAnsiTheme="minorHAnsi" w:cstheme="minorHAnsi"/>
                <w:b/>
                <w:szCs w:val="22"/>
              </w:rPr>
              <w:t>Proposed extension, replacement porch, alterations to dwelling, replacement of outbuildings with annex</w:t>
            </w:r>
            <w:r w:rsidR="001C2E97">
              <w:rPr>
                <w:rFonts w:asciiTheme="minorHAnsi" w:hAnsiTheme="minorHAnsi" w:cstheme="minorHAnsi"/>
                <w:b/>
                <w:szCs w:val="22"/>
              </w:rPr>
              <w:t>e</w:t>
            </w:r>
            <w:r w:rsidRPr="00207DB5">
              <w:rPr>
                <w:rFonts w:asciiTheme="minorHAnsi" w:hAnsiTheme="minorHAnsi" w:cstheme="minorHAnsi"/>
                <w:b/>
                <w:szCs w:val="22"/>
              </w:rPr>
              <w:t xml:space="preserve"> and garage/store.</w:t>
            </w:r>
          </w:p>
        </w:tc>
      </w:tr>
      <w:tr w:rsidR="002A01CF" w:rsidRPr="00497B71" w14:paraId="57B8642A"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74CBD5" w14:textId="77777777" w:rsidR="002A01CF" w:rsidRPr="00497B71" w:rsidRDefault="002A01CF">
            <w:pPr>
              <w:rPr>
                <w:rFonts w:asciiTheme="minorHAnsi" w:hAnsiTheme="minorHAnsi" w:cstheme="minorHAnsi"/>
                <w:b/>
                <w:szCs w:val="22"/>
              </w:rPr>
            </w:pPr>
            <w:r w:rsidRPr="00497B71">
              <w:rPr>
                <w:rFonts w:asciiTheme="minorHAnsi" w:hAnsiTheme="minorHAnsi" w:cstheme="minorHAnsi"/>
                <w:b/>
                <w:szCs w:val="22"/>
              </w:rPr>
              <w:t>Site Address</w:t>
            </w:r>
            <w:r w:rsidR="00A95D89" w:rsidRPr="00497B71">
              <w:rPr>
                <w:rFonts w:asciiTheme="minorHAnsi" w:hAnsiTheme="minorHAnsi" w:cstheme="minorHAnsi"/>
                <w:b/>
                <w:szCs w:val="22"/>
              </w:rPr>
              <w:t>/Location</w:t>
            </w:r>
            <w:r w:rsidRPr="00497B71">
              <w:rPr>
                <w:rFonts w:asciiTheme="minorHAnsi" w:hAnsiTheme="minorHAnsi" w:cstheme="minorHAnsi"/>
                <w:b/>
                <w:szCs w:val="22"/>
              </w:rPr>
              <w:t>:</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BC6695" w14:textId="08172A78" w:rsidR="002A01CF" w:rsidRPr="00497B71" w:rsidRDefault="00207DB5" w:rsidP="00594478">
            <w:pPr>
              <w:rPr>
                <w:rFonts w:asciiTheme="minorHAnsi" w:hAnsiTheme="minorHAnsi" w:cstheme="minorHAnsi"/>
                <w:b/>
                <w:szCs w:val="22"/>
              </w:rPr>
            </w:pPr>
            <w:proofErr w:type="spellStart"/>
            <w:r w:rsidRPr="00207DB5">
              <w:rPr>
                <w:rFonts w:asciiTheme="minorHAnsi" w:hAnsiTheme="minorHAnsi" w:cstheme="minorHAnsi"/>
                <w:b/>
                <w:szCs w:val="22"/>
              </w:rPr>
              <w:t>Seedalls</w:t>
            </w:r>
            <w:proofErr w:type="spellEnd"/>
            <w:r w:rsidRPr="00207DB5">
              <w:rPr>
                <w:rFonts w:asciiTheme="minorHAnsi" w:hAnsiTheme="minorHAnsi" w:cstheme="minorHAnsi"/>
                <w:b/>
                <w:szCs w:val="22"/>
              </w:rPr>
              <w:t xml:space="preserve"> Farmhouse Eaves Hall Lane West Bradford Clitheroe BB7 3JG</w:t>
            </w:r>
          </w:p>
        </w:tc>
      </w:tr>
      <w:tr w:rsidR="00A95D89" w:rsidRPr="00497B71" w14:paraId="6A5C14DE"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E7956B" w14:textId="77777777" w:rsidR="00A95D89" w:rsidRPr="00497B71" w:rsidRDefault="007E0D23" w:rsidP="007E0D23">
            <w:pPr>
              <w:tabs>
                <w:tab w:val="left" w:pos="2667"/>
              </w:tabs>
              <w:rPr>
                <w:rFonts w:asciiTheme="minorHAnsi" w:hAnsiTheme="minorHAnsi" w:cstheme="minorHAnsi"/>
                <w:b/>
                <w:szCs w:val="22"/>
              </w:rPr>
            </w:pPr>
            <w:r w:rsidRPr="00497B71">
              <w:rPr>
                <w:rFonts w:asciiTheme="minorHAnsi" w:hAnsiTheme="minorHAnsi" w:cstheme="minorHAnsi"/>
                <w:b/>
                <w:szCs w:val="22"/>
              </w:rPr>
              <w:tab/>
            </w:r>
          </w:p>
        </w:tc>
      </w:tr>
      <w:tr w:rsidR="00C618DB" w:rsidRPr="00497B71" w14:paraId="57253C96"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99712C" w14:textId="77777777" w:rsidR="00C618DB" w:rsidRPr="00497B71" w:rsidRDefault="00C618DB" w:rsidP="00207DB5">
            <w:pPr>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978DBC" w14:textId="77777777" w:rsidR="00C618DB" w:rsidRPr="00497B71" w:rsidRDefault="00C618DB">
            <w:pPr>
              <w:rPr>
                <w:rFonts w:asciiTheme="minorHAnsi" w:hAnsiTheme="minorHAnsi" w:cstheme="minorHAnsi"/>
                <w:b/>
                <w:szCs w:val="22"/>
              </w:rPr>
            </w:pPr>
            <w:r w:rsidRPr="00497B71">
              <w:rPr>
                <w:rFonts w:asciiTheme="minorHAnsi" w:hAnsiTheme="minorHAnsi" w:cstheme="minorHAnsi"/>
                <w:b/>
                <w:szCs w:val="22"/>
              </w:rPr>
              <w:t>Parish/Town Council</w:t>
            </w:r>
          </w:p>
        </w:tc>
      </w:tr>
      <w:tr w:rsidR="002A01CF" w:rsidRPr="00497B71" w14:paraId="6672E612"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EF6537" w14:textId="36D1E43A" w:rsidR="00207DB5" w:rsidRDefault="00207DB5" w:rsidP="00207DB5">
            <w:pPr>
              <w:overflowPunct/>
              <w:autoSpaceDE/>
              <w:autoSpaceDN/>
              <w:adjustRightInd/>
              <w:jc w:val="both"/>
              <w:textAlignment w:val="auto"/>
              <w:rPr>
                <w:rFonts w:asciiTheme="minorHAnsi" w:hAnsiTheme="minorHAnsi" w:cstheme="minorHAnsi"/>
                <w:color w:val="000000"/>
                <w:szCs w:val="22"/>
              </w:rPr>
            </w:pPr>
            <w:r w:rsidRPr="00207DB5">
              <w:rPr>
                <w:rFonts w:asciiTheme="minorHAnsi" w:hAnsiTheme="minorHAnsi" w:cstheme="minorHAnsi"/>
                <w:color w:val="000000"/>
                <w:szCs w:val="22"/>
              </w:rPr>
              <w:t>The Parish Council is very aware that the proposed location for the development is situated within</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the Forest of Bowland AONB, and as such is keen to ensure that any application which may</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ultimately lead to increased residential occupation is subject to appropriate scrutiny.</w:t>
            </w:r>
          </w:p>
          <w:p w14:paraId="081D2A10" w14:textId="77777777" w:rsidR="00207DB5" w:rsidRPr="00207DB5" w:rsidRDefault="00207DB5" w:rsidP="00207DB5">
            <w:pPr>
              <w:overflowPunct/>
              <w:autoSpaceDE/>
              <w:autoSpaceDN/>
              <w:adjustRightInd/>
              <w:jc w:val="both"/>
              <w:textAlignment w:val="auto"/>
              <w:rPr>
                <w:rFonts w:asciiTheme="minorHAnsi" w:hAnsiTheme="minorHAnsi" w:cstheme="minorHAnsi"/>
                <w:color w:val="000000"/>
                <w:szCs w:val="22"/>
              </w:rPr>
            </w:pPr>
          </w:p>
          <w:p w14:paraId="5EDDFD63" w14:textId="79A8E382" w:rsidR="00207DB5" w:rsidRDefault="00207DB5" w:rsidP="00207DB5">
            <w:pPr>
              <w:overflowPunct/>
              <w:autoSpaceDE/>
              <w:autoSpaceDN/>
              <w:adjustRightInd/>
              <w:jc w:val="both"/>
              <w:textAlignment w:val="auto"/>
              <w:rPr>
                <w:rFonts w:asciiTheme="minorHAnsi" w:hAnsiTheme="minorHAnsi" w:cstheme="minorHAnsi"/>
                <w:color w:val="000000"/>
                <w:szCs w:val="22"/>
              </w:rPr>
            </w:pPr>
            <w:r w:rsidRPr="00207DB5">
              <w:rPr>
                <w:rFonts w:asciiTheme="minorHAnsi" w:hAnsiTheme="minorHAnsi" w:cstheme="minorHAnsi"/>
                <w:color w:val="000000"/>
                <w:szCs w:val="22"/>
              </w:rPr>
              <w:t>There are certain aspects of the planning application which members of the Parish Council genuinely</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feel would enhance the appearance of the property / local area. In particular, the Parish Council</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welcomes the removal of the existing porch</w:t>
            </w:r>
            <w:r>
              <w:rPr>
                <w:rFonts w:asciiTheme="minorHAnsi" w:hAnsiTheme="minorHAnsi" w:cstheme="minorHAnsi"/>
                <w:color w:val="000000"/>
                <w:szCs w:val="22"/>
              </w:rPr>
              <w:t>/</w:t>
            </w:r>
            <w:r w:rsidRPr="00207DB5">
              <w:rPr>
                <w:rFonts w:asciiTheme="minorHAnsi" w:hAnsiTheme="minorHAnsi" w:cstheme="minorHAnsi"/>
                <w:color w:val="000000"/>
                <w:szCs w:val="22"/>
              </w:rPr>
              <w:t>conservatory and its replacement with a new open</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porch. Members have also noted with approval the recent removal of paint from the exterior of the</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 xml:space="preserve">farmhouse so as to expose the natural </w:t>
            </w:r>
            <w:proofErr w:type="gramStart"/>
            <w:r w:rsidRPr="00207DB5">
              <w:rPr>
                <w:rFonts w:asciiTheme="minorHAnsi" w:hAnsiTheme="minorHAnsi" w:cstheme="minorHAnsi"/>
                <w:color w:val="000000"/>
                <w:szCs w:val="22"/>
              </w:rPr>
              <w:t>stone, and</w:t>
            </w:r>
            <w:proofErr w:type="gramEnd"/>
            <w:r w:rsidRPr="00207DB5">
              <w:rPr>
                <w:rFonts w:asciiTheme="minorHAnsi" w:hAnsiTheme="minorHAnsi" w:cstheme="minorHAnsi"/>
                <w:color w:val="000000"/>
                <w:szCs w:val="22"/>
              </w:rPr>
              <w:t xml:space="preserve"> support the use of natural materials in the annexe</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and garage</w:t>
            </w:r>
            <w:r>
              <w:rPr>
                <w:rFonts w:asciiTheme="minorHAnsi" w:hAnsiTheme="minorHAnsi" w:cstheme="minorHAnsi"/>
                <w:color w:val="000000"/>
                <w:szCs w:val="22"/>
              </w:rPr>
              <w:t>.</w:t>
            </w:r>
          </w:p>
          <w:p w14:paraId="084577AD" w14:textId="77777777" w:rsidR="00207DB5" w:rsidRPr="00207DB5" w:rsidRDefault="00207DB5" w:rsidP="00207DB5">
            <w:pPr>
              <w:overflowPunct/>
              <w:autoSpaceDE/>
              <w:autoSpaceDN/>
              <w:adjustRightInd/>
              <w:jc w:val="both"/>
              <w:textAlignment w:val="auto"/>
              <w:rPr>
                <w:rFonts w:asciiTheme="minorHAnsi" w:hAnsiTheme="minorHAnsi" w:cstheme="minorHAnsi"/>
                <w:color w:val="000000"/>
                <w:szCs w:val="22"/>
              </w:rPr>
            </w:pPr>
          </w:p>
          <w:p w14:paraId="5405092E" w14:textId="31C0982A" w:rsidR="00207DB5" w:rsidRPr="00BA7FE5" w:rsidRDefault="00207DB5" w:rsidP="00207DB5">
            <w:pPr>
              <w:overflowPunct/>
              <w:autoSpaceDE/>
              <w:autoSpaceDN/>
              <w:adjustRightInd/>
              <w:jc w:val="both"/>
              <w:textAlignment w:val="auto"/>
              <w:rPr>
                <w:rFonts w:asciiTheme="minorHAnsi" w:hAnsiTheme="minorHAnsi" w:cstheme="minorHAnsi"/>
                <w:color w:val="000000"/>
                <w:szCs w:val="22"/>
              </w:rPr>
            </w:pPr>
            <w:r w:rsidRPr="00207DB5">
              <w:rPr>
                <w:rFonts w:asciiTheme="minorHAnsi" w:hAnsiTheme="minorHAnsi" w:cstheme="minorHAnsi"/>
                <w:color w:val="000000"/>
                <w:szCs w:val="22"/>
              </w:rPr>
              <w:t>Whilst the application does not appear to make any reference to the possible use of the annexe as a</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holiday let, it is clearly feasible that the location of the site within the AONB would lend itself to this</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use moving forward. The Parish Council therefore wonders if a suitable addition to any planning</w:t>
            </w:r>
            <w:r>
              <w:rPr>
                <w:rFonts w:asciiTheme="minorHAnsi" w:hAnsiTheme="minorHAnsi" w:cstheme="minorHAnsi"/>
                <w:color w:val="000000"/>
                <w:szCs w:val="22"/>
              </w:rPr>
              <w:t xml:space="preserve"> </w:t>
            </w:r>
            <w:r w:rsidRPr="00207DB5">
              <w:rPr>
                <w:rFonts w:asciiTheme="minorHAnsi" w:hAnsiTheme="minorHAnsi" w:cstheme="minorHAnsi"/>
                <w:color w:val="000000"/>
                <w:szCs w:val="22"/>
              </w:rPr>
              <w:t>consent would be a condition which restricts the use of the annexe to immediate family members</w:t>
            </w:r>
            <w:r>
              <w:rPr>
                <w:rFonts w:asciiTheme="minorHAnsi" w:hAnsiTheme="minorHAnsi" w:cstheme="minorHAnsi"/>
                <w:color w:val="000000"/>
                <w:szCs w:val="22"/>
              </w:rPr>
              <w:t>.</w:t>
            </w:r>
          </w:p>
          <w:p w14:paraId="4A9237C9" w14:textId="6C0CD720" w:rsidR="004D1691" w:rsidRPr="00BA7FE5" w:rsidRDefault="004D1691" w:rsidP="00207DB5">
            <w:pPr>
              <w:overflowPunct/>
              <w:autoSpaceDE/>
              <w:autoSpaceDN/>
              <w:adjustRightInd/>
              <w:jc w:val="both"/>
              <w:textAlignment w:val="auto"/>
              <w:rPr>
                <w:rFonts w:asciiTheme="minorHAnsi" w:hAnsiTheme="minorHAnsi" w:cstheme="minorHAnsi"/>
                <w:color w:val="000000"/>
                <w:szCs w:val="22"/>
              </w:rPr>
            </w:pPr>
          </w:p>
        </w:tc>
      </w:tr>
      <w:tr w:rsidR="00C618DB" w:rsidRPr="00497B71" w14:paraId="1EA754BB"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0F12863" w14:textId="77777777" w:rsidR="00C618DB" w:rsidRPr="00497B71" w:rsidRDefault="00C618DB" w:rsidP="005D7447">
            <w:pPr>
              <w:jc w:val="both"/>
              <w:rPr>
                <w:rFonts w:asciiTheme="minorHAnsi" w:hAnsiTheme="minorHAnsi" w:cstheme="minorHAnsi"/>
                <w:bCs/>
                <w:szCs w:val="22"/>
              </w:rPr>
            </w:pPr>
          </w:p>
        </w:tc>
      </w:tr>
      <w:tr w:rsidR="00C618DB" w:rsidRPr="00497B71" w14:paraId="32E530E4"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A3997"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301D69"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Highways/Water Authority/Other Bodies</w:t>
            </w:r>
          </w:p>
        </w:tc>
      </w:tr>
      <w:tr w:rsidR="002A01CF" w:rsidRPr="00497B71" w14:paraId="42CE96FC"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917C50" w14:textId="77777777" w:rsidR="002A01CF" w:rsidRPr="00497B71" w:rsidRDefault="002A01CF" w:rsidP="005D7447">
            <w:pPr>
              <w:jc w:val="both"/>
              <w:rPr>
                <w:rFonts w:asciiTheme="minorHAnsi" w:hAnsiTheme="minorHAnsi" w:cstheme="minorHAnsi"/>
                <w:b/>
                <w:szCs w:val="22"/>
              </w:rPr>
            </w:pPr>
            <w:r w:rsidRPr="00497B71">
              <w:rPr>
                <w:rFonts w:asciiTheme="minorHAnsi" w:hAnsiTheme="minorHAnsi" w:cstheme="minorHAnsi"/>
                <w:b/>
                <w:szCs w:val="22"/>
              </w:rPr>
              <w:t>LCC Highways:</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5AC899" w14:textId="77777777" w:rsidR="002A01CF" w:rsidRPr="00497B71" w:rsidRDefault="002A01CF" w:rsidP="005D7447">
            <w:pPr>
              <w:jc w:val="both"/>
              <w:rPr>
                <w:rFonts w:asciiTheme="minorHAnsi" w:hAnsiTheme="minorHAnsi" w:cstheme="minorHAnsi"/>
                <w:b/>
                <w:szCs w:val="22"/>
              </w:rPr>
            </w:pPr>
          </w:p>
        </w:tc>
      </w:tr>
      <w:tr w:rsidR="002A01CF" w:rsidRPr="00497B71" w14:paraId="60FE0ACF"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830FB3" w14:textId="2F3E74C4" w:rsidR="002A01CF" w:rsidRPr="00497B71" w:rsidRDefault="00410EEC" w:rsidP="005D7447">
            <w:pPr>
              <w:jc w:val="both"/>
              <w:rPr>
                <w:rFonts w:asciiTheme="minorHAnsi" w:hAnsiTheme="minorHAnsi" w:cstheme="minorHAnsi"/>
                <w:szCs w:val="22"/>
              </w:rPr>
            </w:pPr>
            <w:r>
              <w:rPr>
                <w:rFonts w:asciiTheme="minorHAnsi" w:hAnsiTheme="minorHAnsi" w:cstheme="minorHAnsi"/>
                <w:szCs w:val="22"/>
              </w:rPr>
              <w:t>No objection subject to conditions.</w:t>
            </w:r>
            <w:r w:rsidR="00A00C58">
              <w:rPr>
                <w:rFonts w:asciiTheme="minorHAnsi" w:hAnsiTheme="minorHAnsi" w:cstheme="minorHAnsi"/>
                <w:szCs w:val="22"/>
              </w:rPr>
              <w:t xml:space="preserve"> </w:t>
            </w:r>
          </w:p>
        </w:tc>
      </w:tr>
      <w:tr w:rsidR="00C618DB" w:rsidRPr="00497B71" w14:paraId="513F41F5" w14:textId="77777777" w:rsidTr="002C0855">
        <w:trPr>
          <w:gridAfter w:val="1"/>
          <w:wAfter w:w="79" w:type="dxa"/>
          <w:jc w:val="center"/>
        </w:trPr>
        <w:tc>
          <w:tcPr>
            <w:tcW w:w="304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F19DAA" w14:textId="77777777" w:rsidR="00C618DB" w:rsidRPr="00497B71" w:rsidRDefault="00C618DB" w:rsidP="005D7447">
            <w:pPr>
              <w:jc w:val="both"/>
              <w:rPr>
                <w:rFonts w:asciiTheme="minorHAnsi" w:hAnsiTheme="minorHAnsi" w:cstheme="minorHAnsi"/>
                <w:b/>
                <w:szCs w:val="22"/>
              </w:rPr>
            </w:pPr>
            <w:r w:rsidRPr="00497B71">
              <w:rPr>
                <w:rFonts w:asciiTheme="minorHAnsi" w:hAnsiTheme="minorHAnsi" w:cstheme="minorHAnsi"/>
                <w:b/>
                <w:szCs w:val="22"/>
              </w:rPr>
              <w:t xml:space="preserve">CONSULTATIONS: </w:t>
            </w:r>
          </w:p>
        </w:tc>
        <w:tc>
          <w:tcPr>
            <w:tcW w:w="62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3A3CE7" w14:textId="77777777" w:rsidR="00C618DB" w:rsidRPr="00497B71" w:rsidRDefault="00C618DB" w:rsidP="00C618DB">
            <w:pPr>
              <w:rPr>
                <w:rFonts w:asciiTheme="minorHAnsi" w:hAnsiTheme="minorHAnsi" w:cstheme="minorHAnsi"/>
                <w:b/>
                <w:szCs w:val="22"/>
              </w:rPr>
            </w:pPr>
            <w:r w:rsidRPr="00497B71">
              <w:rPr>
                <w:rFonts w:asciiTheme="minorHAnsi" w:hAnsiTheme="minorHAnsi" w:cstheme="minorHAnsi"/>
                <w:b/>
                <w:szCs w:val="22"/>
              </w:rPr>
              <w:t>Additional Representations.</w:t>
            </w:r>
          </w:p>
        </w:tc>
      </w:tr>
      <w:tr w:rsidR="00EC23C7" w:rsidRPr="00497B71" w14:paraId="56AB0CD1"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D23E42" w14:textId="77777777" w:rsidR="00D95214" w:rsidRPr="00497B71" w:rsidRDefault="00BA7FE5" w:rsidP="00A83EB4">
            <w:pPr>
              <w:jc w:val="both"/>
              <w:rPr>
                <w:rFonts w:asciiTheme="minorHAnsi" w:hAnsiTheme="minorHAnsi" w:cstheme="minorHAnsi"/>
                <w:szCs w:val="22"/>
              </w:rPr>
            </w:pPr>
            <w:r>
              <w:rPr>
                <w:rFonts w:asciiTheme="minorHAnsi" w:hAnsiTheme="minorHAnsi" w:cstheme="minorHAnsi"/>
                <w:szCs w:val="22"/>
              </w:rPr>
              <w:t>None received.</w:t>
            </w:r>
          </w:p>
        </w:tc>
      </w:tr>
      <w:tr w:rsidR="00C618DB" w:rsidRPr="00497B71" w14:paraId="5369943A" w14:textId="77777777" w:rsidTr="00C70DC7">
        <w:trPr>
          <w:gridAfter w:val="1"/>
          <w:wAfter w:w="79" w:type="dxa"/>
          <w:trHeight w:hRule="exact" w:val="170"/>
          <w:jc w:val="center"/>
        </w:trPr>
        <w:tc>
          <w:tcPr>
            <w:tcW w:w="9271"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B179986" w14:textId="77777777" w:rsidR="00C618DB" w:rsidRPr="00497B71" w:rsidRDefault="00C618DB">
            <w:pPr>
              <w:rPr>
                <w:rFonts w:asciiTheme="minorHAnsi" w:hAnsiTheme="minorHAnsi" w:cstheme="minorHAnsi"/>
                <w:szCs w:val="22"/>
              </w:rPr>
            </w:pPr>
          </w:p>
        </w:tc>
      </w:tr>
      <w:tr w:rsidR="00EC23C7" w:rsidRPr="00497B71" w14:paraId="025CFEAA"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685A4D" w14:textId="77777777" w:rsidR="00EC23C7" w:rsidRPr="00497B71" w:rsidRDefault="00EC23C7">
            <w:pPr>
              <w:rPr>
                <w:rFonts w:asciiTheme="minorHAnsi" w:hAnsiTheme="minorHAnsi" w:cstheme="minorHAnsi"/>
                <w:b/>
                <w:szCs w:val="22"/>
              </w:rPr>
            </w:pPr>
            <w:r w:rsidRPr="00497B71">
              <w:rPr>
                <w:rFonts w:asciiTheme="minorHAnsi" w:hAnsiTheme="minorHAnsi" w:cstheme="minorHAnsi"/>
                <w:b/>
                <w:szCs w:val="22"/>
              </w:rPr>
              <w:t>RELEVANT POLICIES:</w:t>
            </w:r>
          </w:p>
        </w:tc>
      </w:tr>
      <w:tr w:rsidR="00C618DB" w:rsidRPr="00497B71" w14:paraId="3F46E8FB"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A26632" w14:textId="77777777" w:rsidR="00C618DB" w:rsidRPr="00497B71" w:rsidRDefault="00C618DB" w:rsidP="00A63D55">
            <w:pPr>
              <w:pStyle w:val="PLANNING"/>
              <w:rPr>
                <w:rFonts w:asciiTheme="minorHAnsi" w:hAnsiTheme="minorHAnsi" w:cstheme="minorHAnsi"/>
                <w:b/>
                <w:bCs/>
                <w:szCs w:val="22"/>
              </w:rPr>
            </w:pPr>
            <w:proofErr w:type="spellStart"/>
            <w:r w:rsidRPr="00497B71">
              <w:rPr>
                <w:rFonts w:asciiTheme="minorHAnsi" w:hAnsiTheme="minorHAnsi" w:cstheme="minorHAnsi"/>
                <w:b/>
                <w:bCs/>
                <w:szCs w:val="22"/>
              </w:rPr>
              <w:t>Ribble</w:t>
            </w:r>
            <w:proofErr w:type="spellEnd"/>
            <w:r w:rsidRPr="00497B71">
              <w:rPr>
                <w:rFonts w:asciiTheme="minorHAnsi" w:hAnsiTheme="minorHAnsi" w:cstheme="minorHAnsi"/>
                <w:b/>
                <w:bCs/>
                <w:szCs w:val="22"/>
              </w:rPr>
              <w:t xml:space="preserve"> Valley Core Strategy:</w:t>
            </w:r>
          </w:p>
          <w:p w14:paraId="25376CFA" w14:textId="77777777" w:rsidR="00414D55" w:rsidRDefault="00414D55" w:rsidP="00414D55">
            <w:pPr>
              <w:pStyle w:val="PLANNING"/>
              <w:rPr>
                <w:rFonts w:asciiTheme="minorHAnsi" w:hAnsiTheme="minorHAnsi" w:cstheme="minorHAnsi"/>
                <w:bCs/>
                <w:szCs w:val="22"/>
              </w:rPr>
            </w:pPr>
            <w:r>
              <w:rPr>
                <w:rFonts w:asciiTheme="minorHAnsi" w:hAnsiTheme="minorHAnsi" w:cstheme="minorHAnsi"/>
                <w:szCs w:val="22"/>
              </w:rPr>
              <w:t xml:space="preserve">Key Statement </w:t>
            </w:r>
            <w:r>
              <w:rPr>
                <w:rFonts w:asciiTheme="minorHAnsi" w:hAnsiTheme="minorHAnsi" w:cstheme="minorHAnsi"/>
                <w:bCs/>
                <w:szCs w:val="22"/>
              </w:rPr>
              <w:t>DS1 – Development Strategy</w:t>
            </w:r>
          </w:p>
          <w:p w14:paraId="5A5C7102" w14:textId="591981B1" w:rsidR="00414D55" w:rsidRDefault="00414D55" w:rsidP="00414D55">
            <w:pPr>
              <w:pStyle w:val="PLANNING"/>
              <w:rPr>
                <w:rFonts w:asciiTheme="minorHAnsi" w:hAnsiTheme="minorHAnsi" w:cstheme="minorHAnsi"/>
                <w:bCs/>
                <w:szCs w:val="22"/>
              </w:rPr>
            </w:pPr>
            <w:r>
              <w:rPr>
                <w:rFonts w:asciiTheme="minorHAnsi" w:hAnsiTheme="minorHAnsi" w:cstheme="minorHAnsi"/>
                <w:szCs w:val="22"/>
              </w:rPr>
              <w:t>Key Statement</w:t>
            </w:r>
            <w:r>
              <w:rPr>
                <w:rFonts w:asciiTheme="minorHAnsi" w:hAnsiTheme="minorHAnsi" w:cstheme="minorHAnsi"/>
                <w:bCs/>
                <w:szCs w:val="22"/>
              </w:rPr>
              <w:t xml:space="preserve"> DS2 – Sustainable Development</w:t>
            </w:r>
          </w:p>
          <w:p w14:paraId="42913918" w14:textId="2DFF1B4E" w:rsidR="00663DD8" w:rsidRPr="00414D55" w:rsidRDefault="00663DD8" w:rsidP="00414D55">
            <w:pPr>
              <w:pStyle w:val="PLANNING"/>
              <w:rPr>
                <w:rFonts w:asciiTheme="minorHAnsi" w:hAnsiTheme="minorHAnsi" w:cstheme="minorHAnsi"/>
                <w:bCs/>
                <w:szCs w:val="22"/>
              </w:rPr>
            </w:pPr>
            <w:r>
              <w:rPr>
                <w:rFonts w:asciiTheme="minorHAnsi" w:hAnsiTheme="minorHAnsi" w:cstheme="minorHAnsi"/>
                <w:bCs/>
                <w:szCs w:val="22"/>
              </w:rPr>
              <w:t>Key Statement EN2 - Landscape</w:t>
            </w:r>
          </w:p>
          <w:p w14:paraId="67F020E9"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DMG1 – General Considerations</w:t>
            </w:r>
          </w:p>
          <w:p w14:paraId="022B6816"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DMG2 – Strategic Considerations</w:t>
            </w:r>
          </w:p>
          <w:p w14:paraId="24CDD8FD" w14:textId="57DD1345" w:rsidR="00414D55" w:rsidRDefault="00414D55" w:rsidP="00414D55">
            <w:pPr>
              <w:rPr>
                <w:rFonts w:asciiTheme="minorHAnsi" w:hAnsiTheme="minorHAnsi" w:cstheme="minorHAnsi"/>
                <w:szCs w:val="22"/>
              </w:rPr>
            </w:pPr>
            <w:r>
              <w:rPr>
                <w:rFonts w:asciiTheme="minorHAnsi" w:hAnsiTheme="minorHAnsi" w:cstheme="minorHAnsi"/>
                <w:szCs w:val="22"/>
              </w:rPr>
              <w:t>Policy DME2 – Landscape and Townscape Protection</w:t>
            </w:r>
          </w:p>
          <w:p w14:paraId="573917FB" w14:textId="0630027A" w:rsidR="00722920" w:rsidRDefault="00722920" w:rsidP="00414D55">
            <w:pPr>
              <w:rPr>
                <w:rFonts w:asciiTheme="minorHAnsi" w:hAnsiTheme="minorHAnsi" w:cstheme="minorHAnsi"/>
                <w:szCs w:val="22"/>
              </w:rPr>
            </w:pPr>
            <w:r>
              <w:rPr>
                <w:rFonts w:asciiTheme="minorHAnsi" w:hAnsiTheme="minorHAnsi" w:cstheme="minorHAnsi"/>
                <w:szCs w:val="22"/>
              </w:rPr>
              <w:t>Policy DME3 – Site and Species Protection and Conservation</w:t>
            </w:r>
          </w:p>
          <w:p w14:paraId="0A4A15F2" w14:textId="77777777" w:rsidR="00414D55" w:rsidRDefault="00414D55" w:rsidP="00414D55">
            <w:pPr>
              <w:rPr>
                <w:rFonts w:asciiTheme="minorHAnsi" w:hAnsiTheme="minorHAnsi" w:cstheme="minorHAnsi"/>
                <w:szCs w:val="22"/>
              </w:rPr>
            </w:pPr>
            <w:r>
              <w:rPr>
                <w:rFonts w:asciiTheme="minorHAnsi" w:hAnsiTheme="minorHAnsi" w:cstheme="minorHAnsi"/>
                <w:szCs w:val="22"/>
              </w:rPr>
              <w:t>Policy DMH5 – Residential and Curtilage Extensions</w:t>
            </w:r>
          </w:p>
          <w:p w14:paraId="3088CE05" w14:textId="77777777" w:rsidR="00414D55" w:rsidRPr="00497B71" w:rsidRDefault="00414D55" w:rsidP="00F22639">
            <w:pPr>
              <w:rPr>
                <w:rFonts w:asciiTheme="minorHAnsi" w:hAnsiTheme="minorHAnsi" w:cstheme="minorHAnsi"/>
                <w:szCs w:val="22"/>
              </w:rPr>
            </w:pPr>
          </w:p>
          <w:p w14:paraId="0B54622C" w14:textId="77777777" w:rsidR="00D11007" w:rsidRPr="00497B71" w:rsidRDefault="00F22639" w:rsidP="00F22639">
            <w:pPr>
              <w:rPr>
                <w:rFonts w:asciiTheme="minorHAnsi" w:hAnsiTheme="minorHAnsi" w:cstheme="minorHAnsi"/>
                <w:b/>
                <w:szCs w:val="22"/>
              </w:rPr>
            </w:pPr>
            <w:r w:rsidRPr="00497B71">
              <w:rPr>
                <w:rFonts w:asciiTheme="minorHAnsi" w:hAnsiTheme="minorHAnsi" w:cstheme="minorHAnsi"/>
                <w:b/>
                <w:szCs w:val="22"/>
              </w:rPr>
              <w:t>National Planning Policy Framework</w:t>
            </w:r>
          </w:p>
        </w:tc>
      </w:tr>
      <w:tr w:rsidR="00EC23C7" w:rsidRPr="00497B71" w14:paraId="1BDE4563"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64CB77" w14:textId="77777777" w:rsidR="00EC23C7" w:rsidRPr="00497B71" w:rsidRDefault="006C2BFA" w:rsidP="006C2BFA">
            <w:pPr>
              <w:rPr>
                <w:rFonts w:asciiTheme="minorHAnsi" w:hAnsiTheme="minorHAnsi" w:cstheme="minorHAnsi"/>
                <w:b/>
                <w:szCs w:val="22"/>
              </w:rPr>
            </w:pPr>
            <w:r w:rsidRPr="00497B71">
              <w:rPr>
                <w:rFonts w:asciiTheme="minorHAnsi" w:hAnsiTheme="minorHAnsi" w:cstheme="minorHAnsi"/>
                <w:b/>
                <w:bCs/>
                <w:szCs w:val="22"/>
              </w:rPr>
              <w:lastRenderedPageBreak/>
              <w:t>ASSESSMENT OF PROPOSED DEVELOPMENT:</w:t>
            </w:r>
          </w:p>
        </w:tc>
      </w:tr>
      <w:tr w:rsidR="00410EEC" w:rsidRPr="00497B71" w14:paraId="7556DA20"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5E8ECCA" w14:textId="77777777" w:rsidR="00410EEC" w:rsidRDefault="00410EEC" w:rsidP="00410EEC">
            <w:pPr>
              <w:pStyle w:val="Header"/>
              <w:tabs>
                <w:tab w:val="left" w:pos="720"/>
              </w:tabs>
              <w:jc w:val="both"/>
              <w:rPr>
                <w:rFonts w:asciiTheme="minorHAnsi" w:hAnsiTheme="minorHAnsi" w:cstheme="minorHAnsi"/>
                <w:b/>
                <w:szCs w:val="22"/>
              </w:rPr>
            </w:pPr>
            <w:r>
              <w:rPr>
                <w:rFonts w:asciiTheme="minorHAnsi" w:hAnsiTheme="minorHAnsi" w:cstheme="minorHAnsi"/>
                <w:b/>
                <w:szCs w:val="22"/>
              </w:rPr>
              <w:t>Site Description and Surrounding Area:</w:t>
            </w:r>
          </w:p>
          <w:p w14:paraId="38DD383E" w14:textId="77777777" w:rsidR="00410EEC" w:rsidRDefault="00410EEC" w:rsidP="00B24CC4">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The application site lies in the Forest of Bowland AONB</w:t>
            </w:r>
            <w:r w:rsidR="001E5B42">
              <w:rPr>
                <w:rFonts w:asciiTheme="minorHAnsi" w:hAnsiTheme="minorHAnsi" w:cstheme="minorHAnsi"/>
                <w:bCs/>
                <w:szCs w:val="22"/>
              </w:rPr>
              <w:t xml:space="preserve"> and beyond the end of Eaves Hall Lane approximately 2.3km from the village of West Bradford. The main building at the site is the farmhouse with adjoining barn which has been long-since converted for residential use. The planning history of the building confirms that the eastern section of the building is the original farmhouse.</w:t>
            </w:r>
          </w:p>
          <w:p w14:paraId="7BA94BE7" w14:textId="77777777" w:rsidR="001E5B42" w:rsidRDefault="001E5B42" w:rsidP="00B24CC4">
            <w:pPr>
              <w:pStyle w:val="Header"/>
              <w:tabs>
                <w:tab w:val="clear" w:pos="4153"/>
                <w:tab w:val="clear" w:pos="8306"/>
              </w:tabs>
              <w:jc w:val="both"/>
              <w:rPr>
                <w:rFonts w:asciiTheme="minorHAnsi" w:hAnsiTheme="minorHAnsi" w:cstheme="minorHAnsi"/>
                <w:bCs/>
                <w:szCs w:val="22"/>
              </w:rPr>
            </w:pPr>
          </w:p>
          <w:p w14:paraId="27338E79" w14:textId="34F1CDC2" w:rsidR="001E5B42" w:rsidRDefault="001E5B42" w:rsidP="00B24CC4">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As well as the main building, there is also an existing garage</w:t>
            </w:r>
            <w:r w:rsidR="00D53E32">
              <w:rPr>
                <w:rFonts w:asciiTheme="minorHAnsi" w:hAnsiTheme="minorHAnsi" w:cstheme="minorHAnsi"/>
                <w:bCs/>
                <w:szCs w:val="22"/>
              </w:rPr>
              <w:t>/</w:t>
            </w:r>
            <w:r>
              <w:rPr>
                <w:rFonts w:asciiTheme="minorHAnsi" w:hAnsiTheme="minorHAnsi" w:cstheme="minorHAnsi"/>
                <w:bCs/>
                <w:szCs w:val="22"/>
              </w:rPr>
              <w:t xml:space="preserve">stable building and detached </w:t>
            </w:r>
            <w:r w:rsidR="00D53E32">
              <w:rPr>
                <w:rFonts w:asciiTheme="minorHAnsi" w:hAnsiTheme="minorHAnsi" w:cstheme="minorHAnsi"/>
                <w:bCs/>
                <w:szCs w:val="22"/>
              </w:rPr>
              <w:t xml:space="preserve">timber </w:t>
            </w:r>
            <w:r>
              <w:rPr>
                <w:rFonts w:asciiTheme="minorHAnsi" w:hAnsiTheme="minorHAnsi" w:cstheme="minorHAnsi"/>
                <w:bCs/>
                <w:szCs w:val="22"/>
              </w:rPr>
              <w:t>garage.</w:t>
            </w:r>
          </w:p>
          <w:p w14:paraId="3A275644" w14:textId="77777777" w:rsidR="009D373F" w:rsidRDefault="009D373F" w:rsidP="00B24CC4">
            <w:pPr>
              <w:pStyle w:val="Header"/>
              <w:tabs>
                <w:tab w:val="clear" w:pos="4153"/>
                <w:tab w:val="clear" w:pos="8306"/>
              </w:tabs>
              <w:jc w:val="both"/>
              <w:rPr>
                <w:rFonts w:asciiTheme="minorHAnsi" w:hAnsiTheme="minorHAnsi" w:cstheme="minorHAnsi"/>
                <w:bCs/>
                <w:szCs w:val="22"/>
              </w:rPr>
            </w:pPr>
          </w:p>
          <w:p w14:paraId="56704ABD" w14:textId="77777777" w:rsidR="00D53E32" w:rsidRDefault="00D53E32" w:rsidP="00B24CC4">
            <w:pPr>
              <w:pStyle w:val="Header"/>
              <w:tabs>
                <w:tab w:val="clear" w:pos="4153"/>
                <w:tab w:val="clear" w:pos="8306"/>
              </w:tabs>
              <w:jc w:val="both"/>
              <w:rPr>
                <w:rFonts w:asciiTheme="minorHAnsi" w:hAnsiTheme="minorHAnsi" w:cstheme="minorHAnsi"/>
                <w:bCs/>
                <w:szCs w:val="22"/>
              </w:rPr>
            </w:pPr>
            <w:r>
              <w:rPr>
                <w:rFonts w:asciiTheme="minorHAnsi" w:hAnsiTheme="minorHAnsi" w:cstheme="minorHAnsi"/>
                <w:bCs/>
                <w:szCs w:val="22"/>
              </w:rPr>
              <w:t xml:space="preserve">To the south of the dwelling is the associated private </w:t>
            </w:r>
            <w:r w:rsidR="004465CC">
              <w:rPr>
                <w:rFonts w:asciiTheme="minorHAnsi" w:hAnsiTheme="minorHAnsi" w:cstheme="minorHAnsi"/>
                <w:bCs/>
                <w:szCs w:val="22"/>
              </w:rPr>
              <w:t>garden which is well enclosed</w:t>
            </w:r>
            <w:r w:rsidR="00D14088">
              <w:rPr>
                <w:rFonts w:asciiTheme="minorHAnsi" w:hAnsiTheme="minorHAnsi" w:cstheme="minorHAnsi"/>
                <w:bCs/>
                <w:szCs w:val="22"/>
              </w:rPr>
              <w:t xml:space="preserve"> by hedgerows and trees</w:t>
            </w:r>
            <w:r w:rsidR="004465CC">
              <w:rPr>
                <w:rFonts w:asciiTheme="minorHAnsi" w:hAnsiTheme="minorHAnsi" w:cstheme="minorHAnsi"/>
                <w:bCs/>
                <w:szCs w:val="22"/>
              </w:rPr>
              <w:t xml:space="preserve">. To the north and west of the main dwelling is a concrete yard. Beyond the </w:t>
            </w:r>
            <w:r w:rsidR="00D14088">
              <w:rPr>
                <w:rFonts w:asciiTheme="minorHAnsi" w:hAnsiTheme="minorHAnsi" w:cstheme="minorHAnsi"/>
                <w:bCs/>
                <w:szCs w:val="22"/>
              </w:rPr>
              <w:t>site boundary to the north and west is farmland.</w:t>
            </w:r>
          </w:p>
          <w:p w14:paraId="7BD35452" w14:textId="076F5DDB" w:rsidR="00D14088" w:rsidRPr="00410EEC" w:rsidRDefault="00D14088" w:rsidP="00B24CC4">
            <w:pPr>
              <w:pStyle w:val="Header"/>
              <w:tabs>
                <w:tab w:val="clear" w:pos="4153"/>
                <w:tab w:val="clear" w:pos="8306"/>
              </w:tabs>
              <w:jc w:val="both"/>
              <w:rPr>
                <w:rFonts w:asciiTheme="minorHAnsi" w:hAnsiTheme="minorHAnsi" w:cstheme="minorHAnsi"/>
                <w:bCs/>
                <w:szCs w:val="22"/>
              </w:rPr>
            </w:pPr>
          </w:p>
        </w:tc>
      </w:tr>
      <w:tr w:rsidR="006C2BFA" w:rsidRPr="00497B71" w14:paraId="268CA580"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18A070" w14:textId="65F0B567" w:rsidR="007E0D23" w:rsidRDefault="0029334A" w:rsidP="00B24CC4">
            <w:pPr>
              <w:pStyle w:val="Header"/>
              <w:tabs>
                <w:tab w:val="clear" w:pos="4153"/>
                <w:tab w:val="clear" w:pos="8306"/>
              </w:tabs>
              <w:jc w:val="both"/>
              <w:rPr>
                <w:rFonts w:asciiTheme="minorHAnsi" w:hAnsiTheme="minorHAnsi" w:cstheme="minorHAnsi"/>
                <w:b/>
                <w:szCs w:val="22"/>
              </w:rPr>
            </w:pPr>
            <w:r w:rsidRPr="00386DBF">
              <w:rPr>
                <w:rFonts w:asciiTheme="minorHAnsi" w:hAnsiTheme="minorHAnsi" w:cstheme="minorHAnsi"/>
                <w:b/>
                <w:szCs w:val="22"/>
              </w:rPr>
              <w:t>Proposed Development for which consent is sought:</w:t>
            </w:r>
          </w:p>
          <w:p w14:paraId="62BA3FFC" w14:textId="70D34A2E" w:rsidR="00414D55" w:rsidRDefault="009D373F" w:rsidP="00B24CC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applicants seek to renovate and update the buildings at </w:t>
            </w:r>
            <w:proofErr w:type="spellStart"/>
            <w:r>
              <w:rPr>
                <w:rFonts w:asciiTheme="minorHAnsi" w:hAnsiTheme="minorHAnsi" w:cstheme="minorHAnsi"/>
                <w:szCs w:val="22"/>
              </w:rPr>
              <w:t>Seedalls</w:t>
            </w:r>
            <w:proofErr w:type="spellEnd"/>
            <w:r>
              <w:rPr>
                <w:rFonts w:asciiTheme="minorHAnsi" w:hAnsiTheme="minorHAnsi" w:cstheme="minorHAnsi"/>
                <w:szCs w:val="22"/>
              </w:rPr>
              <w:t xml:space="preserve"> Farm</w:t>
            </w:r>
            <w:r w:rsidR="000C0BBB">
              <w:rPr>
                <w:rFonts w:asciiTheme="minorHAnsi" w:hAnsiTheme="minorHAnsi" w:cstheme="minorHAnsi"/>
                <w:szCs w:val="22"/>
              </w:rPr>
              <w:t xml:space="preserve">. Permission is sought for extensions to the existing farmhouse. This includes a </w:t>
            </w:r>
            <w:r w:rsidR="00F239F8">
              <w:rPr>
                <w:rFonts w:asciiTheme="minorHAnsi" w:hAnsiTheme="minorHAnsi" w:cstheme="minorHAnsi"/>
                <w:szCs w:val="22"/>
              </w:rPr>
              <w:t xml:space="preserve">two-storey extension </w:t>
            </w:r>
            <w:r w:rsidR="000C0BBB">
              <w:rPr>
                <w:rFonts w:asciiTheme="minorHAnsi" w:hAnsiTheme="minorHAnsi" w:cstheme="minorHAnsi"/>
                <w:szCs w:val="22"/>
              </w:rPr>
              <w:t>at the eastern end of the building, including a ground floor wrap-around extension. This would be constructed in stone with a natural blue slate roof to match the main building.</w:t>
            </w:r>
          </w:p>
          <w:p w14:paraId="5E13CEE0" w14:textId="38F443D6" w:rsidR="000C0BBB" w:rsidRDefault="000C0BBB" w:rsidP="00B24CC4">
            <w:pPr>
              <w:pStyle w:val="Header"/>
              <w:tabs>
                <w:tab w:val="clear" w:pos="4153"/>
                <w:tab w:val="clear" w:pos="8306"/>
              </w:tabs>
              <w:jc w:val="both"/>
              <w:rPr>
                <w:rFonts w:asciiTheme="minorHAnsi" w:hAnsiTheme="minorHAnsi" w:cstheme="minorHAnsi"/>
                <w:szCs w:val="22"/>
              </w:rPr>
            </w:pPr>
          </w:p>
          <w:p w14:paraId="0DDB4821" w14:textId="4F2FF6F9" w:rsidR="000C0BBB" w:rsidRDefault="000C0BBB" w:rsidP="00B24CC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A new open porch is proposed </w:t>
            </w:r>
            <w:r w:rsidR="004D2E26">
              <w:rPr>
                <w:rFonts w:asciiTheme="minorHAnsi" w:hAnsiTheme="minorHAnsi" w:cstheme="minorHAnsi"/>
                <w:szCs w:val="22"/>
              </w:rPr>
              <w:t>over the arched wagon entrance of the south elevation of the former barn section. An existing conservatory style porch would be removed. The proposed porch would be constructed with oak posts and a blue slate roof.</w:t>
            </w:r>
          </w:p>
          <w:p w14:paraId="7E2291F5" w14:textId="0F466C9A" w:rsidR="004D2E26" w:rsidRDefault="004D2E26" w:rsidP="00B24CC4">
            <w:pPr>
              <w:pStyle w:val="Header"/>
              <w:tabs>
                <w:tab w:val="clear" w:pos="4153"/>
                <w:tab w:val="clear" w:pos="8306"/>
              </w:tabs>
              <w:jc w:val="both"/>
              <w:rPr>
                <w:rFonts w:asciiTheme="minorHAnsi" w:hAnsiTheme="minorHAnsi" w:cstheme="minorHAnsi"/>
                <w:szCs w:val="22"/>
              </w:rPr>
            </w:pPr>
          </w:p>
          <w:p w14:paraId="1BC10885" w14:textId="00A67852" w:rsidR="004D2E26" w:rsidRDefault="004D2E26" w:rsidP="00B24CC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The existing garage and stable building </w:t>
            </w:r>
            <w:proofErr w:type="gramStart"/>
            <w:r>
              <w:rPr>
                <w:rFonts w:asciiTheme="minorHAnsi" w:hAnsiTheme="minorHAnsi" w:cstheme="minorHAnsi"/>
                <w:szCs w:val="22"/>
              </w:rPr>
              <w:t>is</w:t>
            </w:r>
            <w:proofErr w:type="gramEnd"/>
            <w:r>
              <w:rPr>
                <w:rFonts w:asciiTheme="minorHAnsi" w:hAnsiTheme="minorHAnsi" w:cstheme="minorHAnsi"/>
                <w:szCs w:val="22"/>
              </w:rPr>
              <w:t xml:space="preserve"> a white rendered building and is proposed to be demolished and replaced with a </w:t>
            </w:r>
            <w:r w:rsidR="001C2E97">
              <w:rPr>
                <w:rFonts w:asciiTheme="minorHAnsi" w:hAnsiTheme="minorHAnsi" w:cstheme="minorHAnsi"/>
                <w:szCs w:val="22"/>
              </w:rPr>
              <w:t>proposed annexe on the same footprint. The annexe would measure 14m x 9.8m and would be 5m to the ridge. It would be faced with materials to match the main dwelling and would provide a shared living/dining/kitchen, two bedrooms and bathroom over a single floor.</w:t>
            </w:r>
          </w:p>
          <w:p w14:paraId="0D628515" w14:textId="17983F50" w:rsidR="001C2E97" w:rsidRDefault="001C2E97" w:rsidP="00B24CC4">
            <w:pPr>
              <w:pStyle w:val="Header"/>
              <w:tabs>
                <w:tab w:val="clear" w:pos="4153"/>
                <w:tab w:val="clear" w:pos="8306"/>
              </w:tabs>
              <w:jc w:val="both"/>
              <w:rPr>
                <w:rFonts w:asciiTheme="minorHAnsi" w:hAnsiTheme="minorHAnsi" w:cstheme="minorHAnsi"/>
                <w:szCs w:val="22"/>
              </w:rPr>
            </w:pPr>
          </w:p>
          <w:p w14:paraId="46C1A662" w14:textId="49E8AD6A" w:rsidR="001C2E97" w:rsidRDefault="001C2E97" w:rsidP="00B24CC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Finally, the proposal includes demolition and replace of the existing </w:t>
            </w:r>
            <w:r w:rsidR="00FE3471">
              <w:rPr>
                <w:rFonts w:asciiTheme="minorHAnsi" w:hAnsiTheme="minorHAnsi" w:cstheme="minorHAnsi"/>
                <w:szCs w:val="22"/>
              </w:rPr>
              <w:t xml:space="preserve">timber </w:t>
            </w:r>
            <w:r>
              <w:rPr>
                <w:rFonts w:asciiTheme="minorHAnsi" w:hAnsiTheme="minorHAnsi" w:cstheme="minorHAnsi"/>
                <w:szCs w:val="22"/>
              </w:rPr>
              <w:t>garage</w:t>
            </w:r>
            <w:r w:rsidR="00FE3471">
              <w:rPr>
                <w:rFonts w:asciiTheme="minorHAnsi" w:hAnsiTheme="minorHAnsi" w:cstheme="minorHAnsi"/>
                <w:szCs w:val="22"/>
              </w:rPr>
              <w:t>/</w:t>
            </w:r>
            <w:r>
              <w:rPr>
                <w:rFonts w:asciiTheme="minorHAnsi" w:hAnsiTheme="minorHAnsi" w:cstheme="minorHAnsi"/>
                <w:szCs w:val="22"/>
              </w:rPr>
              <w:t>store</w:t>
            </w:r>
            <w:r w:rsidR="00FE3471">
              <w:rPr>
                <w:rFonts w:asciiTheme="minorHAnsi" w:hAnsiTheme="minorHAnsi" w:cstheme="minorHAnsi"/>
                <w:szCs w:val="22"/>
              </w:rPr>
              <w:t xml:space="preserve"> with a stone-built replacement with domestic store.  The proposed building would be located on the same footprint although proposes a notable increase in height from 3m to 5m.</w:t>
            </w:r>
          </w:p>
          <w:p w14:paraId="0E1DC148" w14:textId="51AC4AC2" w:rsidR="000C0BBB" w:rsidRPr="00497B71" w:rsidRDefault="000C0BBB" w:rsidP="00B24CC4">
            <w:pPr>
              <w:pStyle w:val="Header"/>
              <w:tabs>
                <w:tab w:val="clear" w:pos="4153"/>
                <w:tab w:val="clear" w:pos="8306"/>
              </w:tabs>
              <w:jc w:val="both"/>
              <w:rPr>
                <w:rFonts w:asciiTheme="minorHAnsi" w:hAnsiTheme="minorHAnsi" w:cstheme="minorHAnsi"/>
                <w:szCs w:val="22"/>
              </w:rPr>
            </w:pPr>
          </w:p>
        </w:tc>
      </w:tr>
      <w:tr w:rsidR="00EA09F9" w:rsidRPr="00497B71" w14:paraId="0CAD62CF"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B5D7C5" w14:textId="5AD31544" w:rsidR="002722A8" w:rsidRDefault="00414D55" w:rsidP="007B7EAE">
            <w:pPr>
              <w:contextualSpacing/>
              <w:rPr>
                <w:rFonts w:asciiTheme="minorHAnsi" w:hAnsiTheme="minorHAnsi" w:cstheme="minorHAnsi"/>
                <w:b/>
                <w:bCs/>
                <w:szCs w:val="22"/>
              </w:rPr>
            </w:pPr>
            <w:r w:rsidRPr="009E59D5">
              <w:rPr>
                <w:rFonts w:asciiTheme="minorHAnsi" w:hAnsiTheme="minorHAnsi" w:cstheme="minorHAnsi"/>
                <w:b/>
                <w:bCs/>
                <w:szCs w:val="22"/>
              </w:rPr>
              <w:t>Principle of Development</w:t>
            </w:r>
            <w:r w:rsidR="00EA09F9" w:rsidRPr="009E59D5">
              <w:rPr>
                <w:rFonts w:asciiTheme="minorHAnsi" w:hAnsiTheme="minorHAnsi" w:cstheme="minorHAnsi"/>
                <w:b/>
                <w:bCs/>
                <w:szCs w:val="22"/>
              </w:rPr>
              <w:t>:</w:t>
            </w:r>
          </w:p>
          <w:p w14:paraId="6EE3C35E" w14:textId="3B7F3A78" w:rsidR="002262C5" w:rsidRPr="002262C5" w:rsidRDefault="002262C5" w:rsidP="002262C5">
            <w:pPr>
              <w:contextualSpacing/>
              <w:jc w:val="both"/>
              <w:rPr>
                <w:rFonts w:asciiTheme="minorHAnsi" w:hAnsiTheme="minorHAnsi" w:cstheme="minorHAnsi"/>
                <w:szCs w:val="22"/>
              </w:rPr>
            </w:pPr>
            <w:r>
              <w:rPr>
                <w:rFonts w:asciiTheme="minorHAnsi" w:hAnsiTheme="minorHAnsi" w:cstheme="minorHAnsi"/>
                <w:szCs w:val="22"/>
              </w:rPr>
              <w:t xml:space="preserve">The proposal to replace and extend the existing domestic buildings at the site is acceptable in principle subject to detailed consideration of </w:t>
            </w:r>
            <w:r w:rsidR="00F815C2">
              <w:rPr>
                <w:rFonts w:asciiTheme="minorHAnsi" w:hAnsiTheme="minorHAnsi" w:cstheme="minorHAnsi"/>
                <w:szCs w:val="22"/>
              </w:rPr>
              <w:t>their</w:t>
            </w:r>
            <w:r>
              <w:rPr>
                <w:rFonts w:asciiTheme="minorHAnsi" w:hAnsiTheme="minorHAnsi" w:cstheme="minorHAnsi"/>
                <w:szCs w:val="22"/>
              </w:rPr>
              <w:t xml:space="preserve"> size, </w:t>
            </w:r>
            <w:proofErr w:type="gramStart"/>
            <w:r>
              <w:rPr>
                <w:rFonts w:asciiTheme="minorHAnsi" w:hAnsiTheme="minorHAnsi" w:cstheme="minorHAnsi"/>
                <w:szCs w:val="22"/>
              </w:rPr>
              <w:t>scale</w:t>
            </w:r>
            <w:proofErr w:type="gramEnd"/>
            <w:r>
              <w:rPr>
                <w:rFonts w:asciiTheme="minorHAnsi" w:hAnsiTheme="minorHAnsi" w:cstheme="minorHAnsi"/>
                <w:szCs w:val="22"/>
              </w:rPr>
              <w:t xml:space="preserve"> and design</w:t>
            </w:r>
            <w:r w:rsidR="00F815C2">
              <w:rPr>
                <w:rFonts w:asciiTheme="minorHAnsi" w:hAnsiTheme="minorHAnsi" w:cstheme="minorHAnsi"/>
                <w:szCs w:val="22"/>
              </w:rPr>
              <w:t>.</w:t>
            </w:r>
          </w:p>
          <w:p w14:paraId="2B68653E" w14:textId="77777777" w:rsidR="002262C5" w:rsidRPr="009E59D5" w:rsidRDefault="002262C5" w:rsidP="007B7EAE">
            <w:pPr>
              <w:contextualSpacing/>
              <w:rPr>
                <w:rFonts w:asciiTheme="minorHAnsi" w:hAnsiTheme="minorHAnsi" w:cstheme="minorHAnsi"/>
                <w:b/>
                <w:bCs/>
                <w:szCs w:val="22"/>
              </w:rPr>
            </w:pPr>
          </w:p>
          <w:p w14:paraId="6084FB81" w14:textId="7F2954A9" w:rsidR="00B24CC4" w:rsidRDefault="00414D55" w:rsidP="00B24CC4">
            <w:pPr>
              <w:contextualSpacing/>
              <w:jc w:val="both"/>
              <w:rPr>
                <w:rFonts w:asciiTheme="minorHAnsi" w:hAnsiTheme="minorHAnsi" w:cstheme="minorHAnsi"/>
                <w:szCs w:val="22"/>
              </w:rPr>
            </w:pPr>
            <w:r w:rsidRPr="009E59D5">
              <w:rPr>
                <w:rFonts w:asciiTheme="minorHAnsi" w:hAnsiTheme="minorHAnsi" w:cstheme="minorHAnsi"/>
                <w:bCs/>
                <w:szCs w:val="22"/>
              </w:rPr>
              <w:t xml:space="preserve">In principle the proposal to </w:t>
            </w:r>
            <w:r w:rsidR="00B24CC4">
              <w:rPr>
                <w:rFonts w:asciiTheme="minorHAnsi" w:hAnsiTheme="minorHAnsi" w:cstheme="minorHAnsi"/>
                <w:bCs/>
                <w:szCs w:val="22"/>
              </w:rPr>
              <w:t>create ancillary</w:t>
            </w:r>
            <w:r w:rsidRPr="009E59D5">
              <w:rPr>
                <w:rFonts w:asciiTheme="minorHAnsi" w:hAnsiTheme="minorHAnsi" w:cstheme="minorHAnsi"/>
                <w:bCs/>
                <w:szCs w:val="22"/>
              </w:rPr>
              <w:t xml:space="preserve"> accommodation is generally considered acceptable subject to the proposals providing only modest accommodation as required by Core Strategy Policy DMH5</w:t>
            </w:r>
            <w:r w:rsidR="00B24CC4">
              <w:rPr>
                <w:rFonts w:asciiTheme="minorHAnsi" w:hAnsiTheme="minorHAnsi" w:cstheme="minorHAnsi"/>
                <w:bCs/>
                <w:szCs w:val="22"/>
              </w:rPr>
              <w:t xml:space="preserve"> and meeting the requirements of Policy DMG1 </w:t>
            </w:r>
            <w:r w:rsidR="00B24CC4">
              <w:rPr>
                <w:rFonts w:asciiTheme="minorHAnsi" w:hAnsiTheme="minorHAnsi" w:cstheme="minorHAnsi"/>
                <w:szCs w:val="22"/>
              </w:rPr>
              <w:t xml:space="preserve">which </w:t>
            </w:r>
            <w:r w:rsidR="00B24CC4" w:rsidRPr="007D7FB5">
              <w:rPr>
                <w:rFonts w:asciiTheme="minorHAnsi" w:hAnsiTheme="minorHAnsi" w:cstheme="minorHAnsi"/>
                <w:szCs w:val="22"/>
              </w:rPr>
              <w:t xml:space="preserve">requires development to be of a high standard of design and to be sympathetic to existing and proposed land uses in terms of its size, </w:t>
            </w:r>
            <w:proofErr w:type="gramStart"/>
            <w:r w:rsidR="00B24CC4" w:rsidRPr="007D7FB5">
              <w:rPr>
                <w:rFonts w:asciiTheme="minorHAnsi" w:hAnsiTheme="minorHAnsi" w:cstheme="minorHAnsi"/>
                <w:szCs w:val="22"/>
              </w:rPr>
              <w:t>intensity</w:t>
            </w:r>
            <w:proofErr w:type="gramEnd"/>
            <w:r w:rsidR="00B24CC4" w:rsidRPr="007D7FB5">
              <w:rPr>
                <w:rFonts w:asciiTheme="minorHAnsi" w:hAnsiTheme="minorHAnsi" w:cstheme="minorHAnsi"/>
                <w:szCs w:val="22"/>
              </w:rPr>
              <w:t xml:space="preserve"> and nature as well as scale, massing, style, features and building materials. The relationship between buildings is of major importance and particular emphasis is placed on the visual appearance of development.</w:t>
            </w:r>
          </w:p>
          <w:p w14:paraId="6FA1C6A9" w14:textId="2C4F378F" w:rsidR="00B24CC4" w:rsidRDefault="00B24CC4" w:rsidP="00B24CC4">
            <w:pPr>
              <w:contextualSpacing/>
              <w:jc w:val="both"/>
              <w:rPr>
                <w:rFonts w:asciiTheme="minorHAnsi" w:hAnsiTheme="minorHAnsi" w:cstheme="minorHAnsi"/>
                <w:szCs w:val="22"/>
              </w:rPr>
            </w:pPr>
          </w:p>
          <w:p w14:paraId="18C91CF2" w14:textId="5342F154" w:rsidR="00B24CC4" w:rsidRPr="008F66C6" w:rsidRDefault="00B24CC4" w:rsidP="00B24CC4">
            <w:pPr>
              <w:jc w:val="both"/>
              <w:rPr>
                <w:rFonts w:asciiTheme="minorHAnsi" w:hAnsiTheme="minorHAnsi"/>
                <w:szCs w:val="22"/>
              </w:rPr>
            </w:pPr>
            <w:r w:rsidRPr="008B2ED2">
              <w:rPr>
                <w:rFonts w:asciiTheme="minorHAnsi" w:hAnsiTheme="minorHAnsi"/>
                <w:szCs w:val="22"/>
              </w:rPr>
              <w:t xml:space="preserve">Key Statement EN2 states that the landscape character of the Forest of Bowland Area of Outstanding Natura Beauty will be protected, </w:t>
            </w:r>
            <w:proofErr w:type="gramStart"/>
            <w:r w:rsidRPr="008B2ED2">
              <w:rPr>
                <w:rFonts w:asciiTheme="minorHAnsi" w:hAnsiTheme="minorHAnsi"/>
                <w:szCs w:val="22"/>
              </w:rPr>
              <w:t>conserved</w:t>
            </w:r>
            <w:proofErr w:type="gramEnd"/>
            <w:r w:rsidRPr="008B2ED2">
              <w:rPr>
                <w:rFonts w:asciiTheme="minorHAnsi" w:hAnsiTheme="minorHAnsi"/>
                <w:szCs w:val="22"/>
              </w:rPr>
              <w:t xml:space="preserve"> and enhanced. This policy also states that development will be expected to being </w:t>
            </w:r>
            <w:r w:rsidR="00F815C2">
              <w:rPr>
                <w:rFonts w:asciiTheme="minorHAnsi" w:hAnsiTheme="minorHAnsi"/>
                <w:szCs w:val="22"/>
              </w:rPr>
              <w:t xml:space="preserve">in </w:t>
            </w:r>
            <w:r w:rsidRPr="008B2ED2">
              <w:rPr>
                <w:rFonts w:asciiTheme="minorHAnsi" w:hAnsiTheme="minorHAnsi"/>
                <w:szCs w:val="22"/>
              </w:rPr>
              <w:t>keeping with the character of the landscape, reflecting local distinctiveness, vernacular style, scale, features and building materials. NPPF paragraph 17</w:t>
            </w:r>
            <w:r>
              <w:rPr>
                <w:rFonts w:asciiTheme="minorHAnsi" w:hAnsiTheme="minorHAnsi"/>
                <w:szCs w:val="22"/>
              </w:rPr>
              <w:t>6</w:t>
            </w:r>
            <w:r w:rsidRPr="008B2ED2">
              <w:rPr>
                <w:rFonts w:asciiTheme="minorHAnsi" w:hAnsiTheme="minorHAnsi"/>
                <w:szCs w:val="22"/>
              </w:rPr>
              <w:t xml:space="preserve"> says that ‘</w:t>
            </w:r>
            <w:r w:rsidRPr="008B2ED2">
              <w:rPr>
                <w:rFonts w:asciiTheme="minorHAnsi" w:hAnsiTheme="minorHAnsi"/>
                <w:i/>
                <w:szCs w:val="22"/>
              </w:rPr>
              <w:t xml:space="preserve">great weight should be given to conserving and enhancing landscape and scenic beauty in National Parks, the Broads and Areas of Outstanding Natural Beauty which have the highest status of protection in relation to these </w:t>
            </w:r>
            <w:proofErr w:type="gramStart"/>
            <w:r w:rsidRPr="008B2ED2">
              <w:rPr>
                <w:rFonts w:asciiTheme="minorHAnsi" w:hAnsiTheme="minorHAnsi"/>
                <w:i/>
                <w:szCs w:val="22"/>
              </w:rPr>
              <w:t>matters’</w:t>
            </w:r>
            <w:proofErr w:type="gramEnd"/>
            <w:r w:rsidRPr="008B2ED2">
              <w:rPr>
                <w:rFonts w:asciiTheme="minorHAnsi" w:hAnsiTheme="minorHAnsi"/>
                <w:szCs w:val="22"/>
              </w:rPr>
              <w:t>.</w:t>
            </w:r>
          </w:p>
          <w:p w14:paraId="3B537B49" w14:textId="3568947A" w:rsidR="00663DD8" w:rsidRPr="009E59D5" w:rsidRDefault="00663DD8" w:rsidP="00B24CC4">
            <w:pPr>
              <w:contextualSpacing/>
              <w:jc w:val="both"/>
              <w:rPr>
                <w:rFonts w:asciiTheme="minorHAnsi" w:hAnsiTheme="minorHAnsi" w:cstheme="minorHAnsi"/>
                <w:bCs/>
                <w:szCs w:val="22"/>
              </w:rPr>
            </w:pPr>
          </w:p>
        </w:tc>
      </w:tr>
      <w:tr w:rsidR="00B24CC4" w:rsidRPr="00B24CC4" w14:paraId="7D96D233"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B45705" w14:textId="24621AC6" w:rsidR="00414D55" w:rsidRPr="00B24CC4" w:rsidRDefault="00414D55" w:rsidP="00414D55">
            <w:pPr>
              <w:contextualSpacing/>
              <w:jc w:val="both"/>
              <w:rPr>
                <w:rFonts w:asciiTheme="minorHAnsi" w:hAnsiTheme="minorHAnsi" w:cstheme="minorHAnsi"/>
                <w:b/>
                <w:bCs/>
                <w:szCs w:val="22"/>
              </w:rPr>
            </w:pPr>
            <w:r w:rsidRPr="00B24CC4">
              <w:rPr>
                <w:rFonts w:asciiTheme="minorHAnsi" w:hAnsiTheme="minorHAnsi" w:cstheme="minorHAnsi"/>
                <w:b/>
                <w:bCs/>
                <w:szCs w:val="22"/>
              </w:rPr>
              <w:lastRenderedPageBreak/>
              <w:t>Design and Visual Appearance</w:t>
            </w:r>
            <w:r w:rsidR="00663DD8" w:rsidRPr="00B24CC4">
              <w:rPr>
                <w:rFonts w:asciiTheme="minorHAnsi" w:hAnsiTheme="minorHAnsi" w:cstheme="minorHAnsi"/>
                <w:b/>
                <w:bCs/>
                <w:szCs w:val="22"/>
              </w:rPr>
              <w:t>:</w:t>
            </w:r>
          </w:p>
          <w:p w14:paraId="64794EA1" w14:textId="13DD6A06" w:rsidR="0062273D" w:rsidRDefault="0062273D" w:rsidP="0062273D">
            <w:pPr>
              <w:contextualSpacing/>
              <w:jc w:val="both"/>
              <w:rPr>
                <w:rFonts w:asciiTheme="minorHAnsi" w:hAnsiTheme="minorHAnsi" w:cstheme="minorHAnsi"/>
                <w:bCs/>
                <w:szCs w:val="22"/>
              </w:rPr>
            </w:pPr>
            <w:r w:rsidRPr="00B24CC4">
              <w:rPr>
                <w:rFonts w:asciiTheme="minorHAnsi" w:hAnsiTheme="minorHAnsi" w:cstheme="minorHAnsi"/>
                <w:bCs/>
                <w:szCs w:val="22"/>
              </w:rPr>
              <w:t xml:space="preserve">Key Statement EN2 and </w:t>
            </w:r>
            <w:r w:rsidR="00B24CC4" w:rsidRPr="00B24CC4">
              <w:rPr>
                <w:rFonts w:asciiTheme="minorHAnsi" w:hAnsiTheme="minorHAnsi" w:cstheme="minorHAnsi"/>
                <w:bCs/>
                <w:szCs w:val="22"/>
              </w:rPr>
              <w:t>P</w:t>
            </w:r>
            <w:r w:rsidRPr="00B24CC4">
              <w:rPr>
                <w:rFonts w:asciiTheme="minorHAnsi" w:hAnsiTheme="minorHAnsi" w:cstheme="minorHAnsi"/>
                <w:bCs/>
                <w:szCs w:val="22"/>
              </w:rPr>
              <w:t>olic</w:t>
            </w:r>
            <w:r w:rsidR="00B24CC4" w:rsidRPr="00B24CC4">
              <w:rPr>
                <w:rFonts w:asciiTheme="minorHAnsi" w:hAnsiTheme="minorHAnsi" w:cstheme="minorHAnsi"/>
                <w:bCs/>
                <w:szCs w:val="22"/>
              </w:rPr>
              <w:t>y</w:t>
            </w:r>
            <w:r w:rsidRPr="00B24CC4">
              <w:rPr>
                <w:rFonts w:asciiTheme="minorHAnsi" w:hAnsiTheme="minorHAnsi" w:cstheme="minorHAnsi"/>
                <w:bCs/>
                <w:szCs w:val="22"/>
              </w:rPr>
              <w:t xml:space="preserve"> DMG1 of the Core Strategy require</w:t>
            </w:r>
            <w:r w:rsidR="00B24CC4" w:rsidRPr="00B24CC4">
              <w:rPr>
                <w:rFonts w:asciiTheme="minorHAnsi" w:hAnsiTheme="minorHAnsi" w:cstheme="minorHAnsi"/>
                <w:bCs/>
                <w:szCs w:val="22"/>
              </w:rPr>
              <w:t>s</w:t>
            </w:r>
            <w:r w:rsidRPr="00B24CC4">
              <w:rPr>
                <w:rFonts w:asciiTheme="minorHAnsi" w:hAnsiTheme="minorHAnsi" w:cstheme="minorHAnsi"/>
                <w:bCs/>
                <w:szCs w:val="22"/>
              </w:rPr>
              <w:t xml:space="preserve"> that consideration is given to the design and visual appearance of new development, with a requirement that development is in keeping with the character of the landscape and that consideration be given to the relationship between buildings.</w:t>
            </w:r>
          </w:p>
          <w:p w14:paraId="30391CEE" w14:textId="1A17AB82" w:rsidR="008D084F" w:rsidRDefault="008D084F" w:rsidP="0062273D">
            <w:pPr>
              <w:contextualSpacing/>
              <w:jc w:val="both"/>
              <w:rPr>
                <w:rFonts w:asciiTheme="minorHAnsi" w:hAnsiTheme="minorHAnsi" w:cstheme="minorHAnsi"/>
                <w:bCs/>
                <w:szCs w:val="22"/>
              </w:rPr>
            </w:pPr>
          </w:p>
          <w:p w14:paraId="191B53ED" w14:textId="72C2C820" w:rsidR="008D084F" w:rsidRPr="008D084F" w:rsidRDefault="008D084F" w:rsidP="008D084F">
            <w:pPr>
              <w:pStyle w:val="Default"/>
              <w:jc w:val="both"/>
              <w:rPr>
                <w:rFonts w:ascii="Calibri" w:hAnsi="Calibri" w:cs="Calibri"/>
                <w:bCs/>
                <w:color w:val="auto"/>
                <w:sz w:val="22"/>
                <w:szCs w:val="22"/>
              </w:rPr>
            </w:pPr>
            <w:r w:rsidRPr="008D084F">
              <w:rPr>
                <w:rFonts w:ascii="Calibri" w:hAnsi="Calibri" w:cs="Calibri"/>
                <w:color w:val="auto"/>
                <w:sz w:val="22"/>
                <w:szCs w:val="22"/>
              </w:rPr>
              <w:t>Due to the age of the farmhouse building, the application is supported by a Heritage Statement. This confirms that the archaeological interest of the building is largely to the exterior of the building and that the appearance of the building has been impacted through the uPVC porch and modern uPVC windows and doors.</w:t>
            </w:r>
          </w:p>
          <w:p w14:paraId="3B24972B" w14:textId="05C8329A" w:rsidR="00B24CC4" w:rsidRPr="00B24CC4" w:rsidRDefault="00B24CC4" w:rsidP="0062273D">
            <w:pPr>
              <w:contextualSpacing/>
              <w:jc w:val="both"/>
              <w:rPr>
                <w:rFonts w:asciiTheme="minorHAnsi" w:hAnsiTheme="minorHAnsi" w:cstheme="minorHAnsi"/>
                <w:bCs/>
                <w:szCs w:val="22"/>
              </w:rPr>
            </w:pPr>
          </w:p>
          <w:p w14:paraId="427DBE2D" w14:textId="77777777" w:rsidR="00F815C2" w:rsidRPr="006E1850" w:rsidRDefault="00F815C2" w:rsidP="00F815C2">
            <w:pPr>
              <w:pStyle w:val="Default"/>
              <w:jc w:val="both"/>
              <w:rPr>
                <w:rFonts w:ascii="Calibri" w:hAnsi="Calibri" w:cs="Calibri"/>
                <w:bCs/>
                <w:color w:val="auto"/>
                <w:sz w:val="22"/>
                <w:szCs w:val="22"/>
              </w:rPr>
            </w:pPr>
            <w:r w:rsidRPr="006E1850">
              <w:rPr>
                <w:rFonts w:ascii="Calibri" w:hAnsi="Calibri" w:cs="Calibri"/>
                <w:bCs/>
                <w:color w:val="auto"/>
                <w:sz w:val="22"/>
                <w:szCs w:val="22"/>
              </w:rPr>
              <w:t>The proposed extension would incorporate a catslide roof, a common characteristic of traditional agricultural buildings, and would be set down from the main ridge of the building with a matching roof pitch. The catslide roof would extend beyond the south elevation of the original building, wrapping around it at single-storey level and would provide the occupants with better access to their private garden.</w:t>
            </w:r>
          </w:p>
          <w:p w14:paraId="6CF5A06F" w14:textId="77777777" w:rsidR="00F815C2" w:rsidRPr="006E1850" w:rsidRDefault="00F815C2" w:rsidP="00F815C2">
            <w:pPr>
              <w:pStyle w:val="Default"/>
              <w:jc w:val="both"/>
              <w:rPr>
                <w:rFonts w:ascii="Calibri" w:hAnsi="Calibri" w:cs="Calibri"/>
                <w:bCs/>
                <w:color w:val="auto"/>
                <w:sz w:val="22"/>
                <w:szCs w:val="22"/>
              </w:rPr>
            </w:pPr>
          </w:p>
          <w:p w14:paraId="5F10389E" w14:textId="0C59394C" w:rsidR="00F815C2" w:rsidRPr="0099021E" w:rsidRDefault="00F815C2" w:rsidP="00F815C2">
            <w:pPr>
              <w:pStyle w:val="Default"/>
              <w:jc w:val="both"/>
              <w:rPr>
                <w:rFonts w:ascii="Calibri" w:hAnsi="Calibri" w:cs="Calibri"/>
                <w:bCs/>
                <w:color w:val="auto"/>
                <w:sz w:val="22"/>
                <w:szCs w:val="22"/>
              </w:rPr>
            </w:pPr>
            <w:r w:rsidRPr="006E1850">
              <w:rPr>
                <w:rFonts w:ascii="Calibri" w:hAnsi="Calibri" w:cs="Calibri"/>
                <w:bCs/>
                <w:color w:val="auto"/>
                <w:sz w:val="22"/>
                <w:szCs w:val="22"/>
              </w:rPr>
              <w:t xml:space="preserve">Subject to the use of matching materials, including the incorporation of stone window surrounds to reflect the existing building and conservation style roof lights, the size and scale of the extension raises no </w:t>
            </w:r>
            <w:r w:rsidRPr="0099021E">
              <w:rPr>
                <w:rFonts w:ascii="Calibri" w:hAnsi="Calibri" w:cs="Calibri"/>
                <w:bCs/>
                <w:color w:val="auto"/>
                <w:sz w:val="22"/>
                <w:szCs w:val="22"/>
              </w:rPr>
              <w:t xml:space="preserve">concerns. </w:t>
            </w:r>
            <w:r w:rsidR="006E1850" w:rsidRPr="0099021E">
              <w:rPr>
                <w:rFonts w:ascii="Calibri" w:hAnsi="Calibri" w:cs="Calibri"/>
                <w:bCs/>
                <w:color w:val="auto"/>
                <w:sz w:val="22"/>
                <w:szCs w:val="22"/>
              </w:rPr>
              <w:t>W</w:t>
            </w:r>
            <w:r w:rsidRPr="0099021E">
              <w:rPr>
                <w:rFonts w:ascii="Calibri" w:hAnsi="Calibri" w:cs="Calibri"/>
                <w:bCs/>
                <w:color w:val="auto"/>
                <w:sz w:val="22"/>
                <w:szCs w:val="22"/>
              </w:rPr>
              <w:t xml:space="preserve">here the proposal seeks to include larger glazed </w:t>
            </w:r>
            <w:r w:rsidR="006E1850" w:rsidRPr="0099021E">
              <w:rPr>
                <w:rFonts w:ascii="Calibri" w:hAnsi="Calibri" w:cs="Calibri"/>
                <w:bCs/>
                <w:color w:val="auto"/>
                <w:sz w:val="22"/>
                <w:szCs w:val="22"/>
              </w:rPr>
              <w:t>elements,</w:t>
            </w:r>
            <w:r w:rsidRPr="0099021E">
              <w:rPr>
                <w:rFonts w:ascii="Calibri" w:hAnsi="Calibri" w:cs="Calibri"/>
                <w:bCs/>
                <w:color w:val="auto"/>
                <w:sz w:val="22"/>
                <w:szCs w:val="22"/>
              </w:rPr>
              <w:t xml:space="preserve"> they should be carefully designed and set back into the stonework.</w:t>
            </w:r>
          </w:p>
          <w:p w14:paraId="0C5900F5" w14:textId="77777777" w:rsidR="00F815C2" w:rsidRPr="0099021E" w:rsidRDefault="00F815C2" w:rsidP="00F815C2">
            <w:pPr>
              <w:pStyle w:val="Default"/>
              <w:jc w:val="both"/>
              <w:rPr>
                <w:rFonts w:ascii="Calibri" w:hAnsi="Calibri" w:cs="Calibri"/>
                <w:bCs/>
                <w:color w:val="auto"/>
                <w:sz w:val="22"/>
                <w:szCs w:val="22"/>
              </w:rPr>
            </w:pPr>
          </w:p>
          <w:p w14:paraId="4D867EA3" w14:textId="1A12644B" w:rsidR="00F815C2" w:rsidRPr="008D084F" w:rsidRDefault="00F815C2" w:rsidP="00F815C2">
            <w:pPr>
              <w:pStyle w:val="Default"/>
              <w:jc w:val="both"/>
              <w:rPr>
                <w:rFonts w:ascii="Calibri" w:hAnsi="Calibri" w:cs="Calibri"/>
                <w:bCs/>
                <w:color w:val="auto"/>
                <w:sz w:val="22"/>
                <w:szCs w:val="22"/>
              </w:rPr>
            </w:pPr>
            <w:r w:rsidRPr="0099021E">
              <w:rPr>
                <w:rFonts w:ascii="Calibri" w:hAnsi="Calibri" w:cs="Calibri"/>
                <w:bCs/>
                <w:color w:val="auto"/>
                <w:sz w:val="22"/>
                <w:szCs w:val="22"/>
              </w:rPr>
              <w:t xml:space="preserve">The proposal is to also remove the existing conservatory/porch, which currently conceals the former wagon entrance of the barn, </w:t>
            </w:r>
            <w:proofErr w:type="gramStart"/>
            <w:r w:rsidRPr="0099021E">
              <w:rPr>
                <w:rFonts w:ascii="Calibri" w:hAnsi="Calibri" w:cs="Calibri"/>
                <w:bCs/>
                <w:color w:val="auto"/>
                <w:sz w:val="22"/>
                <w:szCs w:val="22"/>
              </w:rPr>
              <w:t>in order to</w:t>
            </w:r>
            <w:proofErr w:type="gramEnd"/>
            <w:r w:rsidRPr="0099021E">
              <w:rPr>
                <w:rFonts w:ascii="Calibri" w:hAnsi="Calibri" w:cs="Calibri"/>
                <w:bCs/>
                <w:color w:val="auto"/>
                <w:sz w:val="22"/>
                <w:szCs w:val="22"/>
              </w:rPr>
              <w:t xml:space="preserve"> erect a timber framed porch. Removal of the existing conservatory to reveal the wagon entrance would be of benefit to the building’s appearance and character, and there would be a strong preference for this feature to remain unadorned. The proposal, </w:t>
            </w:r>
            <w:r w:rsidRPr="008D084F">
              <w:rPr>
                <w:rFonts w:ascii="Calibri" w:hAnsi="Calibri" w:cs="Calibri"/>
                <w:bCs/>
                <w:color w:val="auto"/>
                <w:sz w:val="22"/>
                <w:szCs w:val="22"/>
              </w:rPr>
              <w:t>however, is for the doorway to have a new covered porch</w:t>
            </w:r>
            <w:r w:rsidR="0099021E" w:rsidRPr="008D084F">
              <w:rPr>
                <w:rFonts w:ascii="Calibri" w:hAnsi="Calibri" w:cs="Calibri"/>
                <w:bCs/>
                <w:color w:val="auto"/>
                <w:sz w:val="22"/>
                <w:szCs w:val="22"/>
              </w:rPr>
              <w:t xml:space="preserve"> and </w:t>
            </w:r>
            <w:r w:rsidRPr="008D084F">
              <w:rPr>
                <w:rFonts w:ascii="Calibri" w:hAnsi="Calibri" w:cs="Calibri"/>
                <w:bCs/>
                <w:color w:val="auto"/>
                <w:sz w:val="22"/>
                <w:szCs w:val="22"/>
              </w:rPr>
              <w:t xml:space="preserve">when compared with the existing situation it would </w:t>
            </w:r>
            <w:r w:rsidR="0099021E" w:rsidRPr="008D084F">
              <w:rPr>
                <w:rFonts w:ascii="Calibri" w:hAnsi="Calibri" w:cs="Calibri"/>
                <w:bCs/>
                <w:color w:val="auto"/>
                <w:sz w:val="22"/>
                <w:szCs w:val="22"/>
              </w:rPr>
              <w:t>be an improvement.</w:t>
            </w:r>
          </w:p>
          <w:p w14:paraId="3BB4FF91" w14:textId="77777777" w:rsidR="00F815C2" w:rsidRPr="008D084F" w:rsidRDefault="00F815C2" w:rsidP="00F815C2">
            <w:pPr>
              <w:pStyle w:val="Default"/>
              <w:jc w:val="both"/>
              <w:rPr>
                <w:rFonts w:ascii="Calibri" w:hAnsi="Calibri" w:cs="Calibri"/>
                <w:bCs/>
                <w:color w:val="auto"/>
                <w:sz w:val="22"/>
                <w:szCs w:val="22"/>
              </w:rPr>
            </w:pPr>
          </w:p>
          <w:p w14:paraId="5B8EAE8C" w14:textId="443115A0" w:rsidR="00F815C2" w:rsidRDefault="00F239F8" w:rsidP="00F815C2">
            <w:pPr>
              <w:pStyle w:val="Default"/>
              <w:jc w:val="both"/>
              <w:rPr>
                <w:rFonts w:ascii="Calibri" w:hAnsi="Calibri" w:cs="Calibri"/>
                <w:bCs/>
                <w:sz w:val="22"/>
                <w:szCs w:val="22"/>
              </w:rPr>
            </w:pPr>
            <w:r>
              <w:rPr>
                <w:rFonts w:ascii="Calibri" w:hAnsi="Calibri" w:cs="Calibri"/>
                <w:bCs/>
                <w:sz w:val="22"/>
                <w:szCs w:val="22"/>
              </w:rPr>
              <w:t xml:space="preserve">The relation to the proposed annex and garage buildings, they would be located on the footprint of existing domestic structures within the residential curtilage. The proposals would not result in a fundamental increase in built form, although it is acknowledged that overall height of buildings would be raised. </w:t>
            </w:r>
            <w:r w:rsidR="00742670">
              <w:rPr>
                <w:rFonts w:ascii="Calibri" w:hAnsi="Calibri" w:cs="Calibri"/>
                <w:bCs/>
                <w:sz w:val="22"/>
                <w:szCs w:val="22"/>
              </w:rPr>
              <w:t>Following discussion with the applicant, both the proposed annex and garage buildings have been reduced in height by 0.5</w:t>
            </w:r>
            <w:r w:rsidR="00BE78FE">
              <w:rPr>
                <w:rFonts w:ascii="Calibri" w:hAnsi="Calibri" w:cs="Calibri"/>
                <w:bCs/>
                <w:sz w:val="22"/>
                <w:szCs w:val="22"/>
              </w:rPr>
              <w:t>m to 4.5 metres</w:t>
            </w:r>
            <w:r w:rsidR="00742670">
              <w:rPr>
                <w:rFonts w:ascii="Calibri" w:hAnsi="Calibri" w:cs="Calibri"/>
                <w:bCs/>
                <w:sz w:val="22"/>
                <w:szCs w:val="22"/>
              </w:rPr>
              <w:t xml:space="preserve">. </w:t>
            </w:r>
            <w:r>
              <w:rPr>
                <w:rFonts w:ascii="Calibri" w:hAnsi="Calibri" w:cs="Calibri"/>
                <w:bCs/>
                <w:sz w:val="22"/>
                <w:szCs w:val="22"/>
              </w:rPr>
              <w:t xml:space="preserve">The proposed annexe building would be generously sized but clearly subservient to the main four-bed property. The building would be constructed from </w:t>
            </w:r>
            <w:r w:rsidR="003B590C">
              <w:rPr>
                <w:rFonts w:ascii="Calibri" w:hAnsi="Calibri" w:cs="Calibri"/>
                <w:bCs/>
                <w:sz w:val="22"/>
                <w:szCs w:val="22"/>
              </w:rPr>
              <w:t xml:space="preserve">natural local materials to match the main house and would therefore represent an improvement compared with the existing rendered outbuilding. </w:t>
            </w:r>
          </w:p>
          <w:p w14:paraId="09ED7303" w14:textId="7561FAFA" w:rsidR="003B590C" w:rsidRDefault="003B590C" w:rsidP="00F815C2">
            <w:pPr>
              <w:pStyle w:val="Default"/>
              <w:jc w:val="both"/>
              <w:rPr>
                <w:rFonts w:ascii="Calibri" w:hAnsi="Calibri" w:cs="Calibri"/>
                <w:bCs/>
                <w:sz w:val="22"/>
                <w:szCs w:val="22"/>
              </w:rPr>
            </w:pPr>
          </w:p>
          <w:p w14:paraId="4AE62E33" w14:textId="1DADA7C1" w:rsidR="003B590C" w:rsidRPr="00F239F8" w:rsidRDefault="003B590C" w:rsidP="00F815C2">
            <w:pPr>
              <w:pStyle w:val="Default"/>
              <w:jc w:val="both"/>
              <w:rPr>
                <w:rFonts w:ascii="Calibri" w:hAnsi="Calibri" w:cs="Calibri"/>
                <w:bCs/>
                <w:sz w:val="22"/>
                <w:szCs w:val="22"/>
              </w:rPr>
            </w:pPr>
            <w:r>
              <w:rPr>
                <w:rFonts w:ascii="Calibri" w:hAnsi="Calibri" w:cs="Calibri"/>
                <w:bCs/>
                <w:sz w:val="22"/>
                <w:szCs w:val="22"/>
              </w:rPr>
              <w:t>Similarly, the proposed garage would be replaced with a higher quality structure that raises no design concerns.</w:t>
            </w:r>
          </w:p>
          <w:p w14:paraId="5690C56B" w14:textId="77777777" w:rsidR="00F815C2" w:rsidRDefault="00F815C2" w:rsidP="0062273D">
            <w:pPr>
              <w:contextualSpacing/>
              <w:jc w:val="both"/>
              <w:rPr>
                <w:rFonts w:asciiTheme="minorHAnsi" w:hAnsiTheme="minorHAnsi" w:cstheme="minorHAnsi"/>
                <w:bCs/>
                <w:szCs w:val="22"/>
              </w:rPr>
            </w:pPr>
          </w:p>
          <w:p w14:paraId="70B22733" w14:textId="032CF4E9" w:rsidR="008C3A9A" w:rsidRPr="00B24CC4" w:rsidRDefault="003B590C" w:rsidP="003B590C">
            <w:pPr>
              <w:contextualSpacing/>
              <w:jc w:val="both"/>
              <w:rPr>
                <w:rFonts w:asciiTheme="minorHAnsi" w:hAnsiTheme="minorHAnsi" w:cstheme="minorHAnsi"/>
                <w:color w:val="FF0000"/>
                <w:szCs w:val="22"/>
              </w:rPr>
            </w:pPr>
            <w:r>
              <w:rPr>
                <w:rFonts w:asciiTheme="minorHAnsi" w:hAnsiTheme="minorHAnsi" w:cstheme="minorHAnsi"/>
                <w:bCs/>
                <w:szCs w:val="22"/>
              </w:rPr>
              <w:t xml:space="preserve">Taking account of the above, the proposals </w:t>
            </w:r>
            <w:proofErr w:type="gramStart"/>
            <w:r>
              <w:rPr>
                <w:rFonts w:asciiTheme="minorHAnsi" w:hAnsiTheme="minorHAnsi" w:cstheme="minorHAnsi"/>
                <w:bCs/>
                <w:szCs w:val="22"/>
              </w:rPr>
              <w:t>are considered to be</w:t>
            </w:r>
            <w:proofErr w:type="gramEnd"/>
            <w:r>
              <w:rPr>
                <w:rFonts w:asciiTheme="minorHAnsi" w:hAnsiTheme="minorHAnsi" w:cstheme="minorHAnsi"/>
                <w:bCs/>
                <w:szCs w:val="22"/>
              </w:rPr>
              <w:t xml:space="preserve"> acceptable.</w:t>
            </w:r>
          </w:p>
        </w:tc>
      </w:tr>
      <w:tr w:rsidR="003B590C" w:rsidRPr="003B590C" w14:paraId="52C6D3AC"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6398D2" w14:textId="2E56C59B" w:rsidR="00414D55" w:rsidRPr="00D53E32" w:rsidRDefault="00414D55" w:rsidP="00414D55">
            <w:pPr>
              <w:contextualSpacing/>
              <w:jc w:val="both"/>
              <w:rPr>
                <w:rFonts w:asciiTheme="minorHAnsi" w:hAnsiTheme="minorHAnsi" w:cstheme="minorHAnsi"/>
                <w:bCs/>
                <w:szCs w:val="22"/>
              </w:rPr>
            </w:pPr>
            <w:r w:rsidRPr="00D53E32">
              <w:rPr>
                <w:rFonts w:asciiTheme="minorHAnsi" w:hAnsiTheme="minorHAnsi" w:cstheme="minorHAnsi"/>
                <w:b/>
                <w:bCs/>
                <w:szCs w:val="22"/>
              </w:rPr>
              <w:t>Observations/Consideration of Matters Raised/Conclusion</w:t>
            </w:r>
            <w:r w:rsidRPr="00D53E32">
              <w:rPr>
                <w:rFonts w:asciiTheme="minorHAnsi" w:hAnsiTheme="minorHAnsi" w:cstheme="minorHAnsi"/>
                <w:bCs/>
                <w:szCs w:val="22"/>
              </w:rPr>
              <w:t xml:space="preserve"> </w:t>
            </w:r>
          </w:p>
          <w:p w14:paraId="3E21FB34" w14:textId="260FD70A" w:rsidR="008C3A9A" w:rsidRPr="00D53E32" w:rsidRDefault="00414D55" w:rsidP="00414D55">
            <w:pPr>
              <w:contextualSpacing/>
              <w:jc w:val="both"/>
              <w:rPr>
                <w:rFonts w:asciiTheme="minorHAnsi" w:hAnsiTheme="minorHAnsi" w:cstheme="minorHAnsi"/>
                <w:bCs/>
                <w:szCs w:val="22"/>
              </w:rPr>
            </w:pPr>
            <w:r w:rsidRPr="00D53E32">
              <w:rPr>
                <w:rFonts w:asciiTheme="minorHAnsi" w:hAnsiTheme="minorHAnsi" w:cstheme="minorHAnsi"/>
                <w:bCs/>
                <w:szCs w:val="22"/>
              </w:rPr>
              <w:t>No objections have been raised by the County Highways Officer</w:t>
            </w:r>
            <w:r w:rsidR="005578B4" w:rsidRPr="00D53E32">
              <w:rPr>
                <w:rFonts w:asciiTheme="minorHAnsi" w:hAnsiTheme="minorHAnsi" w:cstheme="minorHAnsi"/>
                <w:bCs/>
                <w:szCs w:val="22"/>
              </w:rPr>
              <w:t xml:space="preserve"> subject to a planning condition requiring that the annexe be used only for purposes ancillary to the main dwelling.</w:t>
            </w:r>
          </w:p>
          <w:p w14:paraId="238ADACD" w14:textId="43808216" w:rsidR="008C3A9A" w:rsidRPr="00D53E32" w:rsidRDefault="008C3A9A" w:rsidP="00414D55">
            <w:pPr>
              <w:contextualSpacing/>
              <w:jc w:val="both"/>
              <w:rPr>
                <w:rFonts w:asciiTheme="minorHAnsi" w:hAnsiTheme="minorHAnsi" w:cstheme="minorHAnsi"/>
                <w:bCs/>
                <w:szCs w:val="22"/>
              </w:rPr>
            </w:pPr>
          </w:p>
          <w:p w14:paraId="340B5F9C" w14:textId="66331C47" w:rsidR="007B11DD" w:rsidRPr="00D53E32" w:rsidRDefault="007B11DD" w:rsidP="00414D55">
            <w:pPr>
              <w:contextualSpacing/>
              <w:jc w:val="both"/>
              <w:rPr>
                <w:rFonts w:asciiTheme="minorHAnsi" w:hAnsiTheme="minorHAnsi" w:cstheme="minorHAnsi"/>
                <w:bCs/>
                <w:szCs w:val="22"/>
              </w:rPr>
            </w:pPr>
            <w:r w:rsidRPr="00D53E32">
              <w:rPr>
                <w:rFonts w:asciiTheme="minorHAnsi" w:hAnsiTheme="minorHAnsi" w:cstheme="minorHAnsi"/>
                <w:bCs/>
                <w:szCs w:val="22"/>
              </w:rPr>
              <w:t>It is not considered that the proposals would result in any harm to residential amenity.</w:t>
            </w:r>
          </w:p>
          <w:p w14:paraId="51D0BEE9" w14:textId="77777777" w:rsidR="007B11DD" w:rsidRPr="00D53E32" w:rsidRDefault="007B11DD" w:rsidP="00414D55">
            <w:pPr>
              <w:contextualSpacing/>
              <w:jc w:val="both"/>
              <w:rPr>
                <w:rFonts w:asciiTheme="minorHAnsi" w:hAnsiTheme="minorHAnsi" w:cstheme="minorHAnsi"/>
                <w:bCs/>
                <w:szCs w:val="22"/>
              </w:rPr>
            </w:pPr>
          </w:p>
          <w:p w14:paraId="671C893D" w14:textId="3BEAB795" w:rsidR="00414D55" w:rsidRPr="00D53E32" w:rsidRDefault="00582795" w:rsidP="00414D55">
            <w:pPr>
              <w:contextualSpacing/>
              <w:jc w:val="both"/>
              <w:rPr>
                <w:rFonts w:asciiTheme="minorHAnsi" w:hAnsiTheme="minorHAnsi" w:cstheme="minorHAnsi"/>
                <w:bCs/>
                <w:szCs w:val="22"/>
              </w:rPr>
            </w:pPr>
            <w:r w:rsidRPr="00D53E32">
              <w:rPr>
                <w:rFonts w:asciiTheme="minorHAnsi" w:hAnsiTheme="minorHAnsi" w:cstheme="minorHAnsi"/>
                <w:bCs/>
                <w:szCs w:val="22"/>
              </w:rPr>
              <w:t xml:space="preserve">The application is supported by a Bat </w:t>
            </w:r>
            <w:r w:rsidR="00C46FF5" w:rsidRPr="00D53E32">
              <w:rPr>
                <w:rFonts w:asciiTheme="minorHAnsi" w:hAnsiTheme="minorHAnsi" w:cstheme="minorHAnsi"/>
                <w:bCs/>
                <w:szCs w:val="22"/>
              </w:rPr>
              <w:t xml:space="preserve">Survey Report (ref.6320) </w:t>
            </w:r>
            <w:r w:rsidRPr="00D53E32">
              <w:rPr>
                <w:rFonts w:asciiTheme="minorHAnsi" w:hAnsiTheme="minorHAnsi" w:cstheme="minorHAnsi"/>
                <w:bCs/>
                <w:szCs w:val="22"/>
              </w:rPr>
              <w:t>which found no evidence of bats within the existing building</w:t>
            </w:r>
            <w:r w:rsidR="00C46FF5" w:rsidRPr="00D53E32">
              <w:rPr>
                <w:rFonts w:asciiTheme="minorHAnsi" w:hAnsiTheme="minorHAnsi" w:cstheme="minorHAnsi"/>
                <w:bCs/>
                <w:szCs w:val="22"/>
              </w:rPr>
              <w:t>s. However, it is considered that the area is an optimal location for bat forage habitat. The buildings do not at present provide high quality bat roost habitat and the scheme provides an opportunity to enhance the roost potential</w:t>
            </w:r>
            <w:r w:rsidR="00D53E32" w:rsidRPr="00D53E32">
              <w:rPr>
                <w:rFonts w:asciiTheme="minorHAnsi" w:hAnsiTheme="minorHAnsi" w:cstheme="minorHAnsi"/>
                <w:bCs/>
                <w:szCs w:val="22"/>
              </w:rPr>
              <w:t>. The Survey Report does propose measures including ridge access tiles/slates however further details of these measures would have need to be provided and would be secured through planning condition.</w:t>
            </w:r>
          </w:p>
          <w:p w14:paraId="253A9084" w14:textId="77777777" w:rsidR="009E59D5" w:rsidRPr="003B590C" w:rsidRDefault="009E59D5" w:rsidP="008C3A9A">
            <w:pPr>
              <w:contextualSpacing/>
              <w:jc w:val="both"/>
              <w:rPr>
                <w:rFonts w:asciiTheme="minorHAnsi" w:hAnsiTheme="minorHAnsi" w:cstheme="minorHAnsi"/>
                <w:bCs/>
                <w:color w:val="FF0000"/>
                <w:szCs w:val="22"/>
              </w:rPr>
            </w:pPr>
          </w:p>
        </w:tc>
      </w:tr>
      <w:tr w:rsidR="00D14088" w:rsidRPr="00D14088" w14:paraId="38E0737D" w14:textId="77777777" w:rsidTr="00C70DC7">
        <w:trPr>
          <w:gridAfter w:val="1"/>
          <w:wAfter w:w="79" w:type="dxa"/>
          <w:jc w:val="center"/>
        </w:trPr>
        <w:tc>
          <w:tcPr>
            <w:tcW w:w="927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CAAFBF" w14:textId="28A16388" w:rsidR="008C3A9A" w:rsidRPr="00D14088" w:rsidRDefault="008C3A9A" w:rsidP="008C3A9A">
            <w:pPr>
              <w:contextualSpacing/>
              <w:jc w:val="both"/>
              <w:rPr>
                <w:rFonts w:asciiTheme="minorHAnsi" w:hAnsiTheme="minorHAnsi" w:cstheme="minorHAnsi"/>
                <w:b/>
                <w:szCs w:val="22"/>
              </w:rPr>
            </w:pPr>
            <w:r w:rsidRPr="00D14088">
              <w:rPr>
                <w:rFonts w:asciiTheme="minorHAnsi" w:hAnsiTheme="minorHAnsi" w:cstheme="minorHAnsi"/>
                <w:b/>
                <w:szCs w:val="22"/>
              </w:rPr>
              <w:lastRenderedPageBreak/>
              <w:t>Conclusion:</w:t>
            </w:r>
          </w:p>
          <w:p w14:paraId="2772FDF3" w14:textId="47328E62" w:rsidR="00D14088" w:rsidRPr="00D14088" w:rsidRDefault="008C3A9A" w:rsidP="007B11DD">
            <w:pPr>
              <w:contextualSpacing/>
              <w:jc w:val="both"/>
              <w:rPr>
                <w:rFonts w:asciiTheme="minorHAnsi" w:hAnsiTheme="minorHAnsi" w:cstheme="minorHAnsi"/>
                <w:bCs/>
                <w:szCs w:val="22"/>
              </w:rPr>
            </w:pPr>
            <w:r w:rsidRPr="00D14088">
              <w:rPr>
                <w:rFonts w:asciiTheme="minorHAnsi" w:hAnsiTheme="minorHAnsi" w:cstheme="minorHAnsi"/>
                <w:bCs/>
                <w:szCs w:val="22"/>
              </w:rPr>
              <w:t xml:space="preserve">Considering </w:t>
            </w:r>
            <w:r w:rsidR="00DE1D84" w:rsidRPr="00D14088">
              <w:rPr>
                <w:rFonts w:asciiTheme="minorHAnsi" w:hAnsiTheme="minorHAnsi" w:cstheme="minorHAnsi"/>
                <w:bCs/>
                <w:szCs w:val="22"/>
              </w:rPr>
              <w:t>all</w:t>
            </w:r>
            <w:r w:rsidRPr="00D14088">
              <w:rPr>
                <w:rFonts w:asciiTheme="minorHAnsi" w:hAnsiTheme="minorHAnsi" w:cstheme="minorHAnsi"/>
                <w:bCs/>
                <w:szCs w:val="22"/>
              </w:rPr>
              <w:t xml:space="preserve"> the above, the proposed development would result </w:t>
            </w:r>
            <w:r w:rsidR="007B11DD" w:rsidRPr="00D14088">
              <w:rPr>
                <w:rFonts w:asciiTheme="minorHAnsi" w:hAnsiTheme="minorHAnsi" w:cstheme="minorHAnsi"/>
                <w:bCs/>
                <w:szCs w:val="22"/>
              </w:rPr>
              <w:t>in the provision of</w:t>
            </w:r>
            <w:r w:rsidR="00D14088" w:rsidRPr="00D14088">
              <w:rPr>
                <w:rFonts w:asciiTheme="minorHAnsi" w:hAnsiTheme="minorHAnsi" w:cstheme="minorHAnsi"/>
                <w:bCs/>
                <w:szCs w:val="22"/>
              </w:rPr>
              <w:t xml:space="preserve"> </w:t>
            </w:r>
            <w:r w:rsidR="007B11DD" w:rsidRPr="00D14088">
              <w:rPr>
                <w:rFonts w:asciiTheme="minorHAnsi" w:hAnsiTheme="minorHAnsi" w:cstheme="minorHAnsi"/>
                <w:bCs/>
                <w:szCs w:val="22"/>
              </w:rPr>
              <w:t xml:space="preserve">new </w:t>
            </w:r>
            <w:r w:rsidR="00D14088" w:rsidRPr="00D14088">
              <w:rPr>
                <w:rFonts w:asciiTheme="minorHAnsi" w:hAnsiTheme="minorHAnsi" w:cstheme="minorHAnsi"/>
                <w:bCs/>
                <w:szCs w:val="22"/>
              </w:rPr>
              <w:t xml:space="preserve">extension and </w:t>
            </w:r>
            <w:r w:rsidR="007B11DD" w:rsidRPr="00D14088">
              <w:rPr>
                <w:rFonts w:asciiTheme="minorHAnsi" w:hAnsiTheme="minorHAnsi" w:cstheme="minorHAnsi"/>
                <w:bCs/>
                <w:szCs w:val="22"/>
              </w:rPr>
              <w:t>outbuilding</w:t>
            </w:r>
            <w:r w:rsidR="00D14088" w:rsidRPr="00D14088">
              <w:rPr>
                <w:rFonts w:asciiTheme="minorHAnsi" w:hAnsiTheme="minorHAnsi" w:cstheme="minorHAnsi"/>
                <w:bCs/>
                <w:szCs w:val="22"/>
              </w:rPr>
              <w:t>s</w:t>
            </w:r>
            <w:r w:rsidR="007B11DD" w:rsidRPr="00D14088">
              <w:rPr>
                <w:rFonts w:asciiTheme="minorHAnsi" w:hAnsiTheme="minorHAnsi" w:cstheme="minorHAnsi"/>
                <w:bCs/>
                <w:szCs w:val="22"/>
              </w:rPr>
              <w:t xml:space="preserve"> that </w:t>
            </w:r>
            <w:r w:rsidR="00D14088" w:rsidRPr="00D14088">
              <w:rPr>
                <w:rFonts w:asciiTheme="minorHAnsi" w:hAnsiTheme="minorHAnsi" w:cstheme="minorHAnsi"/>
                <w:bCs/>
                <w:szCs w:val="22"/>
              </w:rPr>
              <w:t xml:space="preserve">would </w:t>
            </w:r>
            <w:r w:rsidR="007B11DD" w:rsidRPr="00D14088">
              <w:rPr>
                <w:rFonts w:asciiTheme="minorHAnsi" w:hAnsiTheme="minorHAnsi" w:cstheme="minorHAnsi"/>
                <w:bCs/>
                <w:szCs w:val="22"/>
              </w:rPr>
              <w:t>be subordinate to the main property</w:t>
            </w:r>
            <w:r w:rsidR="00D14088" w:rsidRPr="00D14088">
              <w:rPr>
                <w:rFonts w:asciiTheme="minorHAnsi" w:hAnsiTheme="minorHAnsi" w:cstheme="minorHAnsi"/>
                <w:bCs/>
                <w:szCs w:val="22"/>
              </w:rPr>
              <w:t>. The proposal would result in the removal of existing unsightly buildings and their replacement with high quality natural stone replacements that would complement the appearance of the main farmhouse building.</w:t>
            </w:r>
          </w:p>
          <w:p w14:paraId="6A8E672F" w14:textId="77777777" w:rsidR="00D14088" w:rsidRPr="00D14088" w:rsidRDefault="00D14088" w:rsidP="007B11DD">
            <w:pPr>
              <w:contextualSpacing/>
              <w:jc w:val="both"/>
              <w:rPr>
                <w:rFonts w:asciiTheme="minorHAnsi" w:hAnsiTheme="minorHAnsi" w:cstheme="minorHAnsi"/>
                <w:bCs/>
                <w:szCs w:val="22"/>
              </w:rPr>
            </w:pPr>
          </w:p>
          <w:p w14:paraId="2126F706" w14:textId="77777777" w:rsidR="007B11DD" w:rsidRPr="00D14088" w:rsidRDefault="00D14088" w:rsidP="00D14088">
            <w:pPr>
              <w:contextualSpacing/>
              <w:jc w:val="both"/>
              <w:rPr>
                <w:rFonts w:asciiTheme="minorHAnsi" w:hAnsiTheme="minorHAnsi" w:cstheme="minorHAnsi"/>
                <w:bCs/>
                <w:szCs w:val="22"/>
              </w:rPr>
            </w:pPr>
            <w:r w:rsidRPr="00D14088">
              <w:rPr>
                <w:rFonts w:asciiTheme="minorHAnsi" w:hAnsiTheme="minorHAnsi" w:cstheme="minorHAnsi"/>
                <w:bCs/>
                <w:szCs w:val="22"/>
              </w:rPr>
              <w:t>It is recommended that the application be approved subject to conditions.</w:t>
            </w:r>
          </w:p>
          <w:p w14:paraId="3879EF5C" w14:textId="6FCCDC29" w:rsidR="00D14088" w:rsidRPr="00D14088" w:rsidRDefault="00D14088" w:rsidP="00D14088">
            <w:pPr>
              <w:contextualSpacing/>
              <w:jc w:val="both"/>
              <w:rPr>
                <w:rFonts w:asciiTheme="minorHAnsi" w:hAnsiTheme="minorHAnsi" w:cstheme="minorHAnsi"/>
                <w:b/>
                <w:bCs/>
                <w:szCs w:val="22"/>
              </w:rPr>
            </w:pPr>
          </w:p>
        </w:tc>
      </w:tr>
      <w:tr w:rsidR="00E70D59" w14:paraId="01719B0F" w14:textId="77777777" w:rsidTr="00E70D59">
        <w:trPr>
          <w:jc w:val="center"/>
        </w:trPr>
        <w:tc>
          <w:tcPr>
            <w:tcW w:w="26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14:paraId="30B33E68" w14:textId="77777777" w:rsidR="00E70D59" w:rsidRPr="00D14088" w:rsidRDefault="00E70D59">
            <w:pPr>
              <w:rPr>
                <w:rFonts w:asciiTheme="minorHAnsi" w:hAnsiTheme="minorHAnsi" w:cstheme="minorHAnsi"/>
                <w:b/>
                <w:bCs/>
              </w:rPr>
            </w:pPr>
            <w:r w:rsidRPr="00D14088">
              <w:rPr>
                <w:rFonts w:asciiTheme="minorHAnsi" w:hAnsiTheme="minorHAnsi" w:cstheme="minorHAnsi"/>
                <w:b/>
              </w:rPr>
              <w:t>RECOMMENDATION</w:t>
            </w:r>
            <w:r w:rsidRPr="00D14088">
              <w:rPr>
                <w:rFonts w:asciiTheme="minorHAnsi" w:hAnsiTheme="minorHAnsi" w:cstheme="minorHAnsi"/>
              </w:rPr>
              <w:t>:</w:t>
            </w:r>
          </w:p>
        </w:tc>
        <w:tc>
          <w:tcPr>
            <w:tcW w:w="673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6DFC36" w14:textId="033446C1" w:rsidR="00E70D59" w:rsidRPr="00D14088" w:rsidRDefault="00E70D59">
            <w:pPr>
              <w:rPr>
                <w:rFonts w:asciiTheme="minorHAnsi" w:hAnsiTheme="minorHAnsi" w:cstheme="minorHAnsi"/>
                <w:bCs/>
              </w:rPr>
            </w:pPr>
            <w:r w:rsidRPr="00D14088">
              <w:rPr>
                <w:rFonts w:asciiTheme="minorHAnsi" w:hAnsiTheme="minorHAnsi" w:cstheme="minorHAnsi"/>
                <w:bCs/>
              </w:rPr>
              <w:t xml:space="preserve">That planning consent be </w:t>
            </w:r>
            <w:r w:rsidR="00D14088" w:rsidRPr="00D14088">
              <w:rPr>
                <w:rFonts w:asciiTheme="minorHAnsi" w:hAnsiTheme="minorHAnsi" w:cstheme="minorHAnsi"/>
                <w:bCs/>
              </w:rPr>
              <w:t>granted.</w:t>
            </w:r>
          </w:p>
        </w:tc>
      </w:tr>
    </w:tbl>
    <w:p w14:paraId="1239F588" w14:textId="77777777" w:rsidR="0031197A" w:rsidRPr="00497B71" w:rsidRDefault="00F005FD">
      <w:pPr>
        <w:rPr>
          <w:rFonts w:asciiTheme="minorHAnsi" w:hAnsiTheme="minorHAnsi" w:cstheme="minorHAnsi"/>
          <w:szCs w:val="22"/>
        </w:rPr>
      </w:pPr>
    </w:p>
    <w:sectPr w:rsidR="0031197A" w:rsidRPr="00497B71" w:rsidSect="00D2449B">
      <w:headerReference w:type="even" r:id="rId9"/>
      <w:headerReference w:type="default" r:id="rId10"/>
      <w:footerReference w:type="even" r:id="rId11"/>
      <w:footerReference w:type="default" r:id="rId12"/>
      <w:headerReference w:type="first" r:id="rId13"/>
      <w:footerReference w:type="first" r:id="rId14"/>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FACB4" w14:textId="77777777" w:rsidR="00187AE1" w:rsidRDefault="00187AE1" w:rsidP="00187AE1">
      <w:r>
        <w:separator/>
      </w:r>
    </w:p>
  </w:endnote>
  <w:endnote w:type="continuationSeparator" w:id="0">
    <w:p w14:paraId="3B5A75F9" w14:textId="77777777" w:rsidR="00187AE1" w:rsidRDefault="00187AE1" w:rsidP="0018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C9B4" w14:textId="77777777" w:rsidR="00187AE1" w:rsidRDefault="00187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9729" w14:textId="77777777" w:rsidR="00187AE1" w:rsidRDefault="00187A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827E" w14:textId="77777777" w:rsidR="00187AE1" w:rsidRDefault="00187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B2FF" w14:textId="77777777" w:rsidR="00187AE1" w:rsidRDefault="00187AE1" w:rsidP="00187AE1">
      <w:r>
        <w:separator/>
      </w:r>
    </w:p>
  </w:footnote>
  <w:footnote w:type="continuationSeparator" w:id="0">
    <w:p w14:paraId="22FA827F" w14:textId="77777777" w:rsidR="00187AE1" w:rsidRDefault="00187AE1" w:rsidP="0018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3734" w14:textId="77777777" w:rsidR="00187AE1" w:rsidRDefault="00187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5D56" w14:textId="77777777" w:rsidR="00187AE1" w:rsidRDefault="00187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29813" w14:textId="77777777" w:rsidR="00187AE1" w:rsidRDefault="00187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03D96"/>
    <w:multiLevelType w:val="multilevel"/>
    <w:tmpl w:val="C3A4E0E0"/>
    <w:lvl w:ilvl="0">
      <w:start w:val="1"/>
      <w:numFmt w:val="decimal"/>
      <w:lvlText w:val="%1."/>
      <w:lvlJc w:val="left"/>
      <w:pPr>
        <w:ind w:left="357" w:hanging="357"/>
      </w:pPr>
      <w:rPr>
        <w:rFonts w:ascii="Calibri" w:hAnsi="Calibri" w:hint="default"/>
        <w:b/>
      </w:rPr>
    </w:lvl>
    <w:lvl w:ilvl="1">
      <w:start w:val="1"/>
      <w:numFmt w:val="decimal"/>
      <w:isLgl/>
      <w:lvlText w:val="%1.%2"/>
      <w:lvlJc w:val="left"/>
      <w:pPr>
        <w:ind w:left="737" w:hanging="377"/>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08D08FA"/>
    <w:multiLevelType w:val="hybridMultilevel"/>
    <w:tmpl w:val="C764C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F4337"/>
    <w:multiLevelType w:val="hybridMultilevel"/>
    <w:tmpl w:val="AFC6EC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935DF"/>
    <w:multiLevelType w:val="hybridMultilevel"/>
    <w:tmpl w:val="D8CE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402DF"/>
    <w:multiLevelType w:val="hybridMultilevel"/>
    <w:tmpl w:val="BCB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D26FE"/>
    <w:multiLevelType w:val="hybridMultilevel"/>
    <w:tmpl w:val="1776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8D33AC"/>
    <w:multiLevelType w:val="hybridMultilevel"/>
    <w:tmpl w:val="3A94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5065C"/>
    <w:multiLevelType w:val="hybridMultilevel"/>
    <w:tmpl w:val="BCB4C870"/>
    <w:lvl w:ilvl="0" w:tplc="AE14B344">
      <w:start w:val="1"/>
      <w:numFmt w:val="decimal"/>
      <w:lvlText w:val="%1."/>
      <w:lvlJc w:val="left"/>
      <w:pPr>
        <w:ind w:left="842" w:hanging="360"/>
      </w:pPr>
      <w:rPr>
        <w:rFonts w:hint="default"/>
      </w:rPr>
    </w:lvl>
    <w:lvl w:ilvl="1" w:tplc="08090019" w:tentative="1">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8" w15:restartNumberingAfterBreak="0">
    <w:nsid w:val="64F73045"/>
    <w:multiLevelType w:val="multilevel"/>
    <w:tmpl w:val="FC32D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FE689D"/>
    <w:multiLevelType w:val="hybridMultilevel"/>
    <w:tmpl w:val="5DBA11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4"/>
  </w:num>
  <w:num w:numId="5">
    <w:abstractNumId w:val="3"/>
  </w:num>
  <w:num w:numId="6">
    <w:abstractNumId w:val="0"/>
  </w:num>
  <w:num w:numId="7">
    <w:abstractNumId w:val="7"/>
  </w:num>
  <w:num w:numId="8">
    <w:abstractNumId w:val="1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50DB"/>
    <w:rsid w:val="00034292"/>
    <w:rsid w:val="00046091"/>
    <w:rsid w:val="000528D9"/>
    <w:rsid w:val="00062C93"/>
    <w:rsid w:val="00074FA5"/>
    <w:rsid w:val="00090B2F"/>
    <w:rsid w:val="00091C95"/>
    <w:rsid w:val="000A1BF2"/>
    <w:rsid w:val="000B53F8"/>
    <w:rsid w:val="000C0BBB"/>
    <w:rsid w:val="000E53BA"/>
    <w:rsid w:val="000F3B07"/>
    <w:rsid w:val="00104428"/>
    <w:rsid w:val="00106581"/>
    <w:rsid w:val="00107606"/>
    <w:rsid w:val="00113FA7"/>
    <w:rsid w:val="001258C5"/>
    <w:rsid w:val="00125C06"/>
    <w:rsid w:val="00142702"/>
    <w:rsid w:val="00167B63"/>
    <w:rsid w:val="00185A69"/>
    <w:rsid w:val="00187AE1"/>
    <w:rsid w:val="00191BA8"/>
    <w:rsid w:val="001966C4"/>
    <w:rsid w:val="001A4E02"/>
    <w:rsid w:val="001B3BDE"/>
    <w:rsid w:val="001C0315"/>
    <w:rsid w:val="001C1A29"/>
    <w:rsid w:val="001C2E97"/>
    <w:rsid w:val="001D4F7A"/>
    <w:rsid w:val="001E390F"/>
    <w:rsid w:val="001E5B42"/>
    <w:rsid w:val="001E733E"/>
    <w:rsid w:val="001E7751"/>
    <w:rsid w:val="00201DEE"/>
    <w:rsid w:val="002028AF"/>
    <w:rsid w:val="00203726"/>
    <w:rsid w:val="002045CE"/>
    <w:rsid w:val="002048EE"/>
    <w:rsid w:val="00207DB5"/>
    <w:rsid w:val="00211ED0"/>
    <w:rsid w:val="00212077"/>
    <w:rsid w:val="00215A7E"/>
    <w:rsid w:val="00216ED4"/>
    <w:rsid w:val="00222915"/>
    <w:rsid w:val="002262C5"/>
    <w:rsid w:val="002369B7"/>
    <w:rsid w:val="00250879"/>
    <w:rsid w:val="002546A1"/>
    <w:rsid w:val="00254ED1"/>
    <w:rsid w:val="00257EF2"/>
    <w:rsid w:val="00260168"/>
    <w:rsid w:val="00261582"/>
    <w:rsid w:val="002722A8"/>
    <w:rsid w:val="0029334A"/>
    <w:rsid w:val="002A01CF"/>
    <w:rsid w:val="002B6267"/>
    <w:rsid w:val="002C0855"/>
    <w:rsid w:val="002C194B"/>
    <w:rsid w:val="002C657D"/>
    <w:rsid w:val="002E145A"/>
    <w:rsid w:val="002E6D68"/>
    <w:rsid w:val="003142DC"/>
    <w:rsid w:val="00341766"/>
    <w:rsid w:val="00350158"/>
    <w:rsid w:val="003540F5"/>
    <w:rsid w:val="003617BA"/>
    <w:rsid w:val="00366992"/>
    <w:rsid w:val="00374D3A"/>
    <w:rsid w:val="003866E4"/>
    <w:rsid w:val="00386DBF"/>
    <w:rsid w:val="003945D0"/>
    <w:rsid w:val="003A04C3"/>
    <w:rsid w:val="003A678E"/>
    <w:rsid w:val="003B084B"/>
    <w:rsid w:val="003B590C"/>
    <w:rsid w:val="003B7144"/>
    <w:rsid w:val="003C181D"/>
    <w:rsid w:val="003C5FDB"/>
    <w:rsid w:val="003E2B1F"/>
    <w:rsid w:val="003F0C1C"/>
    <w:rsid w:val="003F3E2D"/>
    <w:rsid w:val="003F4883"/>
    <w:rsid w:val="003F60FA"/>
    <w:rsid w:val="00410D27"/>
    <w:rsid w:val="00410EEC"/>
    <w:rsid w:val="00412EF5"/>
    <w:rsid w:val="00414D55"/>
    <w:rsid w:val="00416658"/>
    <w:rsid w:val="00427FD9"/>
    <w:rsid w:val="004319EE"/>
    <w:rsid w:val="004412A4"/>
    <w:rsid w:val="00443CE7"/>
    <w:rsid w:val="004465CC"/>
    <w:rsid w:val="0045013F"/>
    <w:rsid w:val="00465FDB"/>
    <w:rsid w:val="004707B8"/>
    <w:rsid w:val="00471A14"/>
    <w:rsid w:val="00477DEA"/>
    <w:rsid w:val="00492ACC"/>
    <w:rsid w:val="00497B71"/>
    <w:rsid w:val="004A5EA9"/>
    <w:rsid w:val="004A7A29"/>
    <w:rsid w:val="004A7CE5"/>
    <w:rsid w:val="004B0AE1"/>
    <w:rsid w:val="004B0D01"/>
    <w:rsid w:val="004B3427"/>
    <w:rsid w:val="004B6013"/>
    <w:rsid w:val="004C2434"/>
    <w:rsid w:val="004D1691"/>
    <w:rsid w:val="004D260E"/>
    <w:rsid w:val="004D2A59"/>
    <w:rsid w:val="004D2E26"/>
    <w:rsid w:val="004D3D0A"/>
    <w:rsid w:val="004D5E3C"/>
    <w:rsid w:val="004F0649"/>
    <w:rsid w:val="004F3DA0"/>
    <w:rsid w:val="004F690F"/>
    <w:rsid w:val="004F739A"/>
    <w:rsid w:val="005023B2"/>
    <w:rsid w:val="0050762E"/>
    <w:rsid w:val="00510BA5"/>
    <w:rsid w:val="00512871"/>
    <w:rsid w:val="00512D69"/>
    <w:rsid w:val="0053012E"/>
    <w:rsid w:val="00534B7C"/>
    <w:rsid w:val="00545E9E"/>
    <w:rsid w:val="00552A8C"/>
    <w:rsid w:val="005578B4"/>
    <w:rsid w:val="00557CFF"/>
    <w:rsid w:val="005658EB"/>
    <w:rsid w:val="00573864"/>
    <w:rsid w:val="00582795"/>
    <w:rsid w:val="005835D5"/>
    <w:rsid w:val="00584246"/>
    <w:rsid w:val="00594478"/>
    <w:rsid w:val="00595E61"/>
    <w:rsid w:val="005A2B94"/>
    <w:rsid w:val="005A55BA"/>
    <w:rsid w:val="005D2846"/>
    <w:rsid w:val="005D7447"/>
    <w:rsid w:val="005D7D50"/>
    <w:rsid w:val="005E5723"/>
    <w:rsid w:val="005E65DF"/>
    <w:rsid w:val="00613702"/>
    <w:rsid w:val="00617A5D"/>
    <w:rsid w:val="006217BC"/>
    <w:rsid w:val="0062273D"/>
    <w:rsid w:val="00625DBF"/>
    <w:rsid w:val="00647CCC"/>
    <w:rsid w:val="006601A7"/>
    <w:rsid w:val="00663DD8"/>
    <w:rsid w:val="00667229"/>
    <w:rsid w:val="0067622D"/>
    <w:rsid w:val="00676A5C"/>
    <w:rsid w:val="00681961"/>
    <w:rsid w:val="00686F3B"/>
    <w:rsid w:val="00692B60"/>
    <w:rsid w:val="00693092"/>
    <w:rsid w:val="006A74FE"/>
    <w:rsid w:val="006B013E"/>
    <w:rsid w:val="006B1CE6"/>
    <w:rsid w:val="006B78B8"/>
    <w:rsid w:val="006C2BFA"/>
    <w:rsid w:val="006D14EA"/>
    <w:rsid w:val="006E1850"/>
    <w:rsid w:val="006E1E39"/>
    <w:rsid w:val="006E35C8"/>
    <w:rsid w:val="006E773A"/>
    <w:rsid w:val="006F1224"/>
    <w:rsid w:val="006F4F42"/>
    <w:rsid w:val="0070054B"/>
    <w:rsid w:val="00710C74"/>
    <w:rsid w:val="00710E68"/>
    <w:rsid w:val="00711FCE"/>
    <w:rsid w:val="007152A2"/>
    <w:rsid w:val="00722920"/>
    <w:rsid w:val="0072405C"/>
    <w:rsid w:val="0073498B"/>
    <w:rsid w:val="00741B27"/>
    <w:rsid w:val="0074247B"/>
    <w:rsid w:val="00742670"/>
    <w:rsid w:val="00750C94"/>
    <w:rsid w:val="00762D4F"/>
    <w:rsid w:val="00776AE2"/>
    <w:rsid w:val="007B11DD"/>
    <w:rsid w:val="007B37BF"/>
    <w:rsid w:val="007B7EAE"/>
    <w:rsid w:val="007C4EAC"/>
    <w:rsid w:val="007C5AC9"/>
    <w:rsid w:val="007D43ED"/>
    <w:rsid w:val="007D7DF4"/>
    <w:rsid w:val="007E0D23"/>
    <w:rsid w:val="007E3039"/>
    <w:rsid w:val="007E620A"/>
    <w:rsid w:val="007F0339"/>
    <w:rsid w:val="007F0DCF"/>
    <w:rsid w:val="007F4AA7"/>
    <w:rsid w:val="007F74F1"/>
    <w:rsid w:val="008003F6"/>
    <w:rsid w:val="00802D80"/>
    <w:rsid w:val="0081262B"/>
    <w:rsid w:val="0081617C"/>
    <w:rsid w:val="00825593"/>
    <w:rsid w:val="00832119"/>
    <w:rsid w:val="0085024A"/>
    <w:rsid w:val="008650B8"/>
    <w:rsid w:val="008849D4"/>
    <w:rsid w:val="00886285"/>
    <w:rsid w:val="008A28C8"/>
    <w:rsid w:val="008C3A9A"/>
    <w:rsid w:val="008C59EE"/>
    <w:rsid w:val="008D084F"/>
    <w:rsid w:val="008E3EAA"/>
    <w:rsid w:val="008F20AB"/>
    <w:rsid w:val="00906610"/>
    <w:rsid w:val="00906E16"/>
    <w:rsid w:val="00922051"/>
    <w:rsid w:val="00927EC7"/>
    <w:rsid w:val="00933FA1"/>
    <w:rsid w:val="009551DC"/>
    <w:rsid w:val="00965E35"/>
    <w:rsid w:val="00967F8B"/>
    <w:rsid w:val="009719C4"/>
    <w:rsid w:val="00971CD5"/>
    <w:rsid w:val="00972FC8"/>
    <w:rsid w:val="00980097"/>
    <w:rsid w:val="00981BF4"/>
    <w:rsid w:val="00985577"/>
    <w:rsid w:val="0099021E"/>
    <w:rsid w:val="00991008"/>
    <w:rsid w:val="009A1080"/>
    <w:rsid w:val="009C194C"/>
    <w:rsid w:val="009C52F8"/>
    <w:rsid w:val="009D1DC8"/>
    <w:rsid w:val="009D373F"/>
    <w:rsid w:val="009E59D5"/>
    <w:rsid w:val="00A00C58"/>
    <w:rsid w:val="00A0728B"/>
    <w:rsid w:val="00A077B8"/>
    <w:rsid w:val="00A1162A"/>
    <w:rsid w:val="00A142D4"/>
    <w:rsid w:val="00A250AA"/>
    <w:rsid w:val="00A25CE1"/>
    <w:rsid w:val="00A320B8"/>
    <w:rsid w:val="00A40A76"/>
    <w:rsid w:val="00A410F1"/>
    <w:rsid w:val="00A51454"/>
    <w:rsid w:val="00A5168F"/>
    <w:rsid w:val="00A51B70"/>
    <w:rsid w:val="00A579BB"/>
    <w:rsid w:val="00A63D55"/>
    <w:rsid w:val="00A80D8A"/>
    <w:rsid w:val="00A83EB4"/>
    <w:rsid w:val="00A92B6A"/>
    <w:rsid w:val="00A95D89"/>
    <w:rsid w:val="00AA03AF"/>
    <w:rsid w:val="00AB2B5A"/>
    <w:rsid w:val="00AB5A42"/>
    <w:rsid w:val="00AB6F91"/>
    <w:rsid w:val="00AC0BAB"/>
    <w:rsid w:val="00AC1360"/>
    <w:rsid w:val="00AD53DA"/>
    <w:rsid w:val="00AE24C4"/>
    <w:rsid w:val="00AE735A"/>
    <w:rsid w:val="00AE7AA5"/>
    <w:rsid w:val="00B04421"/>
    <w:rsid w:val="00B0607D"/>
    <w:rsid w:val="00B121D6"/>
    <w:rsid w:val="00B15193"/>
    <w:rsid w:val="00B17C19"/>
    <w:rsid w:val="00B24CC4"/>
    <w:rsid w:val="00B3007C"/>
    <w:rsid w:val="00B51BD9"/>
    <w:rsid w:val="00B53253"/>
    <w:rsid w:val="00B623DB"/>
    <w:rsid w:val="00B7476B"/>
    <w:rsid w:val="00B82797"/>
    <w:rsid w:val="00B86CB5"/>
    <w:rsid w:val="00B900C0"/>
    <w:rsid w:val="00B95532"/>
    <w:rsid w:val="00BA0137"/>
    <w:rsid w:val="00BA568A"/>
    <w:rsid w:val="00BA7ECE"/>
    <w:rsid w:val="00BA7FE5"/>
    <w:rsid w:val="00BC475C"/>
    <w:rsid w:val="00BC7EC0"/>
    <w:rsid w:val="00BD3F03"/>
    <w:rsid w:val="00BE78FE"/>
    <w:rsid w:val="00BF06AA"/>
    <w:rsid w:val="00BF61D6"/>
    <w:rsid w:val="00C10466"/>
    <w:rsid w:val="00C2051A"/>
    <w:rsid w:val="00C243FE"/>
    <w:rsid w:val="00C330C9"/>
    <w:rsid w:val="00C41217"/>
    <w:rsid w:val="00C46FF5"/>
    <w:rsid w:val="00C47D02"/>
    <w:rsid w:val="00C53087"/>
    <w:rsid w:val="00C55E69"/>
    <w:rsid w:val="00C618DB"/>
    <w:rsid w:val="00C64367"/>
    <w:rsid w:val="00C70DC7"/>
    <w:rsid w:val="00C7166A"/>
    <w:rsid w:val="00C85D22"/>
    <w:rsid w:val="00C85FE1"/>
    <w:rsid w:val="00C974F0"/>
    <w:rsid w:val="00CA4E83"/>
    <w:rsid w:val="00CA6219"/>
    <w:rsid w:val="00CC2F00"/>
    <w:rsid w:val="00CC49F7"/>
    <w:rsid w:val="00CD1376"/>
    <w:rsid w:val="00CE2EA7"/>
    <w:rsid w:val="00CF6EBD"/>
    <w:rsid w:val="00D04A40"/>
    <w:rsid w:val="00D11007"/>
    <w:rsid w:val="00D14088"/>
    <w:rsid w:val="00D14FFE"/>
    <w:rsid w:val="00D176EA"/>
    <w:rsid w:val="00D2449B"/>
    <w:rsid w:val="00D33078"/>
    <w:rsid w:val="00D36B4B"/>
    <w:rsid w:val="00D53E32"/>
    <w:rsid w:val="00D662EB"/>
    <w:rsid w:val="00D76A9E"/>
    <w:rsid w:val="00D93E00"/>
    <w:rsid w:val="00D95214"/>
    <w:rsid w:val="00DA1A1B"/>
    <w:rsid w:val="00DB0CC2"/>
    <w:rsid w:val="00DB572A"/>
    <w:rsid w:val="00DC1569"/>
    <w:rsid w:val="00DD62F6"/>
    <w:rsid w:val="00DE0862"/>
    <w:rsid w:val="00DE1D84"/>
    <w:rsid w:val="00DF2F39"/>
    <w:rsid w:val="00E00CBD"/>
    <w:rsid w:val="00E04447"/>
    <w:rsid w:val="00E14023"/>
    <w:rsid w:val="00E16EA2"/>
    <w:rsid w:val="00E241B0"/>
    <w:rsid w:val="00E253F1"/>
    <w:rsid w:val="00E327CB"/>
    <w:rsid w:val="00E440FD"/>
    <w:rsid w:val="00E52DF6"/>
    <w:rsid w:val="00E542DD"/>
    <w:rsid w:val="00E61D1A"/>
    <w:rsid w:val="00E66534"/>
    <w:rsid w:val="00E70D59"/>
    <w:rsid w:val="00E86218"/>
    <w:rsid w:val="00E97EC8"/>
    <w:rsid w:val="00EA09F9"/>
    <w:rsid w:val="00EA3D4F"/>
    <w:rsid w:val="00EA76B2"/>
    <w:rsid w:val="00EB4D2A"/>
    <w:rsid w:val="00EC23C7"/>
    <w:rsid w:val="00EE00A3"/>
    <w:rsid w:val="00EE035A"/>
    <w:rsid w:val="00EF1747"/>
    <w:rsid w:val="00EF23E4"/>
    <w:rsid w:val="00EF2B6E"/>
    <w:rsid w:val="00F005FD"/>
    <w:rsid w:val="00F20450"/>
    <w:rsid w:val="00F22639"/>
    <w:rsid w:val="00F239F8"/>
    <w:rsid w:val="00F52C46"/>
    <w:rsid w:val="00F63E99"/>
    <w:rsid w:val="00F705E8"/>
    <w:rsid w:val="00F758F3"/>
    <w:rsid w:val="00F815C2"/>
    <w:rsid w:val="00F81D00"/>
    <w:rsid w:val="00FA1678"/>
    <w:rsid w:val="00FA420B"/>
    <w:rsid w:val="00FA60A1"/>
    <w:rsid w:val="00FB1D9F"/>
    <w:rsid w:val="00FB3734"/>
    <w:rsid w:val="00FB491A"/>
    <w:rsid w:val="00FB65A6"/>
    <w:rsid w:val="00FD1B1A"/>
    <w:rsid w:val="00FD441A"/>
    <w:rsid w:val="00FE1888"/>
    <w:rsid w:val="00FE1EE4"/>
    <w:rsid w:val="00FE3471"/>
    <w:rsid w:val="00FE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9667FB8"/>
  <w15:docId w15:val="{FBC42CD0-63AE-4133-BB91-41FA9A4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F22639"/>
    <w:pPr>
      <w:autoSpaceDE w:val="0"/>
      <w:autoSpaceDN w:val="0"/>
      <w:adjustRightInd w:val="0"/>
      <w:spacing w:after="0" w:line="240" w:lineRule="auto"/>
    </w:pPr>
    <w:rPr>
      <w:rFonts w:ascii="Arial" w:hAnsi="Arial" w:cs="Arial"/>
      <w:color w:val="000000"/>
      <w:sz w:val="24"/>
      <w:szCs w:val="24"/>
    </w:rPr>
  </w:style>
  <w:style w:type="character" w:styleId="Strong">
    <w:name w:val="Strong"/>
    <w:uiPriority w:val="22"/>
    <w:qFormat/>
    <w:rsid w:val="00C85D22"/>
    <w:rPr>
      <w:b/>
      <w:bCs/>
    </w:rPr>
  </w:style>
  <w:style w:type="character" w:styleId="Emphasis">
    <w:name w:val="Emphasis"/>
    <w:basedOn w:val="DefaultParagraphFont"/>
    <w:uiPriority w:val="20"/>
    <w:qFormat/>
    <w:rsid w:val="00201DEE"/>
    <w:rPr>
      <w:b/>
      <w:bCs/>
      <w:i w:val="0"/>
      <w:iCs w:val="0"/>
    </w:rPr>
  </w:style>
  <w:style w:type="character" w:customStyle="1" w:styleId="st1">
    <w:name w:val="st1"/>
    <w:basedOn w:val="DefaultParagraphFont"/>
    <w:rsid w:val="00201DEE"/>
  </w:style>
  <w:style w:type="paragraph" w:styleId="Footer">
    <w:name w:val="footer"/>
    <w:basedOn w:val="Normal"/>
    <w:link w:val="FooterChar"/>
    <w:uiPriority w:val="99"/>
    <w:unhideWhenUsed/>
    <w:rsid w:val="00187AE1"/>
    <w:pPr>
      <w:tabs>
        <w:tab w:val="center" w:pos="4513"/>
        <w:tab w:val="right" w:pos="9026"/>
      </w:tabs>
    </w:pPr>
  </w:style>
  <w:style w:type="character" w:customStyle="1" w:styleId="FooterChar">
    <w:name w:val="Footer Char"/>
    <w:basedOn w:val="DefaultParagraphFont"/>
    <w:link w:val="Footer"/>
    <w:uiPriority w:val="99"/>
    <w:rsid w:val="00187AE1"/>
    <w:rPr>
      <w:rFonts w:ascii="Arial" w:eastAsia="Times New Roman" w:hAnsi="Arial" w:cs="Times New Roman"/>
      <w:szCs w:val="20"/>
    </w:rPr>
  </w:style>
  <w:style w:type="paragraph" w:customStyle="1" w:styleId="Pa11">
    <w:name w:val="Pa11"/>
    <w:basedOn w:val="Default"/>
    <w:next w:val="Default"/>
    <w:uiPriority w:val="99"/>
    <w:rsid w:val="002045CE"/>
    <w:pPr>
      <w:spacing w:line="221" w:lineRule="atLeast"/>
    </w:pPr>
    <w:rPr>
      <w:rFonts w:ascii="Source Sans Pro Light" w:hAnsi="Source Sans Pro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1700">
      <w:bodyDiv w:val="1"/>
      <w:marLeft w:val="0"/>
      <w:marRight w:val="0"/>
      <w:marTop w:val="0"/>
      <w:marBottom w:val="0"/>
      <w:divBdr>
        <w:top w:val="none" w:sz="0" w:space="0" w:color="auto"/>
        <w:left w:val="none" w:sz="0" w:space="0" w:color="auto"/>
        <w:bottom w:val="none" w:sz="0" w:space="0" w:color="auto"/>
        <w:right w:val="none" w:sz="0" w:space="0" w:color="auto"/>
      </w:divBdr>
    </w:div>
    <w:div w:id="77215860">
      <w:bodyDiv w:val="1"/>
      <w:marLeft w:val="0"/>
      <w:marRight w:val="0"/>
      <w:marTop w:val="0"/>
      <w:marBottom w:val="0"/>
      <w:divBdr>
        <w:top w:val="none" w:sz="0" w:space="0" w:color="auto"/>
        <w:left w:val="none" w:sz="0" w:space="0" w:color="auto"/>
        <w:bottom w:val="none" w:sz="0" w:space="0" w:color="auto"/>
        <w:right w:val="none" w:sz="0" w:space="0" w:color="auto"/>
      </w:divBdr>
    </w:div>
    <w:div w:id="162205193">
      <w:bodyDiv w:val="1"/>
      <w:marLeft w:val="0"/>
      <w:marRight w:val="0"/>
      <w:marTop w:val="0"/>
      <w:marBottom w:val="0"/>
      <w:divBdr>
        <w:top w:val="none" w:sz="0" w:space="0" w:color="auto"/>
        <w:left w:val="none" w:sz="0" w:space="0" w:color="auto"/>
        <w:bottom w:val="none" w:sz="0" w:space="0" w:color="auto"/>
        <w:right w:val="none" w:sz="0" w:space="0" w:color="auto"/>
      </w:divBdr>
    </w:div>
    <w:div w:id="193736191">
      <w:bodyDiv w:val="1"/>
      <w:marLeft w:val="0"/>
      <w:marRight w:val="0"/>
      <w:marTop w:val="0"/>
      <w:marBottom w:val="0"/>
      <w:divBdr>
        <w:top w:val="none" w:sz="0" w:space="0" w:color="auto"/>
        <w:left w:val="none" w:sz="0" w:space="0" w:color="auto"/>
        <w:bottom w:val="none" w:sz="0" w:space="0" w:color="auto"/>
        <w:right w:val="none" w:sz="0" w:space="0" w:color="auto"/>
      </w:divBdr>
    </w:div>
    <w:div w:id="400250606">
      <w:bodyDiv w:val="1"/>
      <w:marLeft w:val="0"/>
      <w:marRight w:val="0"/>
      <w:marTop w:val="0"/>
      <w:marBottom w:val="0"/>
      <w:divBdr>
        <w:top w:val="none" w:sz="0" w:space="0" w:color="auto"/>
        <w:left w:val="none" w:sz="0" w:space="0" w:color="auto"/>
        <w:bottom w:val="none" w:sz="0" w:space="0" w:color="auto"/>
        <w:right w:val="none" w:sz="0" w:space="0" w:color="auto"/>
      </w:divBdr>
    </w:div>
    <w:div w:id="462619941">
      <w:bodyDiv w:val="1"/>
      <w:marLeft w:val="0"/>
      <w:marRight w:val="0"/>
      <w:marTop w:val="0"/>
      <w:marBottom w:val="0"/>
      <w:divBdr>
        <w:top w:val="none" w:sz="0" w:space="0" w:color="auto"/>
        <w:left w:val="none" w:sz="0" w:space="0" w:color="auto"/>
        <w:bottom w:val="none" w:sz="0" w:space="0" w:color="auto"/>
        <w:right w:val="none" w:sz="0" w:space="0" w:color="auto"/>
      </w:divBdr>
    </w:div>
    <w:div w:id="551886631">
      <w:bodyDiv w:val="1"/>
      <w:marLeft w:val="0"/>
      <w:marRight w:val="0"/>
      <w:marTop w:val="0"/>
      <w:marBottom w:val="0"/>
      <w:divBdr>
        <w:top w:val="none" w:sz="0" w:space="0" w:color="auto"/>
        <w:left w:val="none" w:sz="0" w:space="0" w:color="auto"/>
        <w:bottom w:val="none" w:sz="0" w:space="0" w:color="auto"/>
        <w:right w:val="none" w:sz="0" w:space="0" w:color="auto"/>
      </w:divBdr>
    </w:div>
    <w:div w:id="552156409">
      <w:bodyDiv w:val="1"/>
      <w:marLeft w:val="0"/>
      <w:marRight w:val="0"/>
      <w:marTop w:val="0"/>
      <w:marBottom w:val="0"/>
      <w:divBdr>
        <w:top w:val="none" w:sz="0" w:space="0" w:color="auto"/>
        <w:left w:val="none" w:sz="0" w:space="0" w:color="auto"/>
        <w:bottom w:val="none" w:sz="0" w:space="0" w:color="auto"/>
        <w:right w:val="none" w:sz="0" w:space="0" w:color="auto"/>
      </w:divBdr>
    </w:div>
    <w:div w:id="1694107758">
      <w:bodyDiv w:val="1"/>
      <w:marLeft w:val="0"/>
      <w:marRight w:val="0"/>
      <w:marTop w:val="0"/>
      <w:marBottom w:val="0"/>
      <w:divBdr>
        <w:top w:val="none" w:sz="0" w:space="0" w:color="auto"/>
        <w:left w:val="none" w:sz="0" w:space="0" w:color="auto"/>
        <w:bottom w:val="none" w:sz="0" w:space="0" w:color="auto"/>
        <w:right w:val="none" w:sz="0" w:space="0" w:color="auto"/>
      </w:divBdr>
    </w:div>
    <w:div w:id="2108688828">
      <w:bodyDiv w:val="1"/>
      <w:marLeft w:val="0"/>
      <w:marRight w:val="0"/>
      <w:marTop w:val="0"/>
      <w:marBottom w:val="0"/>
      <w:divBdr>
        <w:top w:val="none" w:sz="0" w:space="0" w:color="auto"/>
        <w:left w:val="none" w:sz="0" w:space="0" w:color="auto"/>
        <w:bottom w:val="none" w:sz="0" w:space="0" w:color="auto"/>
        <w:right w:val="none" w:sz="0" w:space="0" w:color="auto"/>
      </w:divBdr>
    </w:div>
    <w:div w:id="213667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EB68-4D54-47A1-90C5-C400ECFF5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Birkett</dc:creator>
  <cp:lastModifiedBy>Lesley Lund</cp:lastModifiedBy>
  <cp:revision>2</cp:revision>
  <cp:lastPrinted>2021-11-17T13:53:00Z</cp:lastPrinted>
  <dcterms:created xsi:type="dcterms:W3CDTF">2021-11-17T13:55:00Z</dcterms:created>
  <dcterms:modified xsi:type="dcterms:W3CDTF">2021-11-17T13:55:00Z</dcterms:modified>
</cp:coreProperties>
</file>