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13535B13" w:rsidR="004A5EA9" w:rsidRPr="008C75E4" w:rsidRDefault="00697F2A" w:rsidP="008F6B58">
            <w:pPr>
              <w:rPr>
                <w:rFonts w:ascii="Calibri" w:hAnsi="Calibri"/>
                <w:szCs w:val="22"/>
              </w:rPr>
            </w:pPr>
            <w:r>
              <w:rPr>
                <w:rFonts w:ascii="Calibri" w:hAnsi="Calibri"/>
                <w:szCs w:val="22"/>
              </w:rPr>
              <w:t>3/2021/0</w:t>
            </w:r>
            <w:r w:rsidR="0048242E">
              <w:rPr>
                <w:rFonts w:ascii="Calibri" w:hAnsi="Calibri"/>
                <w:szCs w:val="22"/>
              </w:rPr>
              <w:t>896</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05C630A2" w:rsidR="004A5EA9" w:rsidRPr="008C75E4" w:rsidRDefault="00697F2A" w:rsidP="002C6277">
            <w:pPr>
              <w:rPr>
                <w:rFonts w:ascii="Calibri" w:hAnsi="Calibri"/>
                <w:szCs w:val="22"/>
              </w:rPr>
            </w:pPr>
            <w:r>
              <w:rPr>
                <w:rFonts w:ascii="Calibri" w:hAnsi="Calibri"/>
                <w:szCs w:val="22"/>
              </w:rPr>
              <w:t>17/9/2021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454754" w:rsidRDefault="008D5A3A"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51FE32E2" w:rsidR="004A5EA9" w:rsidRPr="0048242E" w:rsidRDefault="0048242E">
            <w:pPr>
              <w:rPr>
                <w:rFonts w:asciiTheme="minorHAnsi" w:hAnsiTheme="minorHAnsi" w:cstheme="minorHAnsi"/>
                <w:szCs w:val="22"/>
              </w:rPr>
            </w:pPr>
            <w:r w:rsidRPr="0048242E">
              <w:rPr>
                <w:rFonts w:asciiTheme="minorHAnsi" w:hAnsiTheme="minorHAnsi" w:cstheme="minorHAnsi"/>
                <w:szCs w:val="22"/>
                <w:lang w:val="en"/>
              </w:rPr>
              <w:t>Demolition of a detached stone outbuilding to the rear of the garden. To be rebuilt using existing materials to create an outdoor hot tub facility.</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E486168" w:rsidR="002A01CF" w:rsidRPr="00371C57" w:rsidRDefault="00371C57" w:rsidP="00A42E82">
            <w:pPr>
              <w:rPr>
                <w:rFonts w:asciiTheme="minorHAnsi" w:hAnsiTheme="minorHAnsi" w:cstheme="minorHAnsi"/>
                <w:b/>
                <w:bCs/>
                <w:szCs w:val="22"/>
              </w:rPr>
            </w:pPr>
            <w:r w:rsidRPr="00371C57">
              <w:rPr>
                <w:rStyle w:val="Strong"/>
                <w:rFonts w:asciiTheme="minorHAnsi" w:hAnsiTheme="minorHAnsi" w:cstheme="minorHAnsi"/>
                <w:b w:val="0"/>
                <w:bCs w:val="0"/>
                <w:szCs w:val="22"/>
              </w:rPr>
              <w:t>21 Church Street Ribchester PR3 3XP</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2B20DCA0" w:rsidR="003A4376" w:rsidRPr="009825FF" w:rsidRDefault="000D123F"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54EB0C0F" w:rsidR="002A01CF" w:rsidRPr="008C75E4" w:rsidRDefault="002A01CF" w:rsidP="006126D1">
            <w:pPr>
              <w:jc w:val="both"/>
              <w:rPr>
                <w:rFonts w:ascii="Calibri" w:hAnsi="Calibri"/>
                <w:b/>
                <w:szCs w:val="22"/>
              </w:rPr>
            </w:pPr>
            <w:r w:rsidRPr="008C75E4">
              <w:rPr>
                <w:rFonts w:ascii="Calibri" w:hAnsi="Calibri"/>
                <w:b/>
                <w:szCs w:val="22"/>
              </w:rPr>
              <w:t xml:space="preserve">LCC </w:t>
            </w:r>
            <w:r w:rsidR="000D123F">
              <w:rPr>
                <w:rFonts w:ascii="Calibri" w:hAnsi="Calibri"/>
                <w:b/>
                <w:szCs w:val="22"/>
              </w:rPr>
              <w:t>Archaeology</w:t>
            </w:r>
            <w:r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75A71F30" w14:textId="6A9E7964" w:rsidR="000D123F" w:rsidRPr="006B0AC6" w:rsidRDefault="006B0AC6" w:rsidP="006B0AC6">
            <w:pPr>
              <w:pStyle w:val="Default"/>
              <w:rPr>
                <w:rFonts w:asciiTheme="minorHAnsi" w:hAnsiTheme="minorHAnsi" w:cstheme="minorHAnsi"/>
                <w:color w:val="auto"/>
                <w:sz w:val="22"/>
                <w:szCs w:val="22"/>
              </w:rPr>
            </w:pPr>
            <w:r w:rsidRPr="006B0AC6">
              <w:rPr>
                <w:rFonts w:asciiTheme="minorHAnsi" w:hAnsiTheme="minorHAnsi" w:cstheme="minorHAnsi"/>
                <w:color w:val="auto"/>
                <w:sz w:val="22"/>
                <w:szCs w:val="22"/>
              </w:rPr>
              <w:t xml:space="preserve">Not object but archaeological watching brief condition (nearby archaeological works shown evidence of in-situ Roman and later remains between 0.4 and 0.9m below the present ground surface). Outbuilding was intended for storage or to house a privy. Whilst may be contemporary with the house, altered. </w:t>
            </w:r>
          </w:p>
          <w:p w14:paraId="501B7485" w14:textId="77777777" w:rsidR="000D123F" w:rsidRDefault="000D123F" w:rsidP="00FC046F">
            <w:pPr>
              <w:jc w:val="both"/>
              <w:rPr>
                <w:rFonts w:ascii="Calibri" w:hAnsi="Calibri"/>
                <w:szCs w:val="22"/>
              </w:rPr>
            </w:pPr>
          </w:p>
          <w:p w14:paraId="68600CD9" w14:textId="4DCA1F61" w:rsidR="0048242E" w:rsidRPr="000D123F" w:rsidRDefault="000D123F" w:rsidP="0048242E">
            <w:pPr>
              <w:jc w:val="both"/>
              <w:rPr>
                <w:rFonts w:ascii="Calibri" w:hAnsi="Calibri"/>
                <w:b/>
                <w:bCs/>
                <w:szCs w:val="22"/>
              </w:rPr>
            </w:pPr>
            <w:r w:rsidRPr="000D123F">
              <w:rPr>
                <w:rFonts w:ascii="Calibri" w:hAnsi="Calibri"/>
                <w:b/>
                <w:bCs/>
                <w:szCs w:val="22"/>
              </w:rPr>
              <w:t>Historic England</w:t>
            </w:r>
            <w:r w:rsidR="0048242E" w:rsidRPr="00AB2CFE">
              <w:rPr>
                <w:rFonts w:ascii="Calibri" w:hAnsi="Calibri"/>
                <w:szCs w:val="22"/>
              </w:rPr>
              <w:t>:</w:t>
            </w:r>
          </w:p>
          <w:p w14:paraId="56F17B33" w14:textId="47D9BDAB" w:rsidR="000D123F" w:rsidRPr="000D123F" w:rsidRDefault="000D123F" w:rsidP="00FC046F">
            <w:pPr>
              <w:jc w:val="both"/>
              <w:rPr>
                <w:rFonts w:ascii="Calibri" w:hAnsi="Calibri"/>
                <w:b/>
                <w:bCs/>
                <w:szCs w:val="22"/>
              </w:rPr>
            </w:pPr>
          </w:p>
          <w:p w14:paraId="6F46BF9D" w14:textId="47014939" w:rsidR="000D123F" w:rsidRDefault="000D123F" w:rsidP="000D123F">
            <w:pPr>
              <w:overflowPunct/>
              <w:textAlignment w:val="auto"/>
              <w:rPr>
                <w:rFonts w:ascii="CIDFont+F1" w:eastAsiaTheme="minorHAnsi" w:hAnsi="CIDFont+F1" w:cs="CIDFont+F1"/>
                <w:sz w:val="24"/>
                <w:szCs w:val="24"/>
              </w:rPr>
            </w:pPr>
            <w:r>
              <w:rPr>
                <w:rFonts w:ascii="CIDFont+F1" w:eastAsiaTheme="minorHAnsi" w:hAnsi="CIDFont+F1" w:cs="CIDFont+F1"/>
                <w:sz w:val="24"/>
                <w:szCs w:val="24"/>
              </w:rPr>
              <w:t>Do not wish to offer any comments. Suggest seeking the views of the RVBC specialist</w:t>
            </w:r>
          </w:p>
          <w:p w14:paraId="0E188D9B" w14:textId="68A2FADF" w:rsidR="000D123F" w:rsidRDefault="000D123F" w:rsidP="000D123F">
            <w:pPr>
              <w:jc w:val="both"/>
              <w:rPr>
                <w:rFonts w:ascii="CIDFont+F1" w:eastAsiaTheme="minorHAnsi" w:hAnsi="CIDFont+F1" w:cs="CIDFont+F1"/>
                <w:sz w:val="24"/>
                <w:szCs w:val="24"/>
              </w:rPr>
            </w:pPr>
            <w:r>
              <w:rPr>
                <w:rFonts w:ascii="CIDFont+F1" w:eastAsiaTheme="minorHAnsi" w:hAnsi="CIDFont+F1" w:cs="CIDFont+F1"/>
                <w:sz w:val="24"/>
                <w:szCs w:val="24"/>
              </w:rPr>
              <w:t>conservation adviser.</w:t>
            </w:r>
          </w:p>
          <w:p w14:paraId="329680D7" w14:textId="52D986DB" w:rsidR="000D123F" w:rsidRDefault="000D123F" w:rsidP="000D123F">
            <w:pPr>
              <w:jc w:val="both"/>
              <w:rPr>
                <w:rFonts w:ascii="Calibri" w:hAnsi="Calibri"/>
                <w:szCs w:val="22"/>
              </w:rPr>
            </w:pPr>
          </w:p>
          <w:p w14:paraId="7E1755B9" w14:textId="6C1DD351" w:rsidR="000D123F" w:rsidRPr="000D123F" w:rsidRDefault="000D123F" w:rsidP="000D123F">
            <w:pPr>
              <w:jc w:val="both"/>
              <w:rPr>
                <w:rFonts w:ascii="Calibri" w:hAnsi="Calibri"/>
                <w:b/>
                <w:bCs/>
                <w:szCs w:val="22"/>
              </w:rPr>
            </w:pPr>
            <w:r w:rsidRPr="000D123F">
              <w:rPr>
                <w:rFonts w:ascii="Calibri" w:hAnsi="Calibri"/>
                <w:b/>
                <w:bCs/>
                <w:szCs w:val="22"/>
              </w:rPr>
              <w:t>Historic amenity societies</w:t>
            </w:r>
            <w:r w:rsidR="0048242E">
              <w:rPr>
                <w:rFonts w:ascii="Calibri" w:hAnsi="Calibri"/>
                <w:b/>
                <w:bCs/>
                <w:szCs w:val="22"/>
              </w:rPr>
              <w:t xml:space="preserve"> </w:t>
            </w:r>
            <w:r w:rsidR="0048242E" w:rsidRPr="00AB2CFE">
              <w:rPr>
                <w:rFonts w:ascii="Calibri" w:hAnsi="Calibri"/>
                <w:szCs w:val="22"/>
              </w:rPr>
              <w:t>(non-statutory consultation)</w:t>
            </w:r>
            <w:r w:rsidRPr="00AB2CFE">
              <w:rPr>
                <w:rFonts w:ascii="Calibri" w:hAnsi="Calibri"/>
                <w:szCs w:val="22"/>
              </w:rPr>
              <w:t>:</w:t>
            </w:r>
          </w:p>
          <w:p w14:paraId="33AEA1DE" w14:textId="6E9982C2" w:rsidR="000D123F" w:rsidRDefault="000D123F" w:rsidP="000D123F">
            <w:pPr>
              <w:jc w:val="both"/>
              <w:rPr>
                <w:rFonts w:ascii="Calibri" w:hAnsi="Calibri"/>
                <w:szCs w:val="22"/>
              </w:rPr>
            </w:pPr>
            <w:r>
              <w:rPr>
                <w:rFonts w:ascii="Calibri" w:hAnsi="Calibri"/>
                <w:szCs w:val="22"/>
              </w:rPr>
              <w:t>Consulted, no comments received.</w:t>
            </w:r>
          </w:p>
          <w:p w14:paraId="123A4736" w14:textId="60CAAA79" w:rsidR="006B0AC6" w:rsidRDefault="006B0AC6" w:rsidP="000D123F">
            <w:pPr>
              <w:jc w:val="both"/>
              <w:rPr>
                <w:rFonts w:ascii="Calibri" w:hAnsi="Calibri"/>
                <w:szCs w:val="22"/>
              </w:rPr>
            </w:pPr>
          </w:p>
          <w:p w14:paraId="59FAC536" w14:textId="605C2EBB" w:rsidR="006B0AC6" w:rsidRPr="006B0AC6" w:rsidRDefault="006B0AC6" w:rsidP="000D123F">
            <w:pPr>
              <w:jc w:val="both"/>
              <w:rPr>
                <w:rFonts w:ascii="Calibri" w:hAnsi="Calibri"/>
                <w:b/>
                <w:bCs/>
                <w:szCs w:val="22"/>
              </w:rPr>
            </w:pPr>
            <w:r w:rsidRPr="006B0AC6">
              <w:rPr>
                <w:rFonts w:ascii="Calibri" w:hAnsi="Calibri"/>
                <w:b/>
                <w:bCs/>
                <w:szCs w:val="22"/>
              </w:rPr>
              <w:t>RVBC Countryside:</w:t>
            </w:r>
          </w:p>
          <w:p w14:paraId="634EDF85" w14:textId="60CFBFEF" w:rsidR="0072424B" w:rsidRPr="008C75E4" w:rsidRDefault="0005568C" w:rsidP="00A67086">
            <w:pPr>
              <w:jc w:val="both"/>
              <w:rPr>
                <w:rFonts w:ascii="Calibri" w:hAnsi="Calibri"/>
                <w:szCs w:val="22"/>
              </w:rPr>
            </w:pPr>
            <w:r>
              <w:rPr>
                <w:rFonts w:ascii="Calibri" w:hAnsi="Calibri"/>
                <w:szCs w:val="22"/>
              </w:rPr>
              <w:t>Bat protection condition suggested.</w:t>
            </w: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6BB08B1E" w:rsidR="005878FE" w:rsidRPr="00435FC9" w:rsidRDefault="006B0AC6"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78BF4AEE"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1C11C98E" w14:textId="77777777" w:rsidR="00CF36A6" w:rsidRDefault="00CF36A6" w:rsidP="00CF36A6">
            <w:pPr>
              <w:pStyle w:val="PLANNING"/>
              <w:rPr>
                <w:rFonts w:ascii="Calibri" w:hAnsi="Calibri"/>
                <w:bCs/>
                <w:szCs w:val="22"/>
              </w:rPr>
            </w:pPr>
          </w:p>
          <w:p w14:paraId="716E0F92" w14:textId="77777777" w:rsidR="00CF36A6" w:rsidRPr="00137BA8" w:rsidRDefault="00CF36A6" w:rsidP="00CF36A6">
            <w:pPr>
              <w:pStyle w:val="PLANNING"/>
              <w:rPr>
                <w:rFonts w:ascii="Calibri" w:hAnsi="Calibri"/>
                <w:bCs/>
                <w:szCs w:val="22"/>
              </w:rPr>
            </w:pPr>
            <w:proofErr w:type="spellStart"/>
            <w:r w:rsidRPr="00137BA8">
              <w:rPr>
                <w:rFonts w:ascii="Calibri" w:hAnsi="Calibri"/>
                <w:bCs/>
                <w:szCs w:val="22"/>
              </w:rPr>
              <w:t>Ribble</w:t>
            </w:r>
            <w:proofErr w:type="spellEnd"/>
            <w:r w:rsidRPr="00137BA8">
              <w:rPr>
                <w:rFonts w:ascii="Calibri" w:hAnsi="Calibri"/>
                <w:bCs/>
                <w:szCs w:val="22"/>
              </w:rPr>
              <w:t xml:space="preserve"> Valley Core Strategy:</w:t>
            </w:r>
          </w:p>
          <w:p w14:paraId="221E08E1" w14:textId="7BA13281" w:rsidR="00CF36A6" w:rsidRPr="00137BA8" w:rsidRDefault="00CF36A6" w:rsidP="00CF36A6">
            <w:pPr>
              <w:pStyle w:val="PLANNING"/>
              <w:rPr>
                <w:rFonts w:ascii="Calibri" w:hAnsi="Calibri"/>
                <w:bCs/>
                <w:szCs w:val="22"/>
              </w:rPr>
            </w:pPr>
            <w:r w:rsidRPr="00137BA8">
              <w:rPr>
                <w:rFonts w:ascii="Calibri" w:hAnsi="Calibri"/>
                <w:bCs/>
                <w:szCs w:val="22"/>
              </w:rPr>
              <w:t>Key Statement EN5 – Heritage Assets</w:t>
            </w:r>
          </w:p>
          <w:p w14:paraId="517D5B08" w14:textId="77777777" w:rsidR="00CF36A6" w:rsidRPr="00137BA8" w:rsidRDefault="00CF36A6" w:rsidP="00CF36A6">
            <w:pPr>
              <w:jc w:val="both"/>
              <w:rPr>
                <w:rFonts w:ascii="Calibri" w:hAnsi="Calibri"/>
              </w:rPr>
            </w:pPr>
            <w:r w:rsidRPr="00137BA8">
              <w:rPr>
                <w:rFonts w:ascii="Calibri" w:hAnsi="Calibri"/>
              </w:rPr>
              <w:t xml:space="preserve">Policy DME4 </w:t>
            </w:r>
            <w:proofErr w:type="gramStart"/>
            <w:r w:rsidRPr="00137BA8">
              <w:rPr>
                <w:rFonts w:ascii="Calibri" w:hAnsi="Calibri"/>
              </w:rPr>
              <w:t>–  Protecting</w:t>
            </w:r>
            <w:proofErr w:type="gramEnd"/>
            <w:r w:rsidRPr="00137BA8">
              <w:rPr>
                <w:rFonts w:ascii="Calibri" w:hAnsi="Calibri"/>
              </w:rPr>
              <w:t xml:space="preserve"> Heritage Assets</w:t>
            </w:r>
          </w:p>
          <w:p w14:paraId="74592104" w14:textId="7D14FD13" w:rsidR="00CF36A6" w:rsidRPr="00CF36A6" w:rsidRDefault="00CF36A6" w:rsidP="00CF36A6">
            <w:pPr>
              <w:jc w:val="both"/>
              <w:rPr>
                <w:rFonts w:ascii="Calibri" w:hAnsi="Calibri"/>
              </w:rPr>
            </w:pPr>
            <w:r w:rsidRPr="00137BA8">
              <w:rPr>
                <w:rFonts w:ascii="Calibri" w:hAnsi="Calibri"/>
              </w:rPr>
              <w:t>Policy DMG1 – General Considerations</w:t>
            </w:r>
          </w:p>
          <w:p w14:paraId="1A549E9A" w14:textId="77777777" w:rsidR="00CF36A6" w:rsidRDefault="00CF36A6" w:rsidP="00CF36A6">
            <w:pPr>
              <w:pStyle w:val="PLANNING"/>
              <w:rPr>
                <w:rFonts w:ascii="Calibri" w:eastAsia="Calibri" w:hAnsi="Calibri" w:cs="Arial"/>
                <w:bCs/>
                <w:szCs w:val="22"/>
              </w:rPr>
            </w:pPr>
            <w:r w:rsidRPr="00137BA8">
              <w:rPr>
                <w:rFonts w:ascii="Calibri" w:eastAsia="Calibri" w:hAnsi="Calibri" w:cs="Arial"/>
                <w:bCs/>
                <w:szCs w:val="22"/>
              </w:rPr>
              <w:t>Policy DME2 - Landscape and Townscape Protection</w:t>
            </w:r>
          </w:p>
          <w:p w14:paraId="3B552F12" w14:textId="77777777" w:rsidR="00CF36A6" w:rsidRPr="00137BA8" w:rsidRDefault="00CF36A6" w:rsidP="00CF36A6">
            <w:pPr>
              <w:textAlignment w:val="auto"/>
              <w:rPr>
                <w:rFonts w:ascii="Calibri" w:hAnsi="Calibri"/>
                <w:szCs w:val="22"/>
              </w:rPr>
            </w:pPr>
            <w:r w:rsidRPr="00137BA8">
              <w:rPr>
                <w:rFonts w:ascii="Calibri" w:hAnsi="Calibri"/>
                <w:szCs w:val="22"/>
              </w:rPr>
              <w:t xml:space="preserve">Policy DMH5 – Residential and Curtilage Extensions </w:t>
            </w:r>
          </w:p>
          <w:p w14:paraId="4DFB970F" w14:textId="77777777" w:rsidR="00CF36A6" w:rsidRPr="00137BA8" w:rsidRDefault="00CF36A6" w:rsidP="00CF36A6">
            <w:pPr>
              <w:pStyle w:val="PLANNING"/>
              <w:rPr>
                <w:rFonts w:ascii="Calibri" w:hAnsi="Calibri"/>
                <w:szCs w:val="22"/>
              </w:rPr>
            </w:pPr>
          </w:p>
          <w:p w14:paraId="47DF0C44" w14:textId="77777777" w:rsidR="00CF36A6" w:rsidRPr="00137BA8" w:rsidRDefault="00CF36A6" w:rsidP="00CF36A6">
            <w:pPr>
              <w:rPr>
                <w:rFonts w:ascii="Calibri" w:hAnsi="Calibri"/>
                <w:szCs w:val="22"/>
              </w:rPr>
            </w:pPr>
            <w:r w:rsidRPr="00137BA8">
              <w:rPr>
                <w:rFonts w:ascii="Calibri" w:hAnsi="Calibri"/>
                <w:szCs w:val="22"/>
              </w:rPr>
              <w:lastRenderedPageBreak/>
              <w:t>National Planning Policy Framework (NPPF)</w:t>
            </w:r>
          </w:p>
          <w:p w14:paraId="52E6632B" w14:textId="326701E5" w:rsidR="00CF36A6" w:rsidRDefault="00CF36A6" w:rsidP="00CF36A6">
            <w:pPr>
              <w:rPr>
                <w:rFonts w:ascii="Calibri" w:hAnsi="Calibri"/>
                <w:szCs w:val="22"/>
              </w:rPr>
            </w:pPr>
            <w:r w:rsidRPr="00137BA8">
              <w:rPr>
                <w:rFonts w:ascii="Calibri" w:hAnsi="Calibri"/>
                <w:szCs w:val="22"/>
              </w:rPr>
              <w:t>National Planning Policy Guidance (NPPG)</w:t>
            </w:r>
          </w:p>
          <w:p w14:paraId="34C08350" w14:textId="77777777" w:rsidR="00CF36A6" w:rsidRPr="00137BA8" w:rsidRDefault="00CF36A6" w:rsidP="00CF36A6">
            <w:pPr>
              <w:rPr>
                <w:rFonts w:ascii="Calibri" w:hAnsi="Calibri"/>
                <w:szCs w:val="22"/>
              </w:rPr>
            </w:pPr>
          </w:p>
          <w:p w14:paraId="4E62C1DA" w14:textId="77777777" w:rsidR="00CF36A6" w:rsidRDefault="00CF36A6" w:rsidP="00CF36A6">
            <w:pPr>
              <w:rPr>
                <w:rFonts w:ascii="Calibri" w:hAnsi="Calibri"/>
                <w:szCs w:val="22"/>
              </w:rPr>
            </w:pPr>
            <w:r w:rsidRPr="00137BA8">
              <w:rPr>
                <w:rFonts w:ascii="Calibri" w:hAnsi="Calibri"/>
                <w:szCs w:val="22"/>
              </w:rPr>
              <w:t xml:space="preserve">Planning (Listed Buildings and Conservation Areas) Act 1990. ‘Preservation’ in the duties at sections </w:t>
            </w:r>
            <w:r>
              <w:rPr>
                <w:rFonts w:ascii="Calibri" w:hAnsi="Calibri"/>
                <w:szCs w:val="22"/>
              </w:rPr>
              <w:t xml:space="preserve">16, </w:t>
            </w:r>
            <w:r w:rsidRPr="00137BA8">
              <w:rPr>
                <w:rFonts w:ascii="Calibri" w:hAnsi="Calibri"/>
                <w:szCs w:val="22"/>
              </w:rPr>
              <w:t>66 and 72 of the Act means “doing no harm to” (</w:t>
            </w:r>
            <w:r w:rsidRPr="00137BA8">
              <w:rPr>
                <w:rFonts w:ascii="Calibri" w:hAnsi="Calibri"/>
                <w:i/>
                <w:iCs/>
                <w:szCs w:val="22"/>
              </w:rPr>
              <w:t xml:space="preserve">South Lakeland DC v. Secretary of State for the Environment </w:t>
            </w:r>
            <w:r w:rsidRPr="00137BA8">
              <w:rPr>
                <w:rFonts w:ascii="Calibri" w:hAnsi="Calibri"/>
                <w:szCs w:val="22"/>
              </w:rPr>
              <w:t>[1992]).</w:t>
            </w:r>
          </w:p>
          <w:p w14:paraId="3DB3B657" w14:textId="77777777" w:rsidR="00CF36A6" w:rsidRPr="00137BA8" w:rsidRDefault="00CF36A6" w:rsidP="00CF36A6">
            <w:pPr>
              <w:rPr>
                <w:rFonts w:ascii="Calibri" w:hAnsi="Calibri"/>
                <w:szCs w:val="22"/>
              </w:rPr>
            </w:pPr>
            <w:r>
              <w:rPr>
                <w:rFonts w:ascii="Calibri" w:hAnsi="Calibri"/>
                <w:szCs w:val="22"/>
              </w:rPr>
              <w:t>Ribchester Conservation Area Appraisal.</w:t>
            </w:r>
          </w:p>
          <w:p w14:paraId="6C57C1F9" w14:textId="77777777" w:rsidR="001946E0" w:rsidRPr="008C75E4" w:rsidRDefault="001946E0" w:rsidP="00CF36A6">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4D703353" w14:textId="77777777" w:rsidR="00101855" w:rsidRPr="0005568C" w:rsidRDefault="00C02706" w:rsidP="00454754">
            <w:pPr>
              <w:pStyle w:val="PLANNING"/>
              <w:rPr>
                <w:rFonts w:asciiTheme="minorHAnsi" w:hAnsiTheme="minorHAnsi" w:cstheme="minorHAnsi"/>
                <w:color w:val="333333"/>
                <w:szCs w:val="22"/>
                <w:lang w:val="en"/>
              </w:rPr>
            </w:pPr>
            <w:r w:rsidRPr="0005568C">
              <w:rPr>
                <w:rFonts w:asciiTheme="minorHAnsi" w:hAnsiTheme="minorHAnsi" w:cstheme="minorHAnsi"/>
                <w:bCs/>
                <w:szCs w:val="22"/>
              </w:rPr>
              <w:t xml:space="preserve">3/2021/0417 - </w:t>
            </w:r>
            <w:r w:rsidRPr="0005568C">
              <w:rPr>
                <w:rFonts w:asciiTheme="minorHAnsi" w:hAnsiTheme="minorHAnsi" w:cstheme="minorHAnsi"/>
                <w:color w:val="333333"/>
                <w:szCs w:val="22"/>
                <w:lang w:val="en"/>
              </w:rPr>
              <w:t>Complete demolition of outbuilding at bottom of rear garden. LBC withdrawn.</w:t>
            </w:r>
          </w:p>
          <w:p w14:paraId="62A44134" w14:textId="77777777" w:rsidR="00C02706" w:rsidRPr="0005568C" w:rsidRDefault="00C02706" w:rsidP="00454754">
            <w:pPr>
              <w:pStyle w:val="PLANNING"/>
              <w:rPr>
                <w:rFonts w:asciiTheme="minorHAnsi" w:hAnsiTheme="minorHAnsi" w:cstheme="minorHAnsi"/>
                <w:bCs/>
                <w:szCs w:val="22"/>
              </w:rPr>
            </w:pPr>
          </w:p>
          <w:p w14:paraId="480BDE44" w14:textId="00405A0A" w:rsidR="00C02706" w:rsidRPr="00B976C4" w:rsidRDefault="00C02706" w:rsidP="00454754">
            <w:pPr>
              <w:pStyle w:val="PLANNING"/>
              <w:rPr>
                <w:rFonts w:asciiTheme="minorHAnsi" w:hAnsiTheme="minorHAnsi" w:cstheme="minorHAnsi"/>
                <w:b/>
                <w:szCs w:val="22"/>
                <w:lang w:val="en"/>
              </w:rPr>
            </w:pPr>
            <w:r w:rsidRPr="00B976C4">
              <w:rPr>
                <w:rFonts w:asciiTheme="minorHAnsi" w:hAnsiTheme="minorHAnsi" w:cstheme="minorHAnsi"/>
                <w:bCs/>
                <w:szCs w:val="22"/>
              </w:rPr>
              <w:t>3/2021/0</w:t>
            </w:r>
            <w:r w:rsidR="0048242E" w:rsidRPr="00B976C4">
              <w:rPr>
                <w:rFonts w:asciiTheme="minorHAnsi" w:hAnsiTheme="minorHAnsi" w:cstheme="minorHAnsi"/>
                <w:bCs/>
                <w:szCs w:val="22"/>
              </w:rPr>
              <w:t>768</w:t>
            </w:r>
            <w:r w:rsidRPr="00B976C4">
              <w:rPr>
                <w:rFonts w:asciiTheme="minorHAnsi" w:hAnsiTheme="minorHAnsi" w:cstheme="minorHAnsi"/>
                <w:bCs/>
                <w:szCs w:val="22"/>
              </w:rPr>
              <w:t xml:space="preserve"> - </w:t>
            </w:r>
            <w:r w:rsidR="00B976C4" w:rsidRPr="00B976C4">
              <w:rPr>
                <w:rFonts w:asciiTheme="minorHAnsi" w:hAnsiTheme="minorHAnsi" w:cstheme="minorHAnsi"/>
                <w:bCs/>
                <w:szCs w:val="22"/>
                <w:lang w:val="en"/>
              </w:rPr>
              <w:t xml:space="preserve">Demolition of an external rear garden stone outbuilding. Building to be replaced with new to provide a hot tub/jacuzzi facility. All materials to match existing. </w:t>
            </w:r>
            <w:r w:rsidR="00B976C4" w:rsidRPr="00B976C4">
              <w:rPr>
                <w:rFonts w:asciiTheme="minorHAnsi" w:hAnsiTheme="minorHAnsi" w:cstheme="minorHAnsi"/>
                <w:b/>
                <w:szCs w:val="22"/>
                <w:lang w:val="en"/>
              </w:rPr>
              <w:t>R</w:t>
            </w:r>
            <w:r w:rsidR="00B976C4" w:rsidRPr="00B976C4">
              <w:rPr>
                <w:rStyle w:val="Strong"/>
                <w:rFonts w:asciiTheme="minorHAnsi" w:hAnsiTheme="minorHAnsi" w:cstheme="minorHAnsi"/>
                <w:b w:val="0"/>
                <w:szCs w:val="22"/>
                <w:lang w:val="en"/>
              </w:rPr>
              <w:t xml:space="preserve">elevant demolition in a Conservation Area </w:t>
            </w:r>
            <w:r w:rsidR="00B976C4" w:rsidRPr="00B976C4">
              <w:rPr>
                <w:rStyle w:val="Strong"/>
                <w:rFonts w:asciiTheme="minorHAnsi" w:hAnsiTheme="minorHAnsi" w:cstheme="minorHAnsi"/>
                <w:b w:val="0"/>
                <w:szCs w:val="22"/>
              </w:rPr>
              <w:t>under consideration.</w:t>
            </w:r>
          </w:p>
          <w:p w14:paraId="52FD2422" w14:textId="77777777" w:rsidR="0005568C" w:rsidRDefault="0005568C" w:rsidP="00454754">
            <w:pPr>
              <w:pStyle w:val="PLANNING"/>
              <w:rPr>
                <w:rFonts w:asciiTheme="minorHAnsi" w:hAnsiTheme="minorHAnsi" w:cstheme="minorHAnsi"/>
                <w:bCs/>
                <w:szCs w:val="22"/>
              </w:rPr>
            </w:pPr>
          </w:p>
          <w:p w14:paraId="672DA072" w14:textId="1D03238B" w:rsidR="0005568C" w:rsidRDefault="0005568C" w:rsidP="00454754">
            <w:pPr>
              <w:pStyle w:val="PLANNING"/>
              <w:rPr>
                <w:rFonts w:asciiTheme="minorHAnsi" w:hAnsiTheme="minorHAnsi" w:cstheme="minorHAnsi"/>
                <w:color w:val="333333"/>
                <w:szCs w:val="22"/>
                <w:lang w:val="en"/>
              </w:rPr>
            </w:pPr>
            <w:r>
              <w:rPr>
                <w:rFonts w:asciiTheme="minorHAnsi" w:hAnsiTheme="minorHAnsi" w:cstheme="minorHAnsi"/>
                <w:bCs/>
                <w:szCs w:val="22"/>
              </w:rPr>
              <w:t xml:space="preserve">3/2014/0414 - </w:t>
            </w:r>
            <w:r w:rsidRPr="0005568C">
              <w:rPr>
                <w:rFonts w:asciiTheme="minorHAnsi" w:hAnsiTheme="minorHAnsi" w:cstheme="minorHAnsi"/>
                <w:color w:val="333333"/>
                <w:szCs w:val="22"/>
                <w:lang w:val="en"/>
              </w:rPr>
              <w:t>Replace rear window located on 2nd floor. New window to be installed of white painted wood with a single opening and double glazing. Design as close to existing design as possible and installed in the same position as the existing. LBC granted 4/7/2014.</w:t>
            </w:r>
          </w:p>
          <w:p w14:paraId="7A46038F" w14:textId="77777777" w:rsidR="0005568C" w:rsidRDefault="0005568C" w:rsidP="00454754">
            <w:pPr>
              <w:pStyle w:val="PLANNING"/>
              <w:rPr>
                <w:rFonts w:ascii="Calibri" w:hAnsi="Calibri" w:cstheme="minorHAnsi"/>
                <w:bCs/>
                <w:szCs w:val="22"/>
              </w:rPr>
            </w:pPr>
          </w:p>
          <w:p w14:paraId="58221629" w14:textId="77777777" w:rsidR="006F66BB" w:rsidRPr="006F66BB" w:rsidRDefault="006F66BB" w:rsidP="006F66BB">
            <w:pPr>
              <w:jc w:val="both"/>
              <w:rPr>
                <w:rFonts w:asciiTheme="minorHAnsi" w:hAnsiTheme="minorHAnsi" w:cstheme="minorHAnsi"/>
              </w:rPr>
            </w:pPr>
            <w:r w:rsidRPr="006F66BB">
              <w:rPr>
                <w:rFonts w:asciiTheme="minorHAnsi" w:hAnsiTheme="minorHAnsi" w:cstheme="minorHAnsi"/>
                <w:bCs/>
              </w:rPr>
              <w:t xml:space="preserve">3/2011/0583 - </w:t>
            </w:r>
            <w:r w:rsidRPr="006F66BB">
              <w:rPr>
                <w:rFonts w:asciiTheme="minorHAnsi" w:hAnsiTheme="minorHAnsi" w:cstheme="minorHAnsi"/>
              </w:rPr>
              <w:t xml:space="preserve">Replace first floor rear window with a white painted wooden </w:t>
            </w:r>
            <w:proofErr w:type="gramStart"/>
            <w:r w:rsidRPr="006F66BB">
              <w:rPr>
                <w:rFonts w:asciiTheme="minorHAnsi" w:hAnsiTheme="minorHAnsi" w:cstheme="minorHAnsi"/>
              </w:rPr>
              <w:t>double glazed</w:t>
            </w:r>
            <w:proofErr w:type="gramEnd"/>
            <w:r w:rsidRPr="006F66BB">
              <w:rPr>
                <w:rFonts w:asciiTheme="minorHAnsi" w:hAnsiTheme="minorHAnsi" w:cstheme="minorHAnsi"/>
              </w:rPr>
              <w:t xml:space="preserve"> window of similar appearance to the existing. LBC granted 5 December 2011.</w:t>
            </w:r>
          </w:p>
          <w:p w14:paraId="2EB915E9" w14:textId="77777777" w:rsidR="006F66BB" w:rsidRPr="006F66BB" w:rsidRDefault="006F66BB" w:rsidP="006F66BB">
            <w:pPr>
              <w:jc w:val="both"/>
              <w:rPr>
                <w:rFonts w:asciiTheme="minorHAnsi" w:hAnsiTheme="minorHAnsi" w:cstheme="minorHAnsi"/>
              </w:rPr>
            </w:pPr>
          </w:p>
          <w:p w14:paraId="0D8A5E85" w14:textId="77777777" w:rsidR="006F66BB" w:rsidRPr="006F66BB" w:rsidRDefault="006F66BB" w:rsidP="006F66BB">
            <w:pPr>
              <w:jc w:val="both"/>
              <w:rPr>
                <w:rFonts w:asciiTheme="minorHAnsi" w:hAnsiTheme="minorHAnsi" w:cstheme="minorHAnsi"/>
              </w:rPr>
            </w:pPr>
            <w:r w:rsidRPr="006F66BB">
              <w:rPr>
                <w:rFonts w:asciiTheme="minorHAnsi" w:hAnsiTheme="minorHAnsi" w:cstheme="minorHAnsi"/>
              </w:rPr>
              <w:t xml:space="preserve"> </w:t>
            </w:r>
            <w:r w:rsidRPr="006F66BB">
              <w:rPr>
                <w:rFonts w:asciiTheme="minorHAnsi" w:hAnsiTheme="minorHAnsi" w:cstheme="minorHAnsi"/>
                <w:bCs/>
              </w:rPr>
              <w:t>3/2010/0584 - R</w:t>
            </w:r>
            <w:r w:rsidRPr="006F66BB">
              <w:rPr>
                <w:rFonts w:asciiTheme="minorHAnsi" w:hAnsiTheme="minorHAnsi" w:cstheme="minorHAnsi"/>
              </w:rPr>
              <w:t xml:space="preserve">emove (infill) the external doorway located within the alley between properties numbered 21 and </w:t>
            </w:r>
            <w:proofErr w:type="gramStart"/>
            <w:r w:rsidRPr="006F66BB">
              <w:rPr>
                <w:rFonts w:asciiTheme="minorHAnsi" w:hAnsiTheme="minorHAnsi" w:cstheme="minorHAnsi"/>
              </w:rPr>
              <w:t>22, and</w:t>
            </w:r>
            <w:proofErr w:type="gramEnd"/>
            <w:r w:rsidRPr="006F66BB">
              <w:rPr>
                <w:rFonts w:asciiTheme="minorHAnsi" w:hAnsiTheme="minorHAnsi" w:cstheme="minorHAnsi"/>
              </w:rPr>
              <w:t xml:space="preserve"> return the property to what is believed to be a more original appearance.  The door is inconsistent with the adjacent five properties which form a group listing. LBC granted 16 September 2010.</w:t>
            </w:r>
          </w:p>
          <w:p w14:paraId="1058C3C0" w14:textId="77777777" w:rsidR="006F66BB" w:rsidRPr="006F66BB" w:rsidRDefault="006F66BB" w:rsidP="006F66BB">
            <w:pPr>
              <w:pStyle w:val="Indent1"/>
              <w:rPr>
                <w:rFonts w:asciiTheme="minorHAnsi" w:hAnsiTheme="minorHAnsi" w:cstheme="minorHAnsi"/>
              </w:rPr>
            </w:pPr>
          </w:p>
          <w:p w14:paraId="385A4F67" w14:textId="4EE05964" w:rsidR="006F66BB" w:rsidRPr="006F66BB" w:rsidRDefault="006F66BB" w:rsidP="006F66BB">
            <w:pPr>
              <w:pStyle w:val="Header"/>
              <w:tabs>
                <w:tab w:val="clear" w:pos="4153"/>
                <w:tab w:val="clear" w:pos="8306"/>
              </w:tabs>
              <w:jc w:val="both"/>
              <w:rPr>
                <w:rFonts w:asciiTheme="minorHAnsi" w:hAnsiTheme="minorHAnsi" w:cstheme="minorHAnsi"/>
              </w:rPr>
            </w:pPr>
            <w:r w:rsidRPr="006F66BB">
              <w:rPr>
                <w:rFonts w:asciiTheme="minorHAnsi" w:hAnsiTheme="minorHAnsi" w:cstheme="minorHAnsi"/>
              </w:rPr>
              <w:t xml:space="preserve">3/2006/0666 &amp; 0664 - New single storey rear extension to provide dining kitchen area/extra space at ground floor level within the building. LBC &amp; PP granted 29 September 2006. </w:t>
            </w:r>
          </w:p>
          <w:p w14:paraId="7BA4F429" w14:textId="77777777" w:rsidR="006F66BB" w:rsidRPr="006F66BB" w:rsidRDefault="006F66BB" w:rsidP="006F66BB">
            <w:pPr>
              <w:pStyle w:val="Header"/>
              <w:tabs>
                <w:tab w:val="clear" w:pos="4153"/>
                <w:tab w:val="clear" w:pos="8306"/>
              </w:tabs>
              <w:jc w:val="both"/>
              <w:rPr>
                <w:rFonts w:asciiTheme="minorHAnsi" w:hAnsiTheme="minorHAnsi" w:cstheme="minorHAnsi"/>
              </w:rPr>
            </w:pPr>
          </w:p>
          <w:p w14:paraId="0237CF9F" w14:textId="16AEE6FE" w:rsidR="006F66BB" w:rsidRPr="006F66BB" w:rsidRDefault="006F66BB" w:rsidP="006F66BB">
            <w:pPr>
              <w:pStyle w:val="Header"/>
              <w:tabs>
                <w:tab w:val="clear" w:pos="4153"/>
                <w:tab w:val="clear" w:pos="8306"/>
              </w:tabs>
              <w:jc w:val="both"/>
              <w:rPr>
                <w:rFonts w:asciiTheme="minorHAnsi" w:hAnsiTheme="minorHAnsi" w:cstheme="minorHAnsi"/>
              </w:rPr>
            </w:pPr>
            <w:r w:rsidRPr="006F66BB">
              <w:rPr>
                <w:rFonts w:asciiTheme="minorHAnsi" w:hAnsiTheme="minorHAnsi" w:cstheme="minorHAnsi"/>
              </w:rPr>
              <w:t>3/1989/0803 &amp; 0804 – Extension to kitchen at rear of property. LBC &amp; PP granted 15 February 1990.</w:t>
            </w:r>
          </w:p>
          <w:p w14:paraId="6EEF035A" w14:textId="5C711BD8" w:rsidR="0005568C" w:rsidRPr="001946E0" w:rsidRDefault="0005568C" w:rsidP="00454754">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2C505CB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1C1AAE7" w14:textId="556271A9" w:rsidR="00154259" w:rsidRPr="00154259" w:rsidRDefault="00154259" w:rsidP="00154259">
            <w:pPr>
              <w:jc w:val="both"/>
              <w:rPr>
                <w:rFonts w:asciiTheme="minorHAnsi" w:hAnsiTheme="minorHAnsi" w:cstheme="minorHAnsi"/>
              </w:rPr>
            </w:pPr>
            <w:r w:rsidRPr="00154259">
              <w:rPr>
                <w:rFonts w:asciiTheme="minorHAnsi" w:hAnsiTheme="minorHAnsi" w:cstheme="minorHAnsi"/>
              </w:rPr>
              <w:t>Nos 16-22 (consecutive) Church Street, Ribchester is a row of Grade II listed (one entry in the list) late 18</w:t>
            </w:r>
            <w:r w:rsidRPr="00154259">
              <w:rPr>
                <w:rFonts w:asciiTheme="minorHAnsi" w:hAnsiTheme="minorHAnsi" w:cstheme="minorHAnsi"/>
                <w:vertAlign w:val="superscript"/>
              </w:rPr>
              <w:t>th</w:t>
            </w:r>
            <w:r w:rsidRPr="00154259">
              <w:rPr>
                <w:rFonts w:asciiTheme="minorHAnsi" w:hAnsiTheme="minorHAnsi" w:cstheme="minorHAnsi"/>
              </w:rPr>
              <w:t xml:space="preserve"> century weaver’s houses. The adjoining 8-15, 23-4 and 25-6 Church Street are also Grade II listed late 18</w:t>
            </w:r>
            <w:r w:rsidRPr="00154259">
              <w:rPr>
                <w:rFonts w:asciiTheme="minorHAnsi" w:hAnsiTheme="minorHAnsi" w:cstheme="minorHAnsi"/>
                <w:vertAlign w:val="superscript"/>
              </w:rPr>
              <w:t>th</w:t>
            </w:r>
            <w:r w:rsidRPr="00154259">
              <w:rPr>
                <w:rFonts w:asciiTheme="minorHAnsi" w:hAnsiTheme="minorHAnsi" w:cstheme="minorHAnsi"/>
              </w:rPr>
              <w:t xml:space="preserve"> century weaver’s houses which form one continuous terrace and are within the setting of 21 Church Street. </w:t>
            </w:r>
          </w:p>
          <w:p w14:paraId="45F3980F" w14:textId="77777777" w:rsidR="00154259" w:rsidRPr="00154259" w:rsidRDefault="00154259" w:rsidP="00154259">
            <w:pPr>
              <w:jc w:val="both"/>
              <w:rPr>
                <w:rFonts w:asciiTheme="minorHAnsi" w:hAnsiTheme="minorHAnsi" w:cstheme="minorHAnsi"/>
              </w:rPr>
            </w:pPr>
          </w:p>
          <w:p w14:paraId="2EF6F69A" w14:textId="3CAF35F7" w:rsidR="00154259" w:rsidRDefault="00154259" w:rsidP="00154259">
            <w:pPr>
              <w:jc w:val="both"/>
              <w:rPr>
                <w:rFonts w:asciiTheme="minorHAnsi" w:hAnsiTheme="minorHAnsi" w:cstheme="minorHAnsi"/>
              </w:rPr>
            </w:pPr>
            <w:r w:rsidRPr="00154259">
              <w:rPr>
                <w:rFonts w:asciiTheme="minorHAnsi" w:hAnsiTheme="minorHAnsi" w:cstheme="minorHAnsi"/>
              </w:rPr>
              <w:t>The terrace is at the centre of Ribchester Conservation Area and is also prominent in views from the playing field to the rear. The Ribchester Conservation Area Appraisal (adopted April 2007) identifies the view up and down the front of the row as an ‘Important View’ and the playing field to the rear as a ‘Significant Open Space’ (most of the playing field is also a Scheduled Ancient Monument).</w:t>
            </w:r>
          </w:p>
          <w:p w14:paraId="28B608D8" w14:textId="6A7DFE37" w:rsidR="00BA78C1" w:rsidRDefault="00BA78C1" w:rsidP="00154259">
            <w:pPr>
              <w:jc w:val="both"/>
              <w:rPr>
                <w:rFonts w:asciiTheme="minorHAnsi" w:hAnsiTheme="minorHAnsi" w:cstheme="minorHAnsi"/>
              </w:rPr>
            </w:pPr>
          </w:p>
          <w:p w14:paraId="7E8E6336" w14:textId="2D2B5D58" w:rsidR="00BA78C1" w:rsidRPr="00154259" w:rsidRDefault="00BA78C1" w:rsidP="00154259">
            <w:pPr>
              <w:jc w:val="both"/>
              <w:rPr>
                <w:rFonts w:asciiTheme="minorHAnsi" w:hAnsiTheme="minorHAnsi" w:cstheme="minorHAnsi"/>
              </w:rPr>
            </w:pPr>
            <w:r>
              <w:rPr>
                <w:rFonts w:asciiTheme="minorHAnsi" w:hAnsiTheme="minorHAnsi" w:cstheme="minorHAnsi"/>
              </w:rPr>
              <w:t xml:space="preserve">The outbuilding </w:t>
            </w:r>
            <w:r w:rsidR="000E0080">
              <w:rPr>
                <w:rFonts w:asciiTheme="minorHAnsi" w:hAnsiTheme="minorHAnsi" w:cstheme="minorHAnsi"/>
              </w:rPr>
              <w:t xml:space="preserve">appears to be </w:t>
            </w:r>
            <w:r>
              <w:rPr>
                <w:rFonts w:asciiTheme="minorHAnsi" w:hAnsiTheme="minorHAnsi" w:cstheme="minorHAnsi"/>
              </w:rPr>
              <w:t>one of th</w:t>
            </w:r>
            <w:r w:rsidR="002656D3">
              <w:rPr>
                <w:rFonts w:asciiTheme="minorHAnsi" w:hAnsiTheme="minorHAnsi" w:cstheme="minorHAnsi"/>
              </w:rPr>
              <w:t>ose</w:t>
            </w:r>
            <w:r>
              <w:rPr>
                <w:rFonts w:asciiTheme="minorHAnsi" w:hAnsiTheme="minorHAnsi" w:cstheme="minorHAnsi"/>
              </w:rPr>
              <w:t xml:space="preserve"> shown on </w:t>
            </w:r>
            <w:r w:rsidR="000E0080">
              <w:rPr>
                <w:rFonts w:asciiTheme="minorHAnsi" w:hAnsiTheme="minorHAnsi" w:cstheme="minorHAnsi"/>
              </w:rPr>
              <w:t>the 1847 and 1893 OS maps</w:t>
            </w:r>
            <w:r w:rsidR="002656D3">
              <w:rPr>
                <w:rFonts w:asciiTheme="minorHAnsi" w:hAnsiTheme="minorHAnsi" w:cstheme="minorHAnsi"/>
              </w:rPr>
              <w:t xml:space="preserve"> (grouped in pairs at property boundaries).</w:t>
            </w:r>
          </w:p>
          <w:p w14:paraId="6EDEDD1A" w14:textId="4AAB650C" w:rsidR="00154259" w:rsidRPr="00D102D9" w:rsidRDefault="00154259" w:rsidP="00454754">
            <w:pPr>
              <w:pStyle w:val="Header"/>
              <w:tabs>
                <w:tab w:val="clear" w:pos="4153"/>
                <w:tab w:val="clear" w:pos="8306"/>
              </w:tabs>
              <w:contextualSpacing/>
              <w:jc w:val="both"/>
              <w:rPr>
                <w:rFonts w:ascii="Calibri" w:hAnsi="Calibri"/>
                <w:b/>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10B1F22" w14:textId="10E022D0" w:rsidR="00454754" w:rsidRPr="00F012FA" w:rsidRDefault="007B1E7D" w:rsidP="00454754">
            <w:pPr>
              <w:pStyle w:val="Header"/>
              <w:tabs>
                <w:tab w:val="clear" w:pos="4153"/>
                <w:tab w:val="clear" w:pos="8306"/>
              </w:tabs>
              <w:jc w:val="both"/>
              <w:rPr>
                <w:rFonts w:ascii="Calibri" w:hAnsi="Calibri"/>
                <w:szCs w:val="22"/>
              </w:rPr>
            </w:pPr>
            <w:r>
              <w:rPr>
                <w:rFonts w:ascii="Calibri" w:hAnsi="Calibri"/>
                <w:szCs w:val="22"/>
              </w:rPr>
              <w:t xml:space="preserve">Planning permission is sought for the </w:t>
            </w:r>
            <w:r w:rsidR="00BC4764">
              <w:rPr>
                <w:rFonts w:ascii="Calibri" w:hAnsi="Calibri"/>
                <w:szCs w:val="22"/>
              </w:rPr>
              <w:t xml:space="preserve">demolition of the </w:t>
            </w:r>
            <w:r>
              <w:rPr>
                <w:rFonts w:ascii="Calibri" w:hAnsi="Calibri"/>
                <w:szCs w:val="22"/>
              </w:rPr>
              <w:t xml:space="preserve">rear garden outbuilding </w:t>
            </w:r>
            <w:r w:rsidR="00BC4764">
              <w:rPr>
                <w:rFonts w:ascii="Calibri" w:hAnsi="Calibri"/>
                <w:szCs w:val="22"/>
              </w:rPr>
              <w:t>(</w:t>
            </w:r>
            <w:r>
              <w:rPr>
                <w:rFonts w:ascii="Calibri" w:hAnsi="Calibri"/>
                <w:szCs w:val="22"/>
              </w:rPr>
              <w:t>contiguous with the rear boundary wall to the playing field</w:t>
            </w:r>
            <w:r w:rsidR="00BC4764">
              <w:rPr>
                <w:rFonts w:ascii="Calibri" w:hAnsi="Calibri"/>
                <w:szCs w:val="22"/>
              </w:rPr>
              <w:t>) and a new building in the same location for an outdoor hot tub facility</w:t>
            </w:r>
            <w:r>
              <w:rPr>
                <w:rFonts w:ascii="Calibri" w:hAnsi="Calibri"/>
                <w:szCs w:val="22"/>
              </w:rPr>
              <w:t>.</w:t>
            </w:r>
            <w:r w:rsidR="00BC4764">
              <w:rPr>
                <w:rFonts w:ascii="Calibri" w:hAnsi="Calibri"/>
                <w:szCs w:val="22"/>
              </w:rPr>
              <w:t xml:space="preserve"> The new building is taller, wider (almost full width of property) and longer than the historic outbuilding and has a fully glazed front to the house.</w:t>
            </w:r>
            <w:r w:rsidR="001225FA">
              <w:rPr>
                <w:rFonts w:ascii="Calibri" w:hAnsi="Calibri"/>
                <w:szCs w:val="22"/>
              </w:rPr>
              <w:t xml:space="preserve"> Existing materials to be re-used.</w:t>
            </w:r>
          </w:p>
        </w:tc>
      </w:tr>
      <w:tr w:rsidR="00C214A6" w:rsidRPr="00724A3E" w14:paraId="147B3BD4" w14:textId="77777777" w:rsidTr="00504440">
        <w:trPr>
          <w:trHeight w:val="864"/>
          <w:jc w:val="center"/>
        </w:trPr>
        <w:tc>
          <w:tcPr>
            <w:tcW w:w="9555" w:type="dxa"/>
            <w:gridSpan w:val="14"/>
            <w:tcMar>
              <w:top w:w="57" w:type="dxa"/>
              <w:bottom w:w="57" w:type="dxa"/>
            </w:tcMar>
          </w:tcPr>
          <w:p w14:paraId="3FB6B1EB" w14:textId="4D331793" w:rsidR="006D7624" w:rsidRPr="00724A3E" w:rsidRDefault="007B1E7D" w:rsidP="006D7624">
            <w:pPr>
              <w:pStyle w:val="Header"/>
              <w:jc w:val="both"/>
              <w:rPr>
                <w:rFonts w:asciiTheme="minorHAnsi" w:hAnsiTheme="minorHAnsi" w:cstheme="minorHAnsi"/>
                <w:b/>
                <w:szCs w:val="22"/>
              </w:rPr>
            </w:pPr>
            <w:r w:rsidRPr="00724A3E">
              <w:rPr>
                <w:rFonts w:asciiTheme="minorHAnsi" w:hAnsiTheme="minorHAnsi" w:cstheme="minorHAnsi"/>
                <w:b/>
                <w:szCs w:val="22"/>
              </w:rPr>
              <w:lastRenderedPageBreak/>
              <w:t>Impact upon the special architectural and historic interest of the listed building, the setting of listed buildings, the character and appearance of Ribchester Conservation Area and the setting of the scheduled monument</w:t>
            </w:r>
            <w:r w:rsidR="006D7624" w:rsidRPr="00724A3E">
              <w:rPr>
                <w:rFonts w:asciiTheme="minorHAnsi" w:hAnsiTheme="minorHAnsi" w:cstheme="minorHAnsi"/>
                <w:b/>
                <w:szCs w:val="22"/>
              </w:rPr>
              <w:t>:</w:t>
            </w:r>
          </w:p>
          <w:p w14:paraId="57519CC2" w14:textId="70F7A8DF" w:rsidR="00BA78C1" w:rsidRPr="00724A3E" w:rsidRDefault="00BA78C1" w:rsidP="006D7624">
            <w:pPr>
              <w:pStyle w:val="Header"/>
              <w:jc w:val="both"/>
              <w:rPr>
                <w:rFonts w:asciiTheme="minorHAnsi" w:hAnsiTheme="minorHAnsi" w:cstheme="minorHAnsi"/>
                <w:bCs/>
                <w:szCs w:val="22"/>
              </w:rPr>
            </w:pPr>
          </w:p>
          <w:p w14:paraId="4524B3DA" w14:textId="00001162" w:rsidR="00B438C4" w:rsidRPr="00B438C4" w:rsidRDefault="00BA78C1" w:rsidP="00B438C4">
            <w:pPr>
              <w:rPr>
                <w:rFonts w:asciiTheme="minorHAnsi" w:hAnsiTheme="minorHAnsi" w:cstheme="minorHAnsi"/>
                <w:color w:val="000000"/>
                <w:szCs w:val="22"/>
              </w:rPr>
            </w:pPr>
            <w:r w:rsidRPr="00724A3E">
              <w:rPr>
                <w:rFonts w:asciiTheme="minorHAnsi" w:hAnsiTheme="minorHAnsi" w:cstheme="minorHAnsi"/>
                <w:bCs/>
                <w:szCs w:val="22"/>
              </w:rPr>
              <w:t xml:space="preserve">The </w:t>
            </w:r>
            <w:r w:rsidR="00B438C4" w:rsidRPr="00724A3E">
              <w:rPr>
                <w:rFonts w:asciiTheme="minorHAnsi" w:hAnsiTheme="minorHAnsi" w:cstheme="minorHAnsi"/>
                <w:bCs/>
                <w:szCs w:val="22"/>
              </w:rPr>
              <w:t xml:space="preserve">Ribchester Conservation Area </w:t>
            </w:r>
            <w:proofErr w:type="gramStart"/>
            <w:r w:rsidR="00B438C4" w:rsidRPr="00724A3E">
              <w:rPr>
                <w:rFonts w:asciiTheme="minorHAnsi" w:hAnsiTheme="minorHAnsi" w:cstheme="minorHAnsi"/>
                <w:bCs/>
                <w:szCs w:val="22"/>
              </w:rPr>
              <w:t>Appraisal  identifies</w:t>
            </w:r>
            <w:proofErr w:type="gramEnd"/>
            <w:r w:rsidR="00B438C4" w:rsidRPr="00724A3E">
              <w:rPr>
                <w:rFonts w:asciiTheme="minorHAnsi" w:hAnsiTheme="minorHAnsi" w:cstheme="minorHAnsi"/>
                <w:bCs/>
                <w:szCs w:val="22"/>
              </w:rPr>
              <w:t xml:space="preserve"> “</w:t>
            </w:r>
            <w:r w:rsidR="00B438C4" w:rsidRPr="00724A3E">
              <w:rPr>
                <w:rFonts w:asciiTheme="minorHAnsi" w:hAnsiTheme="minorHAnsi" w:cstheme="minorHAnsi"/>
                <w:i/>
                <w:iCs/>
                <w:szCs w:val="22"/>
              </w:rPr>
              <w:t>Ribchester village is dominated by rows of handloom weavers' cottages, many of which were built in the late eighteenth century</w:t>
            </w:r>
            <w:r w:rsidR="00B438C4" w:rsidRPr="00724A3E">
              <w:rPr>
                <w:rFonts w:asciiTheme="minorHAnsi" w:hAnsiTheme="minorHAnsi" w:cstheme="minorHAnsi"/>
                <w:szCs w:val="22"/>
              </w:rPr>
              <w:t>” and “</w:t>
            </w:r>
            <w:r w:rsidR="00B438C4" w:rsidRPr="00724A3E">
              <w:rPr>
                <w:rFonts w:asciiTheme="minorHAnsi" w:hAnsiTheme="minorHAnsi" w:cstheme="minorHAnsi"/>
                <w:i/>
                <w:iCs/>
                <w:szCs w:val="22"/>
              </w:rPr>
              <w:t>Ribchester's greatest period of expansion and prosperity was from the late eighteenth century, when rows of handloom weavers' cottages were built in Church Street and Water Street, transforming a small rural settlement into an industrial village</w:t>
            </w:r>
            <w:r w:rsidR="00B438C4" w:rsidRPr="00724A3E">
              <w:rPr>
                <w:rFonts w:asciiTheme="minorHAnsi" w:hAnsiTheme="minorHAnsi" w:cstheme="minorHAnsi"/>
                <w:szCs w:val="22"/>
              </w:rPr>
              <w:t>”. The Summary of special interest identifies the importance of the building type and materials</w:t>
            </w:r>
            <w:r w:rsidR="00B6647D" w:rsidRPr="00724A3E">
              <w:rPr>
                <w:rFonts w:asciiTheme="minorHAnsi" w:hAnsiTheme="minorHAnsi" w:cstheme="minorHAnsi"/>
                <w:szCs w:val="22"/>
              </w:rPr>
              <w:t xml:space="preserve"> to the conservation area</w:t>
            </w:r>
            <w:r w:rsidR="00B438C4" w:rsidRPr="00724A3E">
              <w:rPr>
                <w:rFonts w:asciiTheme="minorHAnsi" w:hAnsiTheme="minorHAnsi" w:cstheme="minorHAnsi"/>
                <w:szCs w:val="22"/>
              </w:rPr>
              <w:t>: “</w:t>
            </w:r>
            <w:r w:rsidR="00B438C4" w:rsidRPr="00B438C4">
              <w:rPr>
                <w:rFonts w:asciiTheme="minorHAnsi" w:eastAsiaTheme="minorHAnsi" w:hAnsiTheme="minorHAnsi" w:cstheme="minorHAnsi"/>
                <w:i/>
                <w:iCs/>
                <w:color w:val="000000"/>
                <w:szCs w:val="22"/>
              </w:rPr>
              <w:t xml:space="preserve">Handloom weaver’s cottages, including two with cellar </w:t>
            </w:r>
            <w:proofErr w:type="spellStart"/>
            <w:r w:rsidR="00B438C4" w:rsidRPr="00B438C4">
              <w:rPr>
                <w:rFonts w:asciiTheme="minorHAnsi" w:eastAsiaTheme="minorHAnsi" w:hAnsiTheme="minorHAnsi" w:cstheme="minorHAnsi"/>
                <w:i/>
                <w:iCs/>
                <w:color w:val="000000"/>
                <w:szCs w:val="22"/>
              </w:rPr>
              <w:t>loomshops</w:t>
            </w:r>
            <w:proofErr w:type="spellEnd"/>
            <w:r w:rsidR="00B438C4" w:rsidRPr="00B438C4">
              <w:rPr>
                <w:rFonts w:asciiTheme="minorHAnsi" w:eastAsiaTheme="minorHAnsi" w:hAnsiTheme="minorHAnsi" w:cstheme="minorHAnsi"/>
                <w:i/>
                <w:iCs/>
                <w:color w:val="000000"/>
                <w:szCs w:val="22"/>
              </w:rPr>
              <w:t>, particularly in Church Street</w:t>
            </w:r>
            <w:r w:rsidR="00B438C4" w:rsidRPr="00724A3E">
              <w:rPr>
                <w:rFonts w:asciiTheme="minorHAnsi" w:eastAsiaTheme="minorHAnsi" w:hAnsiTheme="minorHAnsi" w:cstheme="minorHAnsi"/>
                <w:color w:val="000000"/>
                <w:szCs w:val="22"/>
              </w:rPr>
              <w:t>”; “</w:t>
            </w:r>
            <w:r w:rsidR="00B438C4" w:rsidRPr="00B438C4">
              <w:rPr>
                <w:rFonts w:asciiTheme="minorHAnsi" w:eastAsiaTheme="minorHAnsi" w:hAnsiTheme="minorHAnsi" w:cstheme="minorHAnsi"/>
                <w:i/>
                <w:iCs/>
                <w:color w:val="000000"/>
                <w:szCs w:val="22"/>
              </w:rPr>
              <w:t>The prevalent use of local building stone</w:t>
            </w:r>
            <w:r w:rsidR="00B438C4" w:rsidRPr="00724A3E">
              <w:rPr>
                <w:rFonts w:asciiTheme="minorHAnsi" w:eastAsiaTheme="minorHAnsi" w:hAnsiTheme="minorHAnsi" w:cstheme="minorHAnsi"/>
                <w:color w:val="000000"/>
                <w:szCs w:val="22"/>
              </w:rPr>
              <w:t>”.</w:t>
            </w:r>
            <w:r w:rsidR="00B438C4" w:rsidRPr="00B438C4">
              <w:rPr>
                <w:rFonts w:asciiTheme="minorHAnsi" w:eastAsiaTheme="minorHAnsi" w:hAnsiTheme="minorHAnsi" w:cstheme="minorHAnsi"/>
                <w:color w:val="000000"/>
                <w:szCs w:val="22"/>
              </w:rPr>
              <w:t xml:space="preserve"> </w:t>
            </w:r>
          </w:p>
          <w:p w14:paraId="0970C3FF" w14:textId="461BCB27" w:rsidR="00671EAF" w:rsidRPr="00724A3E" w:rsidRDefault="00671EAF" w:rsidP="006D7624">
            <w:pPr>
              <w:pStyle w:val="Header"/>
              <w:jc w:val="both"/>
              <w:rPr>
                <w:rFonts w:asciiTheme="minorHAnsi" w:hAnsiTheme="minorHAnsi" w:cstheme="minorHAnsi"/>
                <w:bCs/>
                <w:szCs w:val="22"/>
              </w:rPr>
            </w:pPr>
          </w:p>
          <w:p w14:paraId="67101E68" w14:textId="10A4267D" w:rsidR="00AC5F83" w:rsidRPr="00AC5F83" w:rsidRDefault="00CD5B05" w:rsidP="00AC5F83">
            <w:pPr>
              <w:rPr>
                <w:rFonts w:asciiTheme="minorHAnsi" w:hAnsiTheme="minorHAnsi" w:cstheme="minorHAnsi"/>
                <w:color w:val="000000"/>
                <w:szCs w:val="22"/>
              </w:rPr>
            </w:pPr>
            <w:r w:rsidRPr="00724A3E">
              <w:rPr>
                <w:rFonts w:asciiTheme="minorHAnsi" w:hAnsiTheme="minorHAnsi" w:cstheme="minorHAnsi"/>
                <w:bCs/>
                <w:szCs w:val="22"/>
              </w:rPr>
              <w:t>The appraisal warns of the loss</w:t>
            </w:r>
            <w:r w:rsidR="00AC5F83" w:rsidRPr="00724A3E">
              <w:rPr>
                <w:rFonts w:asciiTheme="minorHAnsi" w:hAnsiTheme="minorHAnsi" w:cstheme="minorHAnsi"/>
                <w:bCs/>
                <w:szCs w:val="22"/>
              </w:rPr>
              <w:t xml:space="preserve"> and alteration</w:t>
            </w:r>
            <w:r w:rsidRPr="00724A3E">
              <w:rPr>
                <w:rFonts w:asciiTheme="minorHAnsi" w:hAnsiTheme="minorHAnsi" w:cstheme="minorHAnsi"/>
                <w:bCs/>
                <w:szCs w:val="22"/>
              </w:rPr>
              <w:t xml:space="preserve"> of traditional architectural details: “</w:t>
            </w:r>
            <w:r w:rsidR="00AC5F83" w:rsidRPr="00AC5F83">
              <w:rPr>
                <w:rFonts w:asciiTheme="minorHAnsi" w:eastAsiaTheme="minorHAnsi" w:hAnsiTheme="minorHAnsi" w:cstheme="minorHAnsi"/>
                <w:i/>
                <w:iCs/>
                <w:color w:val="000000"/>
                <w:szCs w:val="22"/>
              </w:rPr>
              <w:t>Loss of architectural detail</w:t>
            </w:r>
            <w:r w:rsidR="00AC5F83" w:rsidRPr="00724A3E">
              <w:rPr>
                <w:rFonts w:asciiTheme="minorHAnsi" w:eastAsiaTheme="minorHAnsi" w:hAnsiTheme="minorHAnsi" w:cstheme="minorHAnsi"/>
                <w:color w:val="000000"/>
                <w:szCs w:val="22"/>
              </w:rPr>
              <w:t>”; “</w:t>
            </w:r>
            <w:r w:rsidR="00AC5F83" w:rsidRPr="00AC5F83">
              <w:rPr>
                <w:rFonts w:asciiTheme="minorHAnsi" w:eastAsiaTheme="minorHAnsi" w:hAnsiTheme="minorHAnsi" w:cstheme="minorHAnsi"/>
                <w:i/>
                <w:iCs/>
                <w:color w:val="000000"/>
                <w:szCs w:val="22"/>
              </w:rPr>
              <w:t>Insensitive alteration of historic buildings spoiling the conservation area’s historic character and appearance</w:t>
            </w:r>
            <w:r w:rsidR="00AC5F83" w:rsidRPr="00724A3E">
              <w:rPr>
                <w:rFonts w:asciiTheme="minorHAnsi" w:eastAsiaTheme="minorHAnsi" w:hAnsiTheme="minorHAnsi" w:cstheme="minorHAnsi"/>
                <w:color w:val="000000"/>
                <w:szCs w:val="22"/>
              </w:rPr>
              <w:t>” (Weaknesses); “</w:t>
            </w:r>
            <w:r w:rsidR="00AC5F83" w:rsidRPr="00AC5F83">
              <w:rPr>
                <w:rFonts w:asciiTheme="minorHAnsi" w:eastAsiaTheme="minorHAnsi" w:hAnsiTheme="minorHAnsi" w:cstheme="minorHAnsi"/>
                <w:i/>
                <w:iCs/>
                <w:color w:val="000000"/>
                <w:szCs w:val="22"/>
              </w:rPr>
              <w:t>Continuing loss of original architectural details and use of inappropriate modern materials or details</w:t>
            </w:r>
            <w:r w:rsidR="00AC5F83" w:rsidRPr="00724A3E">
              <w:rPr>
                <w:rFonts w:asciiTheme="minorHAnsi" w:eastAsiaTheme="minorHAnsi" w:hAnsiTheme="minorHAnsi" w:cstheme="minorHAnsi"/>
                <w:color w:val="000000"/>
                <w:szCs w:val="22"/>
              </w:rPr>
              <w:t>” (Threats).</w:t>
            </w:r>
            <w:r w:rsidR="00AC5F83" w:rsidRPr="00AC5F83">
              <w:rPr>
                <w:rFonts w:asciiTheme="minorHAnsi" w:eastAsiaTheme="minorHAnsi" w:hAnsiTheme="minorHAnsi" w:cstheme="minorHAnsi"/>
                <w:color w:val="000000"/>
                <w:szCs w:val="22"/>
              </w:rPr>
              <w:t xml:space="preserve"> </w:t>
            </w:r>
          </w:p>
          <w:p w14:paraId="52D7DFC8" w14:textId="706B5ED5" w:rsidR="00AC5F83" w:rsidRPr="00AC5F83" w:rsidRDefault="00AC5F83" w:rsidP="00AC5F83">
            <w:pPr>
              <w:rPr>
                <w:rFonts w:asciiTheme="minorHAnsi" w:hAnsiTheme="minorHAnsi" w:cstheme="minorHAnsi"/>
                <w:color w:val="000000"/>
                <w:sz w:val="24"/>
                <w:szCs w:val="24"/>
              </w:rPr>
            </w:pPr>
          </w:p>
          <w:p w14:paraId="11A1B0AC" w14:textId="21728E05" w:rsidR="00AC5F83" w:rsidRPr="00724A3E" w:rsidRDefault="0086717F" w:rsidP="00AC5F83">
            <w:pPr>
              <w:rPr>
                <w:rFonts w:asciiTheme="minorHAnsi" w:hAnsiTheme="minorHAnsi" w:cstheme="minorHAnsi"/>
                <w:color w:val="000000"/>
                <w:szCs w:val="22"/>
              </w:rPr>
            </w:pPr>
            <w:r w:rsidRPr="00724A3E">
              <w:rPr>
                <w:rFonts w:asciiTheme="minorHAnsi" w:hAnsiTheme="minorHAnsi" w:cstheme="minorHAnsi"/>
                <w:color w:val="000000"/>
                <w:szCs w:val="22"/>
              </w:rPr>
              <w:t>Furthermore, the Ribchester Conservation Area Management Guidance identifies the importance of materials to character and appearance:</w:t>
            </w:r>
          </w:p>
          <w:p w14:paraId="3D74D12D" w14:textId="45898124" w:rsidR="0086717F" w:rsidRPr="00724A3E" w:rsidRDefault="0086717F" w:rsidP="00AC5F83">
            <w:pPr>
              <w:rPr>
                <w:rFonts w:asciiTheme="minorHAnsi" w:hAnsiTheme="minorHAnsi" w:cstheme="minorHAnsi"/>
                <w:color w:val="000000"/>
                <w:szCs w:val="22"/>
              </w:rPr>
            </w:pPr>
          </w:p>
          <w:p w14:paraId="472C268F" w14:textId="01548DEC" w:rsidR="0086717F" w:rsidRPr="00724A3E" w:rsidRDefault="0086717F" w:rsidP="00AC5F83">
            <w:pPr>
              <w:rPr>
                <w:rFonts w:asciiTheme="minorHAnsi" w:hAnsiTheme="minorHAnsi" w:cstheme="minorHAnsi"/>
                <w:szCs w:val="22"/>
              </w:rPr>
            </w:pPr>
            <w:r w:rsidRPr="00724A3E">
              <w:rPr>
                <w:rFonts w:asciiTheme="minorHAnsi" w:hAnsiTheme="minorHAnsi" w:cstheme="minorHAnsi"/>
                <w:color w:val="000000"/>
                <w:szCs w:val="22"/>
              </w:rPr>
              <w:t>“</w:t>
            </w:r>
            <w:r w:rsidRPr="00724A3E">
              <w:rPr>
                <w:rFonts w:asciiTheme="minorHAnsi" w:hAnsiTheme="minorHAnsi" w:cstheme="minorHAnsi"/>
                <w:i/>
                <w:iCs/>
                <w:szCs w:val="22"/>
              </w:rPr>
              <w:t xml:space="preserve">Roofs: The roof is nearly always a dominant feature of a building and the retention of its original structure, shape, pitch, </w:t>
            </w:r>
            <w:proofErr w:type="gramStart"/>
            <w:r w:rsidRPr="00724A3E">
              <w:rPr>
                <w:rFonts w:asciiTheme="minorHAnsi" w:hAnsiTheme="minorHAnsi" w:cstheme="minorHAnsi"/>
                <w:i/>
                <w:iCs/>
                <w:szCs w:val="22"/>
              </w:rPr>
              <w:t>cladding</w:t>
            </w:r>
            <w:proofErr w:type="gramEnd"/>
            <w:r w:rsidRPr="00724A3E">
              <w:rPr>
                <w:rFonts w:asciiTheme="minorHAnsi" w:hAnsiTheme="minorHAnsi" w:cstheme="minorHAnsi"/>
                <w:i/>
                <w:iCs/>
                <w:szCs w:val="22"/>
              </w:rPr>
              <w:t xml:space="preserve"> and ornament is important. Traditional roofing materials should be retained</w:t>
            </w:r>
            <w:r w:rsidRPr="00724A3E">
              <w:rPr>
                <w:rFonts w:asciiTheme="minorHAnsi" w:hAnsiTheme="minorHAnsi" w:cstheme="minorHAnsi"/>
                <w:szCs w:val="22"/>
              </w:rPr>
              <w:t>”.</w:t>
            </w:r>
          </w:p>
          <w:p w14:paraId="23D5366E" w14:textId="4595ED6F" w:rsidR="0086717F" w:rsidRPr="00724A3E" w:rsidRDefault="0086717F" w:rsidP="00AC5F83">
            <w:pPr>
              <w:rPr>
                <w:rFonts w:asciiTheme="minorHAnsi" w:hAnsiTheme="minorHAnsi" w:cstheme="minorHAnsi"/>
                <w:color w:val="000000"/>
                <w:szCs w:val="22"/>
              </w:rPr>
            </w:pPr>
          </w:p>
          <w:p w14:paraId="23C287A4" w14:textId="1E626E30" w:rsidR="0086717F" w:rsidRPr="00724A3E" w:rsidRDefault="0086717F" w:rsidP="00AC5F83">
            <w:pPr>
              <w:rPr>
                <w:rFonts w:asciiTheme="minorHAnsi" w:hAnsiTheme="minorHAnsi" w:cstheme="minorHAnsi"/>
                <w:szCs w:val="22"/>
              </w:rPr>
            </w:pPr>
            <w:r w:rsidRPr="00724A3E">
              <w:rPr>
                <w:rFonts w:asciiTheme="minorHAnsi" w:hAnsiTheme="minorHAnsi" w:cstheme="minorHAnsi"/>
                <w:color w:val="000000"/>
                <w:szCs w:val="22"/>
              </w:rPr>
              <w:t>“</w:t>
            </w:r>
            <w:r w:rsidRPr="00724A3E">
              <w:rPr>
                <w:rFonts w:asciiTheme="minorHAnsi" w:hAnsiTheme="minorHAnsi" w:cstheme="minorHAnsi"/>
                <w:i/>
                <w:iCs/>
                <w:szCs w:val="22"/>
              </w:rPr>
              <w:t xml:space="preserve">Stone roofing slates: Stone slate roofs are a fundamental part of the distinctive local character of vernacular buildings in </w:t>
            </w:r>
            <w:proofErr w:type="spellStart"/>
            <w:r w:rsidRPr="00724A3E">
              <w:rPr>
                <w:rFonts w:asciiTheme="minorHAnsi" w:hAnsiTheme="minorHAnsi" w:cstheme="minorHAnsi"/>
                <w:i/>
                <w:iCs/>
                <w:szCs w:val="22"/>
              </w:rPr>
              <w:t>Ribble</w:t>
            </w:r>
            <w:proofErr w:type="spellEnd"/>
            <w:r w:rsidRPr="00724A3E">
              <w:rPr>
                <w:rFonts w:asciiTheme="minorHAnsi" w:hAnsiTheme="minorHAnsi" w:cstheme="minorHAnsi"/>
                <w:i/>
                <w:iCs/>
                <w:szCs w:val="22"/>
              </w:rPr>
              <w:t xml:space="preserve"> Valley. The character of the roof is derived principally from the colour and texture of the stone slates, their size, </w:t>
            </w:r>
            <w:proofErr w:type="gramStart"/>
            <w:r w:rsidRPr="00724A3E">
              <w:rPr>
                <w:rFonts w:asciiTheme="minorHAnsi" w:hAnsiTheme="minorHAnsi" w:cstheme="minorHAnsi"/>
                <w:i/>
                <w:iCs/>
                <w:szCs w:val="22"/>
              </w:rPr>
              <w:t>thickness</w:t>
            </w:r>
            <w:proofErr w:type="gramEnd"/>
            <w:r w:rsidRPr="00724A3E">
              <w:rPr>
                <w:rFonts w:asciiTheme="minorHAnsi" w:hAnsiTheme="minorHAnsi" w:cstheme="minorHAnsi"/>
                <w:i/>
                <w:iCs/>
                <w:szCs w:val="22"/>
              </w:rPr>
              <w:t xml:space="preserve"> and roughness. They are often laid in courses diminishing in size from the eaves to the ridge</w:t>
            </w:r>
            <w:r w:rsidRPr="00724A3E">
              <w:rPr>
                <w:rFonts w:asciiTheme="minorHAnsi" w:hAnsiTheme="minorHAnsi" w:cstheme="minorHAnsi"/>
                <w:szCs w:val="22"/>
              </w:rPr>
              <w:t>”.</w:t>
            </w:r>
          </w:p>
          <w:p w14:paraId="4129EBEC" w14:textId="004C9754" w:rsidR="0086717F" w:rsidRPr="00724A3E" w:rsidRDefault="0086717F" w:rsidP="00AC5F83">
            <w:pPr>
              <w:rPr>
                <w:rFonts w:asciiTheme="minorHAnsi" w:hAnsiTheme="minorHAnsi" w:cstheme="minorHAnsi"/>
                <w:color w:val="000000"/>
                <w:szCs w:val="22"/>
              </w:rPr>
            </w:pPr>
          </w:p>
          <w:p w14:paraId="155615C9" w14:textId="670DC69F" w:rsidR="0086717F" w:rsidRDefault="0086717F" w:rsidP="00AC5F83">
            <w:pPr>
              <w:rPr>
                <w:rFonts w:asciiTheme="minorHAnsi" w:hAnsiTheme="minorHAnsi" w:cstheme="minorHAnsi"/>
                <w:szCs w:val="22"/>
              </w:rPr>
            </w:pPr>
            <w:r w:rsidRPr="00724A3E">
              <w:rPr>
                <w:rFonts w:asciiTheme="minorHAnsi" w:hAnsiTheme="minorHAnsi" w:cstheme="minorHAnsi"/>
                <w:szCs w:val="22"/>
              </w:rPr>
              <w:t>“</w:t>
            </w:r>
            <w:r w:rsidRPr="00724A3E">
              <w:rPr>
                <w:rFonts w:asciiTheme="minorHAnsi" w:hAnsiTheme="minorHAnsi" w:cstheme="minorHAnsi"/>
                <w:i/>
                <w:iCs/>
                <w:szCs w:val="22"/>
              </w:rPr>
              <w:t>Stonework: Alterations to wall surfaces are usually the most damaging that can be made to the overall appearance of a historic building. Alterations or repairs to external elevations should respect historic fabric and match it in materials, texture, quality and colour</w:t>
            </w:r>
            <w:r w:rsidRPr="00724A3E">
              <w:rPr>
                <w:rFonts w:asciiTheme="minorHAnsi" w:hAnsiTheme="minorHAnsi" w:cstheme="minorHAnsi"/>
                <w:szCs w:val="22"/>
              </w:rPr>
              <w:t>”.</w:t>
            </w:r>
          </w:p>
          <w:p w14:paraId="1689AC2A" w14:textId="3A9E7809" w:rsidR="00286C41" w:rsidRDefault="00286C41" w:rsidP="00AC5F83">
            <w:pPr>
              <w:rPr>
                <w:rFonts w:asciiTheme="minorHAnsi" w:hAnsiTheme="minorHAnsi" w:cstheme="minorHAnsi"/>
                <w:szCs w:val="22"/>
              </w:rPr>
            </w:pPr>
          </w:p>
          <w:p w14:paraId="2CAC25FA" w14:textId="2BE2E776" w:rsidR="00286C41" w:rsidRPr="00724A3E" w:rsidRDefault="00286C41" w:rsidP="00286C41">
            <w:pPr>
              <w:pStyle w:val="Header"/>
              <w:jc w:val="both"/>
              <w:rPr>
                <w:rFonts w:asciiTheme="minorHAnsi" w:hAnsiTheme="minorHAnsi" w:cstheme="minorHAnsi"/>
                <w:bCs/>
                <w:szCs w:val="22"/>
              </w:rPr>
            </w:pPr>
            <w:r>
              <w:rPr>
                <w:rFonts w:asciiTheme="minorHAnsi" w:hAnsiTheme="minorHAnsi" w:cstheme="minorHAnsi"/>
                <w:szCs w:val="22"/>
              </w:rPr>
              <w:t>Therefore,</w:t>
            </w:r>
            <w:r w:rsidRPr="00724A3E">
              <w:rPr>
                <w:rFonts w:asciiTheme="minorHAnsi" w:hAnsiTheme="minorHAnsi" w:cstheme="minorHAnsi"/>
                <w:bCs/>
                <w:szCs w:val="22"/>
              </w:rPr>
              <w:t xml:space="preserve"> </w:t>
            </w:r>
            <w:r>
              <w:rPr>
                <w:rFonts w:asciiTheme="minorHAnsi" w:hAnsiTheme="minorHAnsi" w:cstheme="minorHAnsi"/>
                <w:bCs/>
                <w:szCs w:val="22"/>
              </w:rPr>
              <w:t>t</w:t>
            </w:r>
            <w:r w:rsidRPr="00724A3E">
              <w:rPr>
                <w:rFonts w:asciiTheme="minorHAnsi" w:hAnsiTheme="minorHAnsi" w:cstheme="minorHAnsi"/>
                <w:bCs/>
                <w:szCs w:val="22"/>
              </w:rPr>
              <w:t xml:space="preserve">he proposal has a harmful impact upon the special architectural and historic interest of the listed building, the setting of listed buildings and the character and appearance of Ribchester Conservation Area because of the loss of an important element of townscape (traditional materials of stone walling and stone slate roof and form) and contributor to the understanding of the historic use of the weaver’s house (the extent of survival of late C18 domestic weaver’s accommodation is unusual). </w:t>
            </w:r>
            <w:r>
              <w:rPr>
                <w:rFonts w:asciiTheme="minorHAnsi" w:hAnsiTheme="minorHAnsi" w:cstheme="minorHAnsi"/>
                <w:bCs/>
                <w:szCs w:val="22"/>
              </w:rPr>
              <w:t>This is contrary to Core Strategy Key Statement EN5 and Policy DME4 and DMG1.</w:t>
            </w:r>
            <w:r w:rsidRPr="00724A3E">
              <w:rPr>
                <w:rFonts w:asciiTheme="minorHAnsi" w:hAnsiTheme="minorHAnsi" w:cstheme="minorHAnsi"/>
                <w:bCs/>
                <w:szCs w:val="22"/>
              </w:rPr>
              <w:t>The outbuilding would appear to be part of the listing [section 1(5) of the Act].</w:t>
            </w:r>
          </w:p>
          <w:p w14:paraId="6C6FD49F" w14:textId="6339C5EE" w:rsidR="00286C41" w:rsidRDefault="00286C41" w:rsidP="00AC5F83">
            <w:pPr>
              <w:rPr>
                <w:rFonts w:asciiTheme="minorHAnsi" w:hAnsiTheme="minorHAnsi" w:cstheme="minorHAnsi"/>
                <w:szCs w:val="22"/>
              </w:rPr>
            </w:pPr>
          </w:p>
          <w:p w14:paraId="47D760DF" w14:textId="77777777" w:rsidR="00286C41" w:rsidRPr="00724A3E" w:rsidRDefault="00286C41" w:rsidP="00AC5F83">
            <w:pPr>
              <w:rPr>
                <w:rFonts w:asciiTheme="minorHAnsi" w:hAnsiTheme="minorHAnsi" w:cstheme="minorHAnsi"/>
                <w:szCs w:val="22"/>
              </w:rPr>
            </w:pPr>
          </w:p>
          <w:p w14:paraId="6DC0A084" w14:textId="11DAD19C" w:rsidR="00D949AC" w:rsidRPr="00724A3E" w:rsidRDefault="00D949AC" w:rsidP="00AC5F83">
            <w:pPr>
              <w:rPr>
                <w:rFonts w:asciiTheme="minorHAnsi" w:hAnsiTheme="minorHAnsi" w:cstheme="minorHAnsi"/>
                <w:color w:val="000000"/>
                <w:szCs w:val="22"/>
              </w:rPr>
            </w:pPr>
          </w:p>
          <w:p w14:paraId="055ADE4A" w14:textId="41994362" w:rsidR="00724A3E" w:rsidRPr="00724A3E" w:rsidRDefault="00D949AC" w:rsidP="00724A3E">
            <w:pPr>
              <w:overflowPunct/>
              <w:textAlignment w:val="auto"/>
              <w:rPr>
                <w:rFonts w:asciiTheme="minorHAnsi" w:hAnsiTheme="minorHAnsi" w:cstheme="minorHAnsi"/>
                <w:color w:val="000000"/>
                <w:szCs w:val="22"/>
              </w:rPr>
            </w:pPr>
            <w:r w:rsidRPr="00724A3E">
              <w:rPr>
                <w:rFonts w:asciiTheme="minorHAnsi" w:hAnsiTheme="minorHAnsi" w:cstheme="minorHAnsi"/>
                <w:color w:val="000000"/>
                <w:szCs w:val="22"/>
              </w:rPr>
              <w:t xml:space="preserve">The justification for demolition </w:t>
            </w:r>
            <w:r w:rsidR="008C1430">
              <w:rPr>
                <w:rFonts w:asciiTheme="minorHAnsi" w:hAnsiTheme="minorHAnsi" w:cstheme="minorHAnsi"/>
                <w:color w:val="000000"/>
                <w:szCs w:val="22"/>
              </w:rPr>
              <w:t xml:space="preserve">rather than repair is not clear and convincing </w:t>
            </w:r>
            <w:r w:rsidRPr="00724A3E">
              <w:rPr>
                <w:rFonts w:asciiTheme="minorHAnsi" w:hAnsiTheme="minorHAnsi" w:cstheme="minorHAnsi"/>
                <w:color w:val="000000"/>
                <w:szCs w:val="22"/>
              </w:rPr>
              <w:t>(NPPF 200).</w:t>
            </w:r>
            <w:r w:rsidR="001628CB" w:rsidRPr="00724A3E">
              <w:rPr>
                <w:rFonts w:asciiTheme="minorHAnsi" w:hAnsiTheme="minorHAnsi" w:cstheme="minorHAnsi"/>
                <w:color w:val="000000"/>
                <w:szCs w:val="22"/>
              </w:rPr>
              <w:t xml:space="preserve"> The application form identifies</w:t>
            </w:r>
            <w:r w:rsidR="00724A3E">
              <w:rPr>
                <w:rFonts w:asciiTheme="minorHAnsi" w:hAnsiTheme="minorHAnsi" w:cstheme="minorHAnsi"/>
                <w:color w:val="000000"/>
                <w:szCs w:val="22"/>
              </w:rPr>
              <w:t xml:space="preserve">: </w:t>
            </w:r>
            <w:r w:rsidR="001628CB" w:rsidRPr="00724A3E">
              <w:rPr>
                <w:rFonts w:asciiTheme="minorHAnsi" w:hAnsiTheme="minorHAnsi" w:cstheme="minorHAnsi"/>
                <w:color w:val="000000"/>
                <w:szCs w:val="22"/>
              </w:rPr>
              <w:t>“</w:t>
            </w:r>
            <w:r w:rsidR="001628CB" w:rsidRPr="00724A3E">
              <w:rPr>
                <w:rFonts w:asciiTheme="minorHAnsi" w:eastAsiaTheme="minorHAnsi" w:hAnsiTheme="minorHAnsi" w:cstheme="minorHAnsi"/>
                <w:i/>
                <w:iCs/>
                <w:szCs w:val="22"/>
              </w:rPr>
              <w:t>restricted head height making access impracticable … there also appears to be a vertical crack in the stone boundary wall with the neighbouring property</w:t>
            </w:r>
            <w:r w:rsidR="001628CB" w:rsidRPr="00724A3E">
              <w:rPr>
                <w:rFonts w:asciiTheme="minorHAnsi" w:eastAsiaTheme="minorHAnsi" w:hAnsiTheme="minorHAnsi" w:cstheme="minorHAnsi"/>
                <w:szCs w:val="22"/>
              </w:rPr>
              <w:t xml:space="preserve">”. </w:t>
            </w:r>
          </w:p>
          <w:p w14:paraId="648C6707" w14:textId="77777777" w:rsidR="00724A3E" w:rsidRDefault="00724A3E" w:rsidP="00724A3E">
            <w:pPr>
              <w:overflowPunct/>
              <w:textAlignment w:val="auto"/>
              <w:rPr>
                <w:rFonts w:asciiTheme="minorHAnsi" w:eastAsiaTheme="minorHAnsi" w:hAnsiTheme="minorHAnsi" w:cstheme="minorHAnsi"/>
                <w:szCs w:val="22"/>
              </w:rPr>
            </w:pPr>
          </w:p>
          <w:p w14:paraId="6B7D1675" w14:textId="313BAEF6" w:rsidR="00724A3E" w:rsidRDefault="00724A3E" w:rsidP="00724A3E">
            <w:pPr>
              <w:overflowPunct/>
              <w:textAlignment w:val="auto"/>
              <w:rPr>
                <w:rFonts w:asciiTheme="minorHAnsi" w:eastAsiaTheme="minorHAnsi" w:hAnsiTheme="minorHAnsi" w:cstheme="minorHAnsi"/>
                <w:szCs w:val="22"/>
              </w:rPr>
            </w:pPr>
            <w:r w:rsidRPr="00724A3E">
              <w:rPr>
                <w:rFonts w:asciiTheme="minorHAnsi" w:eastAsiaTheme="minorHAnsi" w:hAnsiTheme="minorHAnsi" w:cstheme="minorHAnsi"/>
                <w:szCs w:val="22"/>
              </w:rPr>
              <w:t>The Heritage Statement identifies</w:t>
            </w:r>
            <w:r>
              <w:rPr>
                <w:rFonts w:asciiTheme="minorHAnsi" w:eastAsiaTheme="minorHAnsi" w:hAnsiTheme="minorHAnsi" w:cstheme="minorHAnsi"/>
                <w:szCs w:val="22"/>
              </w:rPr>
              <w:t>:</w:t>
            </w:r>
            <w:r w:rsidRPr="00724A3E">
              <w:rPr>
                <w:rFonts w:asciiTheme="minorHAnsi" w:eastAsiaTheme="minorHAnsi" w:hAnsiTheme="minorHAnsi" w:cstheme="minorHAnsi"/>
                <w:szCs w:val="22"/>
              </w:rPr>
              <w:t xml:space="preserve"> “</w:t>
            </w:r>
            <w:r w:rsidRPr="00724A3E">
              <w:rPr>
                <w:rFonts w:asciiTheme="minorHAnsi" w:eastAsiaTheme="minorHAnsi" w:hAnsiTheme="minorHAnsi" w:cstheme="minorHAnsi"/>
                <w:i/>
                <w:iCs/>
                <w:szCs w:val="22"/>
              </w:rPr>
              <w:t>The main issue with the existing outbuilding is that the internal heights do not have sufficient head</w:t>
            </w:r>
            <w:r>
              <w:rPr>
                <w:rFonts w:asciiTheme="minorHAnsi" w:eastAsiaTheme="minorHAnsi" w:hAnsiTheme="minorHAnsi" w:cstheme="minorHAnsi"/>
                <w:i/>
                <w:iCs/>
                <w:szCs w:val="22"/>
              </w:rPr>
              <w:t xml:space="preserve"> </w:t>
            </w:r>
            <w:r w:rsidRPr="00724A3E">
              <w:rPr>
                <w:rFonts w:asciiTheme="minorHAnsi" w:eastAsiaTheme="minorHAnsi" w:hAnsiTheme="minorHAnsi" w:cstheme="minorHAnsi"/>
                <w:i/>
                <w:iCs/>
                <w:szCs w:val="22"/>
              </w:rPr>
              <w:t>height to allow a person to stand-up”.</w:t>
            </w:r>
            <w:r w:rsidRPr="00724A3E">
              <w:rPr>
                <w:rFonts w:asciiTheme="minorHAnsi" w:eastAsiaTheme="minorHAnsi" w:hAnsiTheme="minorHAnsi" w:cstheme="minorHAnsi"/>
                <w:szCs w:val="22"/>
              </w:rPr>
              <w:t xml:space="preserve"> </w:t>
            </w:r>
          </w:p>
          <w:p w14:paraId="24D84B9B" w14:textId="77777777" w:rsidR="00724A3E" w:rsidRDefault="00724A3E" w:rsidP="00724A3E">
            <w:pPr>
              <w:overflowPunct/>
              <w:textAlignment w:val="auto"/>
              <w:rPr>
                <w:rFonts w:asciiTheme="minorHAnsi" w:eastAsiaTheme="minorHAnsi" w:hAnsiTheme="minorHAnsi" w:cstheme="minorHAnsi"/>
                <w:szCs w:val="22"/>
              </w:rPr>
            </w:pPr>
          </w:p>
          <w:p w14:paraId="0C284464" w14:textId="0D5463C0" w:rsidR="00724A3E" w:rsidRDefault="00724A3E" w:rsidP="00724A3E">
            <w:pPr>
              <w:overflowPunct/>
              <w:textAlignment w:val="auto"/>
              <w:rPr>
                <w:rFonts w:asciiTheme="minorHAnsi" w:hAnsiTheme="minorHAnsi" w:cstheme="minorHAnsi"/>
                <w:szCs w:val="22"/>
              </w:rPr>
            </w:pPr>
            <w:r>
              <w:rPr>
                <w:rFonts w:asciiTheme="minorHAnsi" w:eastAsiaTheme="minorHAnsi" w:hAnsiTheme="minorHAnsi" w:cstheme="minorHAnsi"/>
                <w:szCs w:val="22"/>
              </w:rPr>
              <w:t xml:space="preserve">The Structural Report identifies: </w:t>
            </w:r>
            <w:r w:rsidRPr="00724A3E">
              <w:rPr>
                <w:rFonts w:asciiTheme="minorHAnsi" w:eastAsiaTheme="minorHAnsi" w:hAnsiTheme="minorHAnsi" w:cstheme="minorHAnsi"/>
                <w:szCs w:val="22"/>
              </w:rPr>
              <w:t>“</w:t>
            </w:r>
            <w:r w:rsidRPr="00724A3E">
              <w:rPr>
                <w:rFonts w:asciiTheme="minorHAnsi" w:hAnsiTheme="minorHAnsi" w:cstheme="minorHAnsi"/>
                <w:i/>
                <w:iCs/>
                <w:szCs w:val="22"/>
              </w:rPr>
              <w:t>The outbuilding has solid stone walls to a thickness of between 380-400mm to three sides. The stonework has been repointed in areas but is in general in a good state of repair</w:t>
            </w:r>
            <w:r w:rsidRPr="00724A3E">
              <w:rPr>
                <w:rFonts w:asciiTheme="minorHAnsi" w:hAnsiTheme="minorHAnsi" w:cstheme="minorHAnsi"/>
                <w:szCs w:val="22"/>
              </w:rPr>
              <w:t>”</w:t>
            </w:r>
            <w:r w:rsidR="00DC6EC7">
              <w:rPr>
                <w:rFonts w:asciiTheme="minorHAnsi" w:hAnsiTheme="minorHAnsi" w:cstheme="minorHAnsi"/>
                <w:szCs w:val="22"/>
              </w:rPr>
              <w:t>.</w:t>
            </w:r>
          </w:p>
          <w:p w14:paraId="798380DB" w14:textId="44F35608" w:rsidR="00DC6EC7" w:rsidRDefault="00DC6EC7" w:rsidP="00724A3E">
            <w:pPr>
              <w:overflowPunct/>
              <w:textAlignment w:val="auto"/>
              <w:rPr>
                <w:rFonts w:asciiTheme="minorHAnsi" w:hAnsiTheme="minorHAnsi" w:cstheme="minorHAnsi"/>
                <w:szCs w:val="22"/>
              </w:rPr>
            </w:pPr>
          </w:p>
          <w:p w14:paraId="46385024" w14:textId="1813935A" w:rsidR="00DC6EC7" w:rsidRPr="00DC6EC7" w:rsidRDefault="00DC6EC7" w:rsidP="00724A3E">
            <w:pPr>
              <w:overflowPunct/>
              <w:textAlignment w:val="auto"/>
              <w:rPr>
                <w:rFonts w:asciiTheme="minorHAnsi" w:hAnsiTheme="minorHAnsi" w:cstheme="minorHAnsi"/>
                <w:szCs w:val="22"/>
              </w:rPr>
            </w:pPr>
            <w:r>
              <w:rPr>
                <w:rFonts w:asciiTheme="minorHAnsi" w:hAnsiTheme="minorHAnsi" w:cstheme="minorHAnsi"/>
                <w:szCs w:val="22"/>
              </w:rPr>
              <w:lastRenderedPageBreak/>
              <w:t xml:space="preserve">(Conclusions) </w:t>
            </w:r>
            <w:r w:rsidRPr="00DC6EC7">
              <w:rPr>
                <w:rFonts w:asciiTheme="minorHAnsi" w:hAnsiTheme="minorHAnsi" w:cstheme="minorHAnsi"/>
                <w:szCs w:val="22"/>
              </w:rPr>
              <w:t>“</w:t>
            </w:r>
            <w:r w:rsidRPr="00DC6EC7">
              <w:rPr>
                <w:rFonts w:asciiTheme="minorHAnsi" w:hAnsiTheme="minorHAnsi" w:cstheme="minorHAnsi"/>
                <w:i/>
                <w:iCs/>
                <w:szCs w:val="22"/>
              </w:rPr>
              <w:t>The building is no longer of any practical use due to restrictions in head height. There are major concerns relating to the structural integrity of the internal partition wall if any lateral force is applied however the main concern relates to the external wall</w:t>
            </w:r>
            <w:r w:rsidRPr="00DC6EC7">
              <w:rPr>
                <w:rFonts w:asciiTheme="minorHAnsi" w:hAnsiTheme="minorHAnsi" w:cstheme="minorHAnsi"/>
                <w:szCs w:val="22"/>
              </w:rPr>
              <w:t xml:space="preserve"> </w:t>
            </w:r>
            <w:r>
              <w:rPr>
                <w:rFonts w:asciiTheme="minorHAnsi" w:hAnsiTheme="minorHAnsi" w:cstheme="minorHAnsi"/>
                <w:szCs w:val="22"/>
              </w:rPr>
              <w:t xml:space="preserve">(with neighbouring property) </w:t>
            </w:r>
            <w:r w:rsidRPr="00DC6EC7">
              <w:rPr>
                <w:rFonts w:asciiTheme="minorHAnsi" w:hAnsiTheme="minorHAnsi" w:cstheme="minorHAnsi"/>
                <w:i/>
                <w:iCs/>
                <w:szCs w:val="22"/>
              </w:rPr>
              <w:t>which has not been constructed correctly and could potentially collapse</w:t>
            </w:r>
            <w:r w:rsidRPr="00DC6EC7">
              <w:rPr>
                <w:rFonts w:asciiTheme="minorHAnsi" w:hAnsiTheme="minorHAnsi" w:cstheme="minorHAnsi"/>
                <w:szCs w:val="22"/>
              </w:rPr>
              <w:t xml:space="preserve">”. </w:t>
            </w:r>
          </w:p>
          <w:p w14:paraId="36A0E1DE" w14:textId="0B0172A5" w:rsidR="002A5122" w:rsidRPr="00F94B79" w:rsidRDefault="002A5122" w:rsidP="00724A3E">
            <w:pPr>
              <w:overflowPunct/>
              <w:textAlignment w:val="auto"/>
              <w:rPr>
                <w:rFonts w:asciiTheme="minorHAnsi" w:eastAsiaTheme="minorHAnsi" w:hAnsiTheme="minorHAnsi" w:cstheme="minorHAnsi"/>
                <w:szCs w:val="22"/>
              </w:rPr>
            </w:pPr>
          </w:p>
          <w:p w14:paraId="5D237A68" w14:textId="2BDD2D40" w:rsidR="00DC6EC7" w:rsidRPr="005312CE" w:rsidRDefault="001628CB" w:rsidP="00724A3E">
            <w:pPr>
              <w:overflowPunct/>
              <w:textAlignment w:val="auto"/>
              <w:rPr>
                <w:rFonts w:asciiTheme="minorHAnsi" w:eastAsiaTheme="minorHAnsi" w:hAnsiTheme="minorHAnsi" w:cstheme="minorHAnsi"/>
                <w:szCs w:val="22"/>
              </w:rPr>
            </w:pPr>
            <w:r w:rsidRPr="00724A3E">
              <w:rPr>
                <w:rFonts w:asciiTheme="minorHAnsi" w:eastAsiaTheme="minorHAnsi" w:hAnsiTheme="minorHAnsi" w:cstheme="minorHAnsi"/>
                <w:szCs w:val="22"/>
              </w:rPr>
              <w:t>Head height is part of character</w:t>
            </w:r>
            <w:r w:rsidR="00DC6EC7">
              <w:rPr>
                <w:rFonts w:asciiTheme="minorHAnsi" w:eastAsiaTheme="minorHAnsi" w:hAnsiTheme="minorHAnsi" w:cstheme="minorHAnsi"/>
                <w:szCs w:val="22"/>
              </w:rPr>
              <w:t xml:space="preserve">. </w:t>
            </w:r>
            <w:r w:rsidR="005312CE">
              <w:rPr>
                <w:rFonts w:asciiTheme="minorHAnsi" w:eastAsiaTheme="minorHAnsi" w:hAnsiTheme="minorHAnsi" w:cstheme="minorHAnsi"/>
                <w:szCs w:val="22"/>
              </w:rPr>
              <w:t xml:space="preserve">‘Making changes to heritage assets’ (Historic England, 2016) identifies </w:t>
            </w:r>
            <w:r w:rsidR="005312CE" w:rsidRPr="005312CE">
              <w:rPr>
                <w:rFonts w:asciiTheme="minorHAnsi" w:eastAsiaTheme="minorHAnsi" w:hAnsiTheme="minorHAnsi" w:cstheme="minorHAnsi"/>
                <w:szCs w:val="22"/>
              </w:rPr>
              <w:t>“</w:t>
            </w:r>
            <w:r w:rsidR="005312CE" w:rsidRPr="005312CE">
              <w:rPr>
                <w:rFonts w:asciiTheme="minorHAnsi" w:hAnsiTheme="minorHAnsi" w:cstheme="minorHAnsi"/>
                <w:i/>
                <w:iCs/>
                <w:color w:val="000000"/>
              </w:rPr>
              <w:t xml:space="preserve">When a building is adapted for new uses, </w:t>
            </w:r>
            <w:r w:rsidR="005312CE" w:rsidRPr="005312CE">
              <w:rPr>
                <w:rFonts w:asciiTheme="minorHAnsi" w:hAnsiTheme="minorHAnsi" w:cstheme="minorHAnsi"/>
                <w:i/>
                <w:iCs/>
                <w:color w:val="000000"/>
                <w:szCs w:val="22"/>
              </w:rPr>
              <w:t xml:space="preserve">its form as well as its external and internal features may impose constraints. Some degree of compromise in use may assist in retaining significance. For example, headroom may be </w:t>
            </w:r>
            <w:proofErr w:type="gramStart"/>
            <w:r w:rsidR="005312CE" w:rsidRPr="005312CE">
              <w:rPr>
                <w:rFonts w:asciiTheme="minorHAnsi" w:hAnsiTheme="minorHAnsi" w:cstheme="minorHAnsi"/>
                <w:i/>
                <w:iCs/>
                <w:color w:val="000000"/>
                <w:szCs w:val="22"/>
              </w:rPr>
              <w:t>restricted</w:t>
            </w:r>
            <w:proofErr w:type="gramEnd"/>
            <w:r w:rsidR="005312CE" w:rsidRPr="005312CE">
              <w:rPr>
                <w:rFonts w:asciiTheme="minorHAnsi" w:hAnsiTheme="minorHAnsi" w:cstheme="minorHAnsi"/>
                <w:i/>
                <w:iCs/>
                <w:color w:val="000000"/>
                <w:szCs w:val="22"/>
              </w:rPr>
              <w:t xml:space="preserve"> and daylight levels may be lower than usually expected</w:t>
            </w:r>
            <w:r w:rsidR="005312CE" w:rsidRPr="005312CE">
              <w:rPr>
                <w:rFonts w:asciiTheme="minorHAnsi" w:hAnsiTheme="minorHAnsi" w:cstheme="minorHAnsi"/>
                <w:color w:val="000000"/>
                <w:szCs w:val="22"/>
              </w:rPr>
              <w:t>”</w:t>
            </w:r>
            <w:r w:rsidR="004E1BF0">
              <w:rPr>
                <w:rFonts w:asciiTheme="minorHAnsi" w:hAnsiTheme="minorHAnsi" w:cstheme="minorHAnsi"/>
                <w:color w:val="000000"/>
                <w:szCs w:val="22"/>
              </w:rPr>
              <w:t xml:space="preserve"> (paragraph 44)</w:t>
            </w:r>
            <w:r w:rsidR="005312CE" w:rsidRPr="005312CE">
              <w:rPr>
                <w:rFonts w:asciiTheme="minorHAnsi" w:hAnsiTheme="minorHAnsi" w:cstheme="minorHAnsi"/>
                <w:color w:val="000000"/>
                <w:szCs w:val="22"/>
              </w:rPr>
              <w:t>.</w:t>
            </w:r>
          </w:p>
          <w:p w14:paraId="0638B2EB" w14:textId="77777777" w:rsidR="00DC6EC7" w:rsidRDefault="00DC6EC7" w:rsidP="00724A3E">
            <w:pPr>
              <w:overflowPunct/>
              <w:textAlignment w:val="auto"/>
              <w:rPr>
                <w:rFonts w:asciiTheme="minorHAnsi" w:eastAsiaTheme="minorHAnsi" w:hAnsiTheme="minorHAnsi" w:cstheme="minorHAnsi"/>
                <w:szCs w:val="22"/>
              </w:rPr>
            </w:pPr>
          </w:p>
          <w:p w14:paraId="12A7F636" w14:textId="245225B6" w:rsidR="00D949AC" w:rsidRDefault="005312CE" w:rsidP="00724A3E">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The outbuilding requires structural repair</w:t>
            </w:r>
            <w:r w:rsidR="00F04575">
              <w:rPr>
                <w:rFonts w:asciiTheme="minorHAnsi" w:eastAsiaTheme="minorHAnsi" w:hAnsiTheme="minorHAnsi" w:cstheme="minorHAnsi"/>
                <w:szCs w:val="22"/>
              </w:rPr>
              <w:t>.</w:t>
            </w:r>
            <w:r>
              <w:rPr>
                <w:rFonts w:asciiTheme="minorHAnsi" w:eastAsiaTheme="minorHAnsi" w:hAnsiTheme="minorHAnsi" w:cstheme="minorHAnsi"/>
                <w:szCs w:val="22"/>
              </w:rPr>
              <w:t xml:space="preserve"> </w:t>
            </w:r>
            <w:r w:rsidR="00F04575">
              <w:rPr>
                <w:rFonts w:asciiTheme="minorHAnsi" w:eastAsiaTheme="minorHAnsi" w:hAnsiTheme="minorHAnsi" w:cstheme="minorHAnsi"/>
                <w:szCs w:val="22"/>
              </w:rPr>
              <w:t xml:space="preserve">However, </w:t>
            </w:r>
            <w:r>
              <w:rPr>
                <w:rFonts w:asciiTheme="minorHAnsi" w:eastAsiaTheme="minorHAnsi" w:hAnsiTheme="minorHAnsi" w:cstheme="minorHAnsi"/>
                <w:szCs w:val="22"/>
              </w:rPr>
              <w:t xml:space="preserve">it is not suggested that the building </w:t>
            </w:r>
            <w:proofErr w:type="gramStart"/>
            <w:r>
              <w:rPr>
                <w:rFonts w:asciiTheme="minorHAnsi" w:eastAsiaTheme="minorHAnsi" w:hAnsiTheme="minorHAnsi" w:cstheme="minorHAnsi"/>
                <w:szCs w:val="22"/>
              </w:rPr>
              <w:t>has to</w:t>
            </w:r>
            <w:proofErr w:type="gramEnd"/>
            <w:r>
              <w:rPr>
                <w:rFonts w:asciiTheme="minorHAnsi" w:eastAsiaTheme="minorHAnsi" w:hAnsiTheme="minorHAnsi" w:cstheme="minorHAnsi"/>
                <w:szCs w:val="22"/>
              </w:rPr>
              <w:t xml:space="preserve"> be</w:t>
            </w:r>
            <w:r w:rsidR="00F04575">
              <w:rPr>
                <w:rFonts w:asciiTheme="minorHAnsi" w:eastAsiaTheme="minorHAnsi" w:hAnsiTheme="minorHAnsi" w:cstheme="minorHAnsi"/>
                <w:szCs w:val="22"/>
              </w:rPr>
              <w:t xml:space="preserve"> </w:t>
            </w:r>
            <w:r>
              <w:rPr>
                <w:rFonts w:asciiTheme="minorHAnsi" w:eastAsiaTheme="minorHAnsi" w:hAnsiTheme="minorHAnsi" w:cstheme="minorHAnsi"/>
                <w:szCs w:val="22"/>
              </w:rPr>
              <w:t>demolished</w:t>
            </w:r>
            <w:r w:rsidR="008C1430">
              <w:rPr>
                <w:rFonts w:asciiTheme="minorHAnsi" w:eastAsiaTheme="minorHAnsi" w:hAnsiTheme="minorHAnsi" w:cstheme="minorHAnsi"/>
                <w:szCs w:val="22"/>
              </w:rPr>
              <w:t xml:space="preserve"> and cannot be repaired.</w:t>
            </w:r>
          </w:p>
          <w:p w14:paraId="249F35DE" w14:textId="77777777" w:rsidR="00724A3E" w:rsidRPr="00724A3E" w:rsidRDefault="00724A3E" w:rsidP="00724A3E">
            <w:pPr>
              <w:overflowPunct/>
              <w:textAlignment w:val="auto"/>
              <w:rPr>
                <w:rFonts w:asciiTheme="minorHAnsi" w:eastAsiaTheme="minorHAnsi" w:hAnsiTheme="minorHAnsi" w:cstheme="minorHAnsi"/>
                <w:szCs w:val="22"/>
              </w:rPr>
            </w:pPr>
          </w:p>
          <w:p w14:paraId="09103D60" w14:textId="01A4500C" w:rsidR="004302ED" w:rsidRDefault="004302ED" w:rsidP="001628CB">
            <w:pPr>
              <w:overflowPunct/>
              <w:textAlignment w:val="auto"/>
              <w:rPr>
                <w:rFonts w:asciiTheme="minorHAnsi" w:eastAsiaTheme="minorHAnsi" w:hAnsiTheme="minorHAnsi" w:cstheme="minorHAnsi"/>
                <w:szCs w:val="22"/>
              </w:rPr>
            </w:pPr>
            <w:r w:rsidRPr="00724A3E">
              <w:rPr>
                <w:rFonts w:asciiTheme="minorHAnsi" w:eastAsiaTheme="minorHAnsi" w:hAnsiTheme="minorHAnsi" w:cstheme="minorHAnsi"/>
                <w:szCs w:val="22"/>
              </w:rPr>
              <w:t>The comments of LCC Archaeology are noted in respect to the series of alterations to the structure. This would be expected to a utilitarian historic structure.</w:t>
            </w:r>
          </w:p>
          <w:p w14:paraId="179F7E9B" w14:textId="5CC8B429" w:rsidR="001225FA" w:rsidRDefault="001225FA" w:rsidP="001628CB">
            <w:pPr>
              <w:overflowPunct/>
              <w:textAlignment w:val="auto"/>
              <w:rPr>
                <w:rFonts w:asciiTheme="minorHAnsi" w:eastAsiaTheme="minorHAnsi" w:hAnsiTheme="minorHAnsi" w:cstheme="minorHAnsi"/>
                <w:szCs w:val="22"/>
              </w:rPr>
            </w:pPr>
          </w:p>
          <w:p w14:paraId="1AB4628D" w14:textId="5D73A25D" w:rsidR="001225FA" w:rsidRPr="004E1BF0" w:rsidRDefault="001225FA" w:rsidP="001628CB">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 xml:space="preserve">The fully glazed elevation towards the listed row would be incongruous </w:t>
            </w:r>
            <w:r w:rsidR="004E1BF0">
              <w:rPr>
                <w:rFonts w:asciiTheme="minorHAnsi" w:eastAsiaTheme="minorHAnsi" w:hAnsiTheme="minorHAnsi" w:cstheme="minorHAnsi"/>
                <w:szCs w:val="22"/>
              </w:rPr>
              <w:t xml:space="preserve">and conspicuous </w:t>
            </w:r>
            <w:r>
              <w:rPr>
                <w:rFonts w:asciiTheme="minorHAnsi" w:eastAsiaTheme="minorHAnsi" w:hAnsiTheme="minorHAnsi" w:cstheme="minorHAnsi"/>
                <w:szCs w:val="22"/>
              </w:rPr>
              <w:t>(large reflective</w:t>
            </w:r>
            <w:r w:rsidR="004E1BF0">
              <w:rPr>
                <w:rFonts w:asciiTheme="minorHAnsi" w:eastAsiaTheme="minorHAnsi" w:hAnsiTheme="minorHAnsi" w:cstheme="minorHAnsi"/>
                <w:szCs w:val="22"/>
              </w:rPr>
              <w:t xml:space="preserve"> expanse of glazing; non-vernacular materials and form). ‘Making changes to heritage assets’ (Historic England, 2016) </w:t>
            </w:r>
            <w:r w:rsidR="004E1BF0" w:rsidRPr="004E1BF0">
              <w:rPr>
                <w:rFonts w:asciiTheme="minorHAnsi" w:eastAsiaTheme="minorHAnsi" w:hAnsiTheme="minorHAnsi" w:cstheme="minorHAnsi"/>
                <w:szCs w:val="22"/>
              </w:rPr>
              <w:t>identifies “</w:t>
            </w:r>
            <w:r w:rsidR="004E1BF0" w:rsidRPr="004E1BF0">
              <w:rPr>
                <w:rFonts w:asciiTheme="minorHAnsi" w:hAnsiTheme="minorHAnsi" w:cstheme="minorHAnsi"/>
                <w:i/>
                <w:iCs/>
                <w:color w:val="000000"/>
                <w:szCs w:val="22"/>
              </w:rPr>
              <w:t>It would not normally be good practice for new work to dominate the original asset or its setting in either scale, material or as a result of its siting</w:t>
            </w:r>
            <w:r w:rsidR="004E1BF0" w:rsidRPr="004E1BF0">
              <w:rPr>
                <w:rFonts w:asciiTheme="minorHAnsi" w:hAnsiTheme="minorHAnsi" w:cstheme="minorHAnsi"/>
                <w:color w:val="000000"/>
                <w:szCs w:val="22"/>
              </w:rPr>
              <w:t>” (paragraph 41).</w:t>
            </w:r>
          </w:p>
          <w:p w14:paraId="334D75E1" w14:textId="0303785A" w:rsidR="00671EAF" w:rsidRPr="00724A3E" w:rsidRDefault="00671EAF" w:rsidP="006D7624">
            <w:pPr>
              <w:pStyle w:val="Header"/>
              <w:jc w:val="both"/>
              <w:rPr>
                <w:rFonts w:asciiTheme="minorHAnsi" w:hAnsiTheme="minorHAnsi" w:cstheme="minorHAnsi"/>
                <w:bCs/>
                <w:szCs w:val="22"/>
              </w:rPr>
            </w:pPr>
          </w:p>
          <w:p w14:paraId="0F990E29" w14:textId="121CCE6F" w:rsidR="00586C9B" w:rsidRPr="00586C9B" w:rsidRDefault="00586C9B" w:rsidP="00586C9B">
            <w:pPr>
              <w:contextualSpacing/>
              <w:jc w:val="both"/>
              <w:rPr>
                <w:rFonts w:asciiTheme="minorHAnsi" w:hAnsiTheme="minorHAnsi" w:cstheme="minorHAnsi"/>
                <w:bCs/>
                <w:color w:val="000000"/>
                <w:szCs w:val="22"/>
                <w:lang w:eastAsia="en-GB"/>
              </w:rPr>
            </w:pPr>
            <w:r w:rsidRPr="00C64774">
              <w:rPr>
                <w:rFonts w:asciiTheme="minorHAnsi" w:hAnsiTheme="minorHAnsi" w:cstheme="minorHAnsi"/>
                <w:color w:val="000000"/>
                <w:szCs w:val="22"/>
                <w:lang w:eastAsia="en-GB"/>
              </w:rPr>
              <w:t xml:space="preserve">NPPG states that “substantial harm is a high test, so it may not arise in many cases”. The proposals </w:t>
            </w:r>
            <w:r>
              <w:rPr>
                <w:rFonts w:asciiTheme="minorHAnsi" w:hAnsiTheme="minorHAnsi" w:cstheme="minorHAnsi"/>
                <w:color w:val="000000"/>
                <w:szCs w:val="22"/>
                <w:lang w:eastAsia="en-GB"/>
              </w:rPr>
              <w:t xml:space="preserve">relate to a curtilage structure of the listed building </w:t>
            </w:r>
            <w:r w:rsidR="004E1BF0">
              <w:rPr>
                <w:rFonts w:asciiTheme="minorHAnsi" w:hAnsiTheme="minorHAnsi" w:cstheme="minorHAnsi"/>
                <w:color w:val="000000"/>
                <w:szCs w:val="22"/>
                <w:lang w:eastAsia="en-GB"/>
              </w:rPr>
              <w:t xml:space="preserve">and its footprint </w:t>
            </w:r>
            <w:r w:rsidRPr="00C64774">
              <w:rPr>
                <w:rFonts w:asciiTheme="minorHAnsi" w:hAnsiTheme="minorHAnsi" w:cstheme="minorHAnsi"/>
                <w:color w:val="000000"/>
                <w:szCs w:val="22"/>
                <w:lang w:eastAsia="en-GB"/>
              </w:rPr>
              <w:t>and are of ‘less than substantial harm</w:t>
            </w:r>
            <w:r>
              <w:rPr>
                <w:rFonts w:asciiTheme="minorHAnsi" w:hAnsiTheme="minorHAnsi" w:cstheme="minorHAnsi"/>
                <w:color w:val="000000"/>
                <w:szCs w:val="22"/>
                <w:lang w:eastAsia="en-GB"/>
              </w:rPr>
              <w:t>’</w:t>
            </w:r>
            <w:r w:rsidRPr="00C64774">
              <w:rPr>
                <w:rFonts w:asciiTheme="minorHAnsi" w:hAnsiTheme="minorHAnsi" w:cstheme="minorHAnsi"/>
                <w:color w:val="000000"/>
                <w:szCs w:val="22"/>
                <w:lang w:eastAsia="en-GB"/>
              </w:rPr>
              <w:t xml:space="preserve"> to the </w:t>
            </w:r>
            <w:r w:rsidRPr="00586C9B">
              <w:rPr>
                <w:rFonts w:asciiTheme="minorHAnsi" w:hAnsiTheme="minorHAnsi" w:cstheme="minorHAnsi"/>
                <w:bCs/>
                <w:szCs w:val="22"/>
              </w:rPr>
              <w:t>special architectural and historic interest of the listed building, the setting of listed buildings and the character and appearance of Ribchester Conservation Area</w:t>
            </w:r>
            <w:r>
              <w:rPr>
                <w:rFonts w:asciiTheme="minorHAnsi" w:hAnsiTheme="minorHAnsi" w:cstheme="minorHAnsi"/>
                <w:bCs/>
                <w:szCs w:val="22"/>
              </w:rPr>
              <w:t>.</w:t>
            </w:r>
          </w:p>
          <w:p w14:paraId="7DC0F1D0" w14:textId="77777777" w:rsidR="00586C9B" w:rsidRDefault="00586C9B" w:rsidP="00586C9B">
            <w:pPr>
              <w:contextualSpacing/>
              <w:jc w:val="both"/>
              <w:rPr>
                <w:rFonts w:asciiTheme="minorHAnsi" w:hAnsiTheme="minorHAnsi" w:cstheme="minorHAnsi"/>
                <w:szCs w:val="22"/>
              </w:rPr>
            </w:pPr>
          </w:p>
          <w:p w14:paraId="7BE7A653" w14:textId="77777777" w:rsidR="00586C9B" w:rsidRPr="00586C9B" w:rsidRDefault="00586C9B" w:rsidP="00586C9B">
            <w:pPr>
              <w:contextualSpacing/>
              <w:jc w:val="both"/>
              <w:rPr>
                <w:rFonts w:asciiTheme="minorHAnsi" w:hAnsiTheme="minorHAnsi" w:cstheme="minorHAnsi"/>
                <w:bCs/>
                <w:color w:val="000000"/>
                <w:szCs w:val="22"/>
                <w:lang w:eastAsia="en-GB"/>
              </w:rPr>
            </w:pPr>
            <w:r w:rsidRPr="00C64774">
              <w:rPr>
                <w:rFonts w:asciiTheme="minorHAnsi" w:hAnsiTheme="minorHAnsi" w:cstheme="minorHAnsi"/>
                <w:szCs w:val="22"/>
              </w:rPr>
              <w:t>NPPF paragraph 202 requires that ‘less than substantial’ harm be weighed against any public benefits of proposals</w:t>
            </w:r>
            <w:r>
              <w:rPr>
                <w:rFonts w:asciiTheme="minorHAnsi" w:hAnsiTheme="minorHAnsi" w:cstheme="minorHAnsi"/>
                <w:szCs w:val="22"/>
              </w:rPr>
              <w:t xml:space="preserve">. Construction employment does not outweigh the harm to the </w:t>
            </w:r>
            <w:r w:rsidRPr="00586C9B">
              <w:rPr>
                <w:rFonts w:asciiTheme="minorHAnsi" w:hAnsiTheme="minorHAnsi" w:cstheme="minorHAnsi"/>
                <w:bCs/>
                <w:szCs w:val="22"/>
              </w:rPr>
              <w:t>special architectural and historic interest of the listed building, the setting of listed buildings and the character and appearance of Ribchester Conservation Area</w:t>
            </w:r>
            <w:r>
              <w:rPr>
                <w:rFonts w:asciiTheme="minorHAnsi" w:hAnsiTheme="minorHAnsi" w:cstheme="minorHAnsi"/>
                <w:bCs/>
                <w:szCs w:val="22"/>
              </w:rPr>
              <w:t>.</w:t>
            </w:r>
          </w:p>
          <w:p w14:paraId="5ED46032" w14:textId="6E5BEEB6" w:rsidR="007645C6" w:rsidRPr="00724A3E" w:rsidRDefault="007645C6" w:rsidP="00586C9B">
            <w:pPr>
              <w:contextualSpacing/>
              <w:jc w:val="both"/>
              <w:rPr>
                <w:rFonts w:asciiTheme="minorHAnsi" w:hAnsiTheme="minorHAnsi" w:cstheme="minorHAnsi"/>
                <w:szCs w:val="22"/>
              </w:rPr>
            </w:pPr>
          </w:p>
        </w:tc>
      </w:tr>
      <w:tr w:rsidR="008C75E4" w:rsidRPr="00724A3E" w14:paraId="5D5D15F6" w14:textId="77777777" w:rsidTr="00504440">
        <w:trPr>
          <w:trHeight w:val="864"/>
          <w:jc w:val="center"/>
        </w:trPr>
        <w:tc>
          <w:tcPr>
            <w:tcW w:w="9555" w:type="dxa"/>
            <w:gridSpan w:val="14"/>
            <w:tcMar>
              <w:top w:w="57" w:type="dxa"/>
              <w:bottom w:w="57" w:type="dxa"/>
            </w:tcMar>
          </w:tcPr>
          <w:p w14:paraId="56B2E970" w14:textId="725ED387" w:rsidR="00ED00B7" w:rsidRDefault="00F71D53" w:rsidP="006126D1">
            <w:pPr>
              <w:contextualSpacing/>
              <w:jc w:val="both"/>
              <w:rPr>
                <w:rFonts w:asciiTheme="minorHAnsi" w:hAnsiTheme="minorHAnsi" w:cstheme="minorHAnsi"/>
                <w:b/>
                <w:szCs w:val="22"/>
              </w:rPr>
            </w:pPr>
            <w:r w:rsidRPr="00724A3E">
              <w:rPr>
                <w:rFonts w:asciiTheme="minorHAnsi" w:hAnsiTheme="minorHAnsi" w:cstheme="minorHAnsi"/>
                <w:b/>
                <w:szCs w:val="22"/>
              </w:rPr>
              <w:lastRenderedPageBreak/>
              <w:t>Residential Amenity</w:t>
            </w:r>
            <w:r w:rsidR="00DF42DA" w:rsidRPr="00724A3E">
              <w:rPr>
                <w:rFonts w:asciiTheme="minorHAnsi" w:hAnsiTheme="minorHAnsi" w:cstheme="minorHAnsi"/>
                <w:b/>
                <w:szCs w:val="22"/>
              </w:rPr>
              <w:t>:</w:t>
            </w:r>
          </w:p>
          <w:p w14:paraId="3AE5CB51" w14:textId="3D99E4D3" w:rsidR="007645C6" w:rsidRPr="007645C6" w:rsidRDefault="007645C6" w:rsidP="006126D1">
            <w:pPr>
              <w:contextualSpacing/>
              <w:jc w:val="both"/>
              <w:rPr>
                <w:rFonts w:asciiTheme="minorHAnsi" w:hAnsiTheme="minorHAnsi" w:cstheme="minorHAnsi"/>
                <w:bCs/>
                <w:szCs w:val="22"/>
              </w:rPr>
            </w:pPr>
            <w:r w:rsidRPr="007645C6">
              <w:rPr>
                <w:rFonts w:asciiTheme="minorHAnsi" w:hAnsiTheme="minorHAnsi" w:cstheme="minorHAnsi"/>
                <w:bCs/>
                <w:szCs w:val="22"/>
              </w:rPr>
              <w:t xml:space="preserve">The demolition of the </w:t>
            </w:r>
            <w:r w:rsidR="004E1BF0">
              <w:rPr>
                <w:rFonts w:asciiTheme="minorHAnsi" w:hAnsiTheme="minorHAnsi" w:cstheme="minorHAnsi"/>
                <w:bCs/>
                <w:szCs w:val="22"/>
              </w:rPr>
              <w:t xml:space="preserve">existing </w:t>
            </w:r>
            <w:r w:rsidRPr="007645C6">
              <w:rPr>
                <w:rFonts w:asciiTheme="minorHAnsi" w:hAnsiTheme="minorHAnsi" w:cstheme="minorHAnsi"/>
                <w:bCs/>
                <w:szCs w:val="22"/>
              </w:rPr>
              <w:t>building</w:t>
            </w:r>
            <w:r w:rsidR="004E1BF0">
              <w:rPr>
                <w:rFonts w:asciiTheme="minorHAnsi" w:hAnsiTheme="minorHAnsi" w:cstheme="minorHAnsi"/>
                <w:bCs/>
                <w:szCs w:val="22"/>
              </w:rPr>
              <w:t xml:space="preserve"> and form of new build</w:t>
            </w:r>
            <w:r w:rsidRPr="007645C6">
              <w:rPr>
                <w:rFonts w:asciiTheme="minorHAnsi" w:hAnsiTheme="minorHAnsi" w:cstheme="minorHAnsi"/>
                <w:bCs/>
                <w:szCs w:val="22"/>
              </w:rPr>
              <w:t xml:space="preserve"> has no implications for residential amenity.</w:t>
            </w:r>
          </w:p>
          <w:p w14:paraId="28B25B16" w14:textId="77777777" w:rsidR="00C6456D" w:rsidRPr="00724A3E" w:rsidRDefault="00C6456D" w:rsidP="00454754">
            <w:pPr>
              <w:contextualSpacing/>
              <w:jc w:val="both"/>
              <w:rPr>
                <w:rFonts w:asciiTheme="minorHAnsi" w:hAnsiTheme="minorHAnsi" w:cstheme="minorHAnsi"/>
                <w:szCs w:val="22"/>
              </w:rPr>
            </w:pPr>
          </w:p>
        </w:tc>
      </w:tr>
      <w:tr w:rsidR="008C75E4" w:rsidRPr="00724A3E" w14:paraId="33039839" w14:textId="77777777" w:rsidTr="00504440">
        <w:trPr>
          <w:trHeight w:val="864"/>
          <w:jc w:val="center"/>
        </w:trPr>
        <w:tc>
          <w:tcPr>
            <w:tcW w:w="9555" w:type="dxa"/>
            <w:gridSpan w:val="14"/>
            <w:tcMar>
              <w:top w:w="57" w:type="dxa"/>
              <w:bottom w:w="57" w:type="dxa"/>
            </w:tcMar>
          </w:tcPr>
          <w:p w14:paraId="57205655" w14:textId="1E4C5B7F" w:rsidR="00C0704D" w:rsidRPr="00724A3E" w:rsidRDefault="007645C6" w:rsidP="006126D1">
            <w:pPr>
              <w:contextualSpacing/>
              <w:jc w:val="both"/>
              <w:rPr>
                <w:rFonts w:asciiTheme="minorHAnsi" w:hAnsiTheme="minorHAnsi" w:cstheme="minorHAnsi"/>
                <w:b/>
                <w:szCs w:val="22"/>
              </w:rPr>
            </w:pPr>
            <w:r>
              <w:rPr>
                <w:rFonts w:asciiTheme="minorHAnsi" w:hAnsiTheme="minorHAnsi" w:cstheme="minorHAnsi"/>
                <w:b/>
                <w:szCs w:val="22"/>
              </w:rPr>
              <w:t>Ecology</w:t>
            </w:r>
            <w:r w:rsidR="00DF42DA" w:rsidRPr="00724A3E">
              <w:rPr>
                <w:rFonts w:asciiTheme="minorHAnsi" w:hAnsiTheme="minorHAnsi" w:cstheme="minorHAnsi"/>
                <w:b/>
                <w:szCs w:val="22"/>
              </w:rPr>
              <w:t>:</w:t>
            </w:r>
          </w:p>
          <w:p w14:paraId="0E9CDE2A" w14:textId="59319C7F" w:rsidR="00C50517" w:rsidRPr="00724A3E" w:rsidRDefault="007645C6" w:rsidP="00454754">
            <w:pPr>
              <w:contextualSpacing/>
              <w:jc w:val="both"/>
              <w:rPr>
                <w:rFonts w:asciiTheme="minorHAnsi" w:hAnsiTheme="minorHAnsi" w:cstheme="minorHAnsi"/>
                <w:szCs w:val="22"/>
              </w:rPr>
            </w:pPr>
            <w:r>
              <w:rPr>
                <w:rFonts w:asciiTheme="minorHAnsi" w:hAnsiTheme="minorHAnsi" w:cstheme="minorHAnsi"/>
                <w:szCs w:val="22"/>
              </w:rPr>
              <w:t>The note/condition suggested by RVBC Countryside would be required in the event of approval.</w:t>
            </w:r>
          </w:p>
        </w:tc>
      </w:tr>
      <w:tr w:rsidR="008C75E4" w:rsidRPr="00724A3E" w14:paraId="1E1E016A" w14:textId="77777777" w:rsidTr="00504440">
        <w:trPr>
          <w:trHeight w:val="864"/>
          <w:jc w:val="center"/>
        </w:trPr>
        <w:tc>
          <w:tcPr>
            <w:tcW w:w="9555" w:type="dxa"/>
            <w:gridSpan w:val="14"/>
            <w:tcMar>
              <w:top w:w="57" w:type="dxa"/>
              <w:bottom w:w="57" w:type="dxa"/>
            </w:tcMar>
          </w:tcPr>
          <w:p w14:paraId="38A49CBE" w14:textId="77777777" w:rsidR="00C50517" w:rsidRPr="00724A3E" w:rsidRDefault="00C50517" w:rsidP="007645C6">
            <w:pPr>
              <w:pStyle w:val="Header"/>
              <w:tabs>
                <w:tab w:val="clear" w:pos="4153"/>
                <w:tab w:val="clear" w:pos="8306"/>
              </w:tabs>
              <w:contextualSpacing/>
              <w:jc w:val="both"/>
              <w:rPr>
                <w:rFonts w:asciiTheme="minorHAnsi" w:hAnsiTheme="minorHAnsi" w:cstheme="minorHAnsi"/>
                <w:szCs w:val="22"/>
              </w:rPr>
            </w:pPr>
          </w:p>
        </w:tc>
      </w:tr>
      <w:tr w:rsidR="008C75E4" w:rsidRPr="00724A3E" w14:paraId="382984D0" w14:textId="77777777" w:rsidTr="00504440">
        <w:trPr>
          <w:trHeight w:val="864"/>
          <w:jc w:val="center"/>
        </w:trPr>
        <w:tc>
          <w:tcPr>
            <w:tcW w:w="9555" w:type="dxa"/>
            <w:gridSpan w:val="14"/>
            <w:tcMar>
              <w:top w:w="57" w:type="dxa"/>
              <w:bottom w:w="57" w:type="dxa"/>
            </w:tcMar>
          </w:tcPr>
          <w:p w14:paraId="0028F190" w14:textId="77777777" w:rsidR="00C0704D" w:rsidRPr="00724A3E" w:rsidRDefault="00C0704D" w:rsidP="006126D1">
            <w:pPr>
              <w:contextualSpacing/>
              <w:jc w:val="both"/>
              <w:rPr>
                <w:rFonts w:asciiTheme="minorHAnsi" w:hAnsiTheme="minorHAnsi" w:cstheme="minorHAnsi"/>
                <w:b/>
                <w:bCs/>
                <w:szCs w:val="22"/>
              </w:rPr>
            </w:pPr>
            <w:r w:rsidRPr="00724A3E">
              <w:rPr>
                <w:rFonts w:asciiTheme="minorHAnsi" w:hAnsiTheme="minorHAnsi" w:cstheme="minorHAnsi"/>
                <w:b/>
                <w:bCs/>
                <w:szCs w:val="22"/>
              </w:rPr>
              <w:t>Observations/Consideration of Matters Raised/Conclusion:</w:t>
            </w:r>
          </w:p>
          <w:p w14:paraId="529F8A67" w14:textId="69E34C7F" w:rsidR="007A49CF" w:rsidRDefault="007A49CF" w:rsidP="007A49CF">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 xml:space="preserve">In giving considerable importance and weight to the duties at section </w:t>
            </w:r>
            <w:r w:rsidR="000B0798">
              <w:rPr>
                <w:rFonts w:asciiTheme="minorHAnsi" w:hAnsiTheme="minorHAnsi" w:cstheme="minorHAnsi"/>
                <w:szCs w:val="22"/>
              </w:rPr>
              <w:t xml:space="preserve">16, </w:t>
            </w:r>
            <w:r w:rsidRPr="00745368">
              <w:rPr>
                <w:rFonts w:asciiTheme="minorHAnsi" w:hAnsiTheme="minorHAnsi" w:cstheme="minorHAnsi"/>
                <w:szCs w:val="22"/>
              </w:rPr>
              <w:t>66 and 72 of the Planning (Listed</w:t>
            </w:r>
          </w:p>
          <w:p w14:paraId="0034939E" w14:textId="77777777" w:rsidR="000B0798" w:rsidRDefault="007A49CF" w:rsidP="000B079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Buildings and Conservation Areas) Act 1990 and in consideration to NPPF and Key Statement EN5</w:t>
            </w:r>
            <w:r w:rsidRPr="00012055">
              <w:rPr>
                <w:rFonts w:asciiTheme="minorHAnsi" w:hAnsiTheme="minorHAnsi" w:cstheme="minorHAnsi"/>
                <w:szCs w:val="22"/>
              </w:rPr>
              <w:t xml:space="preserve"> </w:t>
            </w:r>
            <w:r w:rsidRPr="00745368">
              <w:rPr>
                <w:rFonts w:asciiTheme="minorHAnsi" w:hAnsiTheme="minorHAnsi" w:cstheme="minorHAnsi"/>
                <w:szCs w:val="22"/>
              </w:rPr>
              <w:t xml:space="preserve">and </w:t>
            </w:r>
          </w:p>
          <w:p w14:paraId="5D5EC4DD" w14:textId="77777777" w:rsidR="000B0798" w:rsidRDefault="007A49CF" w:rsidP="000B079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Polic</w:t>
            </w:r>
            <w:r w:rsidR="000B0798">
              <w:rPr>
                <w:rFonts w:asciiTheme="minorHAnsi" w:hAnsiTheme="minorHAnsi" w:cstheme="minorHAnsi"/>
                <w:szCs w:val="22"/>
              </w:rPr>
              <w:t>y</w:t>
            </w:r>
            <w:r w:rsidRPr="00745368">
              <w:rPr>
                <w:rFonts w:asciiTheme="minorHAnsi" w:hAnsiTheme="minorHAnsi" w:cstheme="minorHAnsi"/>
                <w:szCs w:val="22"/>
              </w:rPr>
              <w:t xml:space="preserve"> DME4</w:t>
            </w:r>
            <w:r w:rsidRPr="00012055">
              <w:rPr>
                <w:rFonts w:asciiTheme="minorHAnsi" w:hAnsiTheme="minorHAnsi" w:cstheme="minorHAnsi"/>
                <w:szCs w:val="22"/>
              </w:rPr>
              <w:t xml:space="preserve"> and</w:t>
            </w:r>
            <w:r w:rsidRPr="00745368">
              <w:rPr>
                <w:rFonts w:asciiTheme="minorHAnsi" w:hAnsiTheme="minorHAnsi" w:cstheme="minorHAnsi"/>
                <w:szCs w:val="22"/>
              </w:rPr>
              <w:t xml:space="preserve"> DMG1</w:t>
            </w:r>
            <w:r w:rsidRPr="00012055">
              <w:rPr>
                <w:rFonts w:asciiTheme="minorHAnsi" w:hAnsiTheme="minorHAnsi" w:cstheme="minorHAnsi"/>
                <w:szCs w:val="22"/>
              </w:rPr>
              <w:t xml:space="preserve"> </w:t>
            </w:r>
            <w:r w:rsidRPr="00745368">
              <w:rPr>
                <w:rFonts w:asciiTheme="minorHAnsi" w:hAnsiTheme="minorHAnsi" w:cstheme="minorHAnsi"/>
                <w:szCs w:val="22"/>
              </w:rPr>
              <w:t xml:space="preserve">of the </w:t>
            </w:r>
            <w:proofErr w:type="spellStart"/>
            <w:r w:rsidRPr="00745368">
              <w:rPr>
                <w:rFonts w:asciiTheme="minorHAnsi" w:hAnsiTheme="minorHAnsi" w:cstheme="minorHAnsi"/>
                <w:szCs w:val="22"/>
              </w:rPr>
              <w:t>Ribble</w:t>
            </w:r>
            <w:proofErr w:type="spellEnd"/>
            <w:r w:rsidRPr="00745368">
              <w:rPr>
                <w:rFonts w:asciiTheme="minorHAnsi" w:hAnsiTheme="minorHAnsi" w:cstheme="minorHAnsi"/>
                <w:szCs w:val="22"/>
              </w:rPr>
              <w:t xml:space="preserve"> Valley Core Strategy it is recommended that planning permission </w:t>
            </w:r>
          </w:p>
          <w:p w14:paraId="6E5E9875" w14:textId="60EF74C0" w:rsidR="007A49CF" w:rsidRPr="000B0798" w:rsidRDefault="007A49CF" w:rsidP="000B079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be refused.</w:t>
            </w:r>
          </w:p>
          <w:p w14:paraId="3DC7E1AD" w14:textId="77777777" w:rsidR="00C44E40" w:rsidRPr="00724A3E" w:rsidRDefault="00C44E40" w:rsidP="00454754">
            <w:pPr>
              <w:pStyle w:val="Header"/>
              <w:tabs>
                <w:tab w:val="clear" w:pos="4153"/>
                <w:tab w:val="clear" w:pos="8306"/>
              </w:tabs>
              <w:contextualSpacing/>
              <w:jc w:val="both"/>
              <w:rPr>
                <w:rFonts w:asciiTheme="minorHAnsi" w:hAnsiTheme="minorHAnsi" w:cstheme="minorHAnsi"/>
                <w:szCs w:val="22"/>
              </w:rPr>
            </w:pPr>
          </w:p>
        </w:tc>
      </w:tr>
      <w:tr w:rsidR="00C0704D" w:rsidRPr="00724A3E" w14:paraId="0E366C17" w14:textId="77777777" w:rsidTr="00504440">
        <w:trPr>
          <w:jc w:val="center"/>
        </w:trPr>
        <w:tc>
          <w:tcPr>
            <w:tcW w:w="2837" w:type="dxa"/>
            <w:gridSpan w:val="4"/>
            <w:tcMar>
              <w:top w:w="57" w:type="dxa"/>
              <w:bottom w:w="57" w:type="dxa"/>
            </w:tcMar>
          </w:tcPr>
          <w:p w14:paraId="2BD8F50F" w14:textId="77777777" w:rsidR="00C0704D" w:rsidRPr="00724A3E" w:rsidRDefault="00C0704D" w:rsidP="006126D1">
            <w:pPr>
              <w:jc w:val="both"/>
              <w:rPr>
                <w:rFonts w:asciiTheme="minorHAnsi" w:hAnsiTheme="minorHAnsi" w:cstheme="minorHAnsi"/>
                <w:b/>
                <w:bCs/>
                <w:szCs w:val="22"/>
              </w:rPr>
            </w:pPr>
            <w:r w:rsidRPr="00724A3E">
              <w:rPr>
                <w:rFonts w:asciiTheme="minorHAnsi" w:hAnsiTheme="minorHAnsi" w:cstheme="minorHAnsi"/>
                <w:b/>
                <w:szCs w:val="22"/>
              </w:rPr>
              <w:t>RECOMMENDATION</w:t>
            </w:r>
            <w:r w:rsidRPr="00724A3E">
              <w:rPr>
                <w:rFonts w:asciiTheme="minorHAnsi" w:hAnsiTheme="minorHAnsi" w:cstheme="minorHAnsi"/>
                <w:szCs w:val="22"/>
              </w:rPr>
              <w:t>:</w:t>
            </w:r>
          </w:p>
        </w:tc>
        <w:tc>
          <w:tcPr>
            <w:tcW w:w="6718" w:type="dxa"/>
            <w:gridSpan w:val="10"/>
          </w:tcPr>
          <w:p w14:paraId="46F6397F" w14:textId="016568B2" w:rsidR="000B0798" w:rsidRDefault="000B0798" w:rsidP="000B0798">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T</w:t>
            </w:r>
            <w:r w:rsidRPr="00745368">
              <w:rPr>
                <w:rFonts w:asciiTheme="minorHAnsi" w:hAnsiTheme="minorHAnsi" w:cstheme="minorHAnsi"/>
                <w:szCs w:val="22"/>
              </w:rPr>
              <w:t>hat planning permission be refused</w:t>
            </w:r>
            <w:r>
              <w:rPr>
                <w:rFonts w:asciiTheme="minorHAnsi" w:hAnsiTheme="minorHAnsi" w:cstheme="minorHAnsi"/>
                <w:szCs w:val="22"/>
              </w:rPr>
              <w:t xml:space="preserve"> for the following reason:</w:t>
            </w:r>
          </w:p>
          <w:p w14:paraId="2A6E3507" w14:textId="60F52881" w:rsidR="000B0798" w:rsidRDefault="000B0798" w:rsidP="000B0798">
            <w:pPr>
              <w:overflowPunct/>
              <w:autoSpaceDE/>
              <w:autoSpaceDN/>
              <w:adjustRightInd/>
              <w:ind w:left="720" w:hanging="720"/>
              <w:jc w:val="both"/>
              <w:textAlignment w:val="auto"/>
              <w:rPr>
                <w:rFonts w:asciiTheme="minorHAnsi" w:hAnsiTheme="minorHAnsi" w:cstheme="minorHAnsi"/>
                <w:szCs w:val="22"/>
              </w:rPr>
            </w:pPr>
          </w:p>
          <w:p w14:paraId="48EE9992"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The proposal has a harmful impact upon the special architectural and </w:t>
            </w:r>
          </w:p>
          <w:p w14:paraId="2F432175"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historic interest of the listed building, the setting of listed buildings and </w:t>
            </w:r>
          </w:p>
          <w:p w14:paraId="3D075B16"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the character and appearance of Ribchester Conservation Area because </w:t>
            </w:r>
          </w:p>
          <w:p w14:paraId="1D8D3B28" w14:textId="77777777" w:rsidR="004E1BF0"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of </w:t>
            </w:r>
            <w:r w:rsidR="004E1BF0">
              <w:rPr>
                <w:rFonts w:asciiTheme="minorHAnsi" w:hAnsiTheme="minorHAnsi" w:cstheme="minorHAnsi"/>
                <w:bCs/>
                <w:szCs w:val="22"/>
              </w:rPr>
              <w:t>(</w:t>
            </w:r>
            <w:proofErr w:type="spellStart"/>
            <w:r w:rsidR="004E1BF0">
              <w:rPr>
                <w:rFonts w:asciiTheme="minorHAnsi" w:hAnsiTheme="minorHAnsi" w:cstheme="minorHAnsi"/>
                <w:bCs/>
                <w:szCs w:val="22"/>
              </w:rPr>
              <w:t>i</w:t>
            </w:r>
            <w:proofErr w:type="spellEnd"/>
            <w:r w:rsidR="004E1BF0">
              <w:rPr>
                <w:rFonts w:asciiTheme="minorHAnsi" w:hAnsiTheme="minorHAnsi" w:cstheme="minorHAnsi"/>
                <w:bCs/>
                <w:szCs w:val="22"/>
              </w:rPr>
              <w:t xml:space="preserve">) </w:t>
            </w:r>
            <w:r w:rsidRPr="00724A3E">
              <w:rPr>
                <w:rFonts w:asciiTheme="minorHAnsi" w:hAnsiTheme="minorHAnsi" w:cstheme="minorHAnsi"/>
                <w:bCs/>
                <w:szCs w:val="22"/>
              </w:rPr>
              <w:t xml:space="preserve">the loss of </w:t>
            </w:r>
            <w:r>
              <w:rPr>
                <w:rFonts w:asciiTheme="minorHAnsi" w:hAnsiTheme="minorHAnsi" w:cstheme="minorHAnsi"/>
                <w:bCs/>
                <w:szCs w:val="22"/>
              </w:rPr>
              <w:t>important historic fabric</w:t>
            </w:r>
            <w:r w:rsidR="004E1BF0">
              <w:rPr>
                <w:rFonts w:asciiTheme="minorHAnsi" w:hAnsiTheme="minorHAnsi" w:cstheme="minorHAnsi"/>
                <w:bCs/>
                <w:szCs w:val="22"/>
              </w:rPr>
              <w:t>,</w:t>
            </w:r>
            <w:r>
              <w:rPr>
                <w:rFonts w:asciiTheme="minorHAnsi" w:hAnsiTheme="minorHAnsi" w:cstheme="minorHAnsi"/>
                <w:bCs/>
                <w:szCs w:val="22"/>
              </w:rPr>
              <w:t xml:space="preserve"> </w:t>
            </w:r>
            <w:r w:rsidRPr="00724A3E">
              <w:rPr>
                <w:rFonts w:asciiTheme="minorHAnsi" w:hAnsiTheme="minorHAnsi" w:cstheme="minorHAnsi"/>
                <w:bCs/>
                <w:szCs w:val="22"/>
              </w:rPr>
              <w:t xml:space="preserve">an important element of </w:t>
            </w:r>
          </w:p>
          <w:p w14:paraId="1806145B" w14:textId="77777777" w:rsidR="004E1BF0" w:rsidRDefault="000B0798" w:rsidP="004E1BF0">
            <w:pPr>
              <w:overflowPunct/>
              <w:autoSpaceDE/>
              <w:autoSpaceDN/>
              <w:adjustRightInd/>
              <w:ind w:left="720" w:hanging="720"/>
              <w:jc w:val="both"/>
              <w:textAlignment w:val="auto"/>
              <w:rPr>
                <w:rFonts w:asciiTheme="minorHAnsi" w:hAnsiTheme="minorHAnsi" w:cstheme="minorHAnsi"/>
                <w:bCs/>
                <w:szCs w:val="22"/>
              </w:rPr>
            </w:pPr>
            <w:r>
              <w:rPr>
                <w:rFonts w:asciiTheme="minorHAnsi" w:hAnsiTheme="minorHAnsi" w:cstheme="minorHAnsi"/>
                <w:bCs/>
                <w:szCs w:val="22"/>
              </w:rPr>
              <w:lastRenderedPageBreak/>
              <w:t xml:space="preserve">building architecture and </w:t>
            </w:r>
            <w:r w:rsidRPr="00724A3E">
              <w:rPr>
                <w:rFonts w:asciiTheme="minorHAnsi" w:hAnsiTheme="minorHAnsi" w:cstheme="minorHAnsi"/>
                <w:bCs/>
                <w:szCs w:val="22"/>
              </w:rPr>
              <w:t xml:space="preserve">townscape and </w:t>
            </w:r>
            <w:r>
              <w:rPr>
                <w:rFonts w:asciiTheme="minorHAnsi" w:hAnsiTheme="minorHAnsi" w:cstheme="minorHAnsi"/>
                <w:bCs/>
                <w:szCs w:val="22"/>
              </w:rPr>
              <w:t xml:space="preserve">a </w:t>
            </w:r>
            <w:r w:rsidRPr="00724A3E">
              <w:rPr>
                <w:rFonts w:asciiTheme="minorHAnsi" w:hAnsiTheme="minorHAnsi" w:cstheme="minorHAnsi"/>
                <w:bCs/>
                <w:szCs w:val="22"/>
              </w:rPr>
              <w:t>contributor to the</w:t>
            </w:r>
            <w:r>
              <w:rPr>
                <w:rFonts w:asciiTheme="minorHAnsi" w:hAnsiTheme="minorHAnsi" w:cstheme="minorHAnsi"/>
                <w:bCs/>
                <w:szCs w:val="22"/>
              </w:rPr>
              <w:t xml:space="preserve"> </w:t>
            </w:r>
          </w:p>
          <w:p w14:paraId="6EB1BEB4" w14:textId="77777777" w:rsidR="00C92A19" w:rsidRDefault="000B0798" w:rsidP="004E1BF0">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understanding of the historic use of the weaver’s house</w:t>
            </w:r>
            <w:r w:rsidR="004E1BF0">
              <w:rPr>
                <w:rFonts w:asciiTheme="minorHAnsi" w:hAnsiTheme="minorHAnsi" w:cstheme="minorHAnsi"/>
                <w:bCs/>
                <w:szCs w:val="22"/>
              </w:rPr>
              <w:t xml:space="preserve"> and (ii) the </w:t>
            </w:r>
          </w:p>
          <w:p w14:paraId="4A6AF373" w14:textId="77777777" w:rsidR="00C92A19" w:rsidRDefault="004E1BF0" w:rsidP="004E1BF0">
            <w:pPr>
              <w:overflowPunct/>
              <w:autoSpaceDE/>
              <w:autoSpaceDN/>
              <w:adjustRightInd/>
              <w:ind w:left="720" w:hanging="720"/>
              <w:jc w:val="both"/>
              <w:textAlignment w:val="auto"/>
              <w:rPr>
                <w:rFonts w:asciiTheme="minorHAnsi" w:hAnsiTheme="minorHAnsi" w:cstheme="minorHAnsi"/>
                <w:bCs/>
                <w:szCs w:val="22"/>
              </w:rPr>
            </w:pPr>
            <w:r>
              <w:rPr>
                <w:rFonts w:asciiTheme="minorHAnsi" w:hAnsiTheme="minorHAnsi" w:cstheme="minorHAnsi"/>
                <w:bCs/>
                <w:szCs w:val="22"/>
              </w:rPr>
              <w:t xml:space="preserve">incongruity and conspicuousness of the fully glazed </w:t>
            </w:r>
            <w:r w:rsidR="00C92A19">
              <w:rPr>
                <w:rFonts w:asciiTheme="minorHAnsi" w:hAnsiTheme="minorHAnsi" w:cstheme="minorHAnsi"/>
                <w:bCs/>
                <w:szCs w:val="22"/>
              </w:rPr>
              <w:t xml:space="preserve">north-east facing </w:t>
            </w:r>
          </w:p>
          <w:p w14:paraId="491BD935" w14:textId="33EDF208" w:rsidR="000B0798" w:rsidRDefault="00C92A19" w:rsidP="004E1BF0">
            <w:pPr>
              <w:overflowPunct/>
              <w:autoSpaceDE/>
              <w:autoSpaceDN/>
              <w:adjustRightInd/>
              <w:ind w:left="720" w:hanging="720"/>
              <w:jc w:val="both"/>
              <w:textAlignment w:val="auto"/>
              <w:rPr>
                <w:rFonts w:asciiTheme="minorHAnsi" w:hAnsiTheme="minorHAnsi" w:cstheme="minorHAnsi"/>
                <w:bCs/>
                <w:szCs w:val="22"/>
              </w:rPr>
            </w:pPr>
            <w:r>
              <w:rPr>
                <w:rFonts w:asciiTheme="minorHAnsi" w:hAnsiTheme="minorHAnsi" w:cstheme="minorHAnsi"/>
                <w:bCs/>
                <w:szCs w:val="22"/>
              </w:rPr>
              <w:t>elevation of the new build.</w:t>
            </w:r>
            <w:r w:rsidR="000B0798" w:rsidRPr="00724A3E">
              <w:rPr>
                <w:rFonts w:asciiTheme="minorHAnsi" w:hAnsiTheme="minorHAnsi" w:cstheme="minorHAnsi"/>
                <w:bCs/>
                <w:szCs w:val="22"/>
              </w:rPr>
              <w:t xml:space="preserve"> </w:t>
            </w:r>
            <w:r w:rsidR="000B0798">
              <w:rPr>
                <w:rFonts w:asciiTheme="minorHAnsi" w:hAnsiTheme="minorHAnsi" w:cstheme="minorHAnsi"/>
                <w:bCs/>
                <w:szCs w:val="22"/>
              </w:rPr>
              <w:t xml:space="preserve">This is contrary to Core Strategy </w:t>
            </w:r>
          </w:p>
          <w:p w14:paraId="381FD5D6" w14:textId="4C68B17A" w:rsidR="000B0798" w:rsidRP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Pr>
                <w:rFonts w:asciiTheme="minorHAnsi" w:hAnsiTheme="minorHAnsi" w:cstheme="minorHAnsi"/>
                <w:bCs/>
                <w:szCs w:val="22"/>
              </w:rPr>
              <w:t>Key Statement EN5 and Policy DME4 and DMG1.</w:t>
            </w:r>
          </w:p>
          <w:p w14:paraId="3D3DFD97" w14:textId="77777777" w:rsidR="00C0704D" w:rsidRPr="00724A3E" w:rsidRDefault="00C0704D" w:rsidP="006126D1">
            <w:pPr>
              <w:jc w:val="both"/>
              <w:rPr>
                <w:rFonts w:asciiTheme="minorHAnsi" w:hAnsiTheme="minorHAnsi" w:cstheme="minorHAnsi"/>
                <w:bCs/>
                <w:szCs w:val="22"/>
              </w:rPr>
            </w:pPr>
          </w:p>
        </w:tc>
      </w:tr>
    </w:tbl>
    <w:p w14:paraId="58DD66DA" w14:textId="77777777" w:rsidR="0031197A" w:rsidRPr="00724A3E" w:rsidRDefault="001C3B4F" w:rsidP="006126D1">
      <w:pPr>
        <w:jc w:val="both"/>
        <w:rPr>
          <w:rFonts w:asciiTheme="minorHAnsi" w:hAnsiTheme="minorHAnsi" w:cstheme="minorHAnsi"/>
          <w:szCs w:val="22"/>
        </w:rPr>
      </w:pPr>
    </w:p>
    <w:sectPr w:rsidR="0031197A" w:rsidRPr="00724A3E"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92E4" w14:textId="77777777" w:rsidR="006030D1" w:rsidRDefault="006030D1" w:rsidP="006D0B5F">
      <w:r>
        <w:separator/>
      </w:r>
    </w:p>
  </w:endnote>
  <w:endnote w:type="continuationSeparator" w:id="0">
    <w:p w14:paraId="0F220A37" w14:textId="77777777" w:rsidR="006030D1" w:rsidRDefault="006030D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D30B" w14:textId="77777777" w:rsidR="006030D1" w:rsidRDefault="006030D1" w:rsidP="006D0B5F">
      <w:r>
        <w:separator/>
      </w:r>
    </w:p>
  </w:footnote>
  <w:footnote w:type="continuationSeparator" w:id="0">
    <w:p w14:paraId="3457AA01" w14:textId="77777777" w:rsidR="006030D1" w:rsidRDefault="006030D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3C0DB4"/>
    <w:multiLevelType w:val="hybridMultilevel"/>
    <w:tmpl w:val="D0B7C9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B64DF"/>
    <w:multiLevelType w:val="hybridMultilevel"/>
    <w:tmpl w:val="EE68DA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6"/>
  </w:num>
  <w:num w:numId="5">
    <w:abstractNumId w:val="2"/>
  </w:num>
  <w:num w:numId="6">
    <w:abstractNumId w:val="3"/>
  </w:num>
  <w:num w:numId="7">
    <w:abstractNumId w:val="7"/>
  </w:num>
  <w:num w:numId="8">
    <w:abstractNumId w:val="10"/>
  </w:num>
  <w:num w:numId="9">
    <w:abstractNumId w:val="4"/>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68C"/>
    <w:rsid w:val="00055B13"/>
    <w:rsid w:val="00072816"/>
    <w:rsid w:val="0008638E"/>
    <w:rsid w:val="000B0798"/>
    <w:rsid w:val="000B5CB5"/>
    <w:rsid w:val="000C7A57"/>
    <w:rsid w:val="000D123F"/>
    <w:rsid w:val="000E0080"/>
    <w:rsid w:val="00101855"/>
    <w:rsid w:val="0010371E"/>
    <w:rsid w:val="00106932"/>
    <w:rsid w:val="001225FA"/>
    <w:rsid w:val="00130035"/>
    <w:rsid w:val="00141512"/>
    <w:rsid w:val="00154259"/>
    <w:rsid w:val="001628CB"/>
    <w:rsid w:val="0016428F"/>
    <w:rsid w:val="00174004"/>
    <w:rsid w:val="001946E0"/>
    <w:rsid w:val="00196722"/>
    <w:rsid w:val="001B769B"/>
    <w:rsid w:val="001C1453"/>
    <w:rsid w:val="001C3B4F"/>
    <w:rsid w:val="001D4F7A"/>
    <w:rsid w:val="001D5ADD"/>
    <w:rsid w:val="00203F50"/>
    <w:rsid w:val="00206E24"/>
    <w:rsid w:val="0022746B"/>
    <w:rsid w:val="00237DA1"/>
    <w:rsid w:val="00250879"/>
    <w:rsid w:val="002656D3"/>
    <w:rsid w:val="00284480"/>
    <w:rsid w:val="00286C41"/>
    <w:rsid w:val="0028751A"/>
    <w:rsid w:val="0029334A"/>
    <w:rsid w:val="002A01CF"/>
    <w:rsid w:val="002A3BD7"/>
    <w:rsid w:val="002A5122"/>
    <w:rsid w:val="002A7DF7"/>
    <w:rsid w:val="002B7854"/>
    <w:rsid w:val="002C6277"/>
    <w:rsid w:val="002D4346"/>
    <w:rsid w:val="002E2952"/>
    <w:rsid w:val="002E7CC1"/>
    <w:rsid w:val="002F041D"/>
    <w:rsid w:val="002F2580"/>
    <w:rsid w:val="002F7502"/>
    <w:rsid w:val="003137E0"/>
    <w:rsid w:val="00320A6F"/>
    <w:rsid w:val="00321B6E"/>
    <w:rsid w:val="00332107"/>
    <w:rsid w:val="003359D0"/>
    <w:rsid w:val="00341E8D"/>
    <w:rsid w:val="00347F5E"/>
    <w:rsid w:val="00353237"/>
    <w:rsid w:val="003634D9"/>
    <w:rsid w:val="0036759A"/>
    <w:rsid w:val="00371C57"/>
    <w:rsid w:val="003825D5"/>
    <w:rsid w:val="003A4376"/>
    <w:rsid w:val="003C28E1"/>
    <w:rsid w:val="003E2151"/>
    <w:rsid w:val="003F16AA"/>
    <w:rsid w:val="003F16B4"/>
    <w:rsid w:val="003F3DB5"/>
    <w:rsid w:val="003F481A"/>
    <w:rsid w:val="00404C72"/>
    <w:rsid w:val="00407422"/>
    <w:rsid w:val="004302ED"/>
    <w:rsid w:val="00435FC9"/>
    <w:rsid w:val="0044039F"/>
    <w:rsid w:val="00440CB6"/>
    <w:rsid w:val="00454754"/>
    <w:rsid w:val="004557B9"/>
    <w:rsid w:val="004654DD"/>
    <w:rsid w:val="0048242E"/>
    <w:rsid w:val="004854EC"/>
    <w:rsid w:val="004936A6"/>
    <w:rsid w:val="004947BB"/>
    <w:rsid w:val="004A5EA9"/>
    <w:rsid w:val="004C2434"/>
    <w:rsid w:val="004D6FC7"/>
    <w:rsid w:val="004E1BF0"/>
    <w:rsid w:val="004E58E3"/>
    <w:rsid w:val="004F0649"/>
    <w:rsid w:val="004F1043"/>
    <w:rsid w:val="004F1E99"/>
    <w:rsid w:val="0050432D"/>
    <w:rsid w:val="00504440"/>
    <w:rsid w:val="00510DBF"/>
    <w:rsid w:val="00510FA2"/>
    <w:rsid w:val="00510FE3"/>
    <w:rsid w:val="00514289"/>
    <w:rsid w:val="00521ABA"/>
    <w:rsid w:val="00525341"/>
    <w:rsid w:val="00527A31"/>
    <w:rsid w:val="005312CE"/>
    <w:rsid w:val="00534611"/>
    <w:rsid w:val="00545D8C"/>
    <w:rsid w:val="00556ECD"/>
    <w:rsid w:val="005631B3"/>
    <w:rsid w:val="005633B0"/>
    <w:rsid w:val="005635FF"/>
    <w:rsid w:val="0056396C"/>
    <w:rsid w:val="00573B90"/>
    <w:rsid w:val="00586C9B"/>
    <w:rsid w:val="005878FE"/>
    <w:rsid w:val="00593040"/>
    <w:rsid w:val="005B0A0E"/>
    <w:rsid w:val="005B162E"/>
    <w:rsid w:val="005D3432"/>
    <w:rsid w:val="005E1C6C"/>
    <w:rsid w:val="005E65DF"/>
    <w:rsid w:val="006030D1"/>
    <w:rsid w:val="006126D1"/>
    <w:rsid w:val="006326A2"/>
    <w:rsid w:val="00665ACA"/>
    <w:rsid w:val="00665C24"/>
    <w:rsid w:val="00671EAF"/>
    <w:rsid w:val="00690EC3"/>
    <w:rsid w:val="00692B60"/>
    <w:rsid w:val="00695F88"/>
    <w:rsid w:val="00697F2A"/>
    <w:rsid w:val="006A71AD"/>
    <w:rsid w:val="006B0AC6"/>
    <w:rsid w:val="006C126E"/>
    <w:rsid w:val="006C2BFA"/>
    <w:rsid w:val="006D0B5F"/>
    <w:rsid w:val="006D4E58"/>
    <w:rsid w:val="006D7624"/>
    <w:rsid w:val="006F137D"/>
    <w:rsid w:val="006F4D38"/>
    <w:rsid w:val="006F66BB"/>
    <w:rsid w:val="0070054B"/>
    <w:rsid w:val="00706480"/>
    <w:rsid w:val="00710DBB"/>
    <w:rsid w:val="0072424B"/>
    <w:rsid w:val="00724A3E"/>
    <w:rsid w:val="00725F1C"/>
    <w:rsid w:val="007430C8"/>
    <w:rsid w:val="00755FCC"/>
    <w:rsid w:val="007645C6"/>
    <w:rsid w:val="00776AE2"/>
    <w:rsid w:val="00785DC1"/>
    <w:rsid w:val="007921CD"/>
    <w:rsid w:val="007A49CF"/>
    <w:rsid w:val="007B1E7D"/>
    <w:rsid w:val="007C5713"/>
    <w:rsid w:val="007C791C"/>
    <w:rsid w:val="007D6D02"/>
    <w:rsid w:val="007D7DF4"/>
    <w:rsid w:val="007E0D23"/>
    <w:rsid w:val="007F196D"/>
    <w:rsid w:val="00805895"/>
    <w:rsid w:val="008075CB"/>
    <w:rsid w:val="00811771"/>
    <w:rsid w:val="008154DD"/>
    <w:rsid w:val="0083105A"/>
    <w:rsid w:val="008422F9"/>
    <w:rsid w:val="008542DE"/>
    <w:rsid w:val="00855C13"/>
    <w:rsid w:val="008638DE"/>
    <w:rsid w:val="0086717F"/>
    <w:rsid w:val="00874EB3"/>
    <w:rsid w:val="0088544A"/>
    <w:rsid w:val="00891182"/>
    <w:rsid w:val="008A28C8"/>
    <w:rsid w:val="008C1430"/>
    <w:rsid w:val="008C75E4"/>
    <w:rsid w:val="008D5A3A"/>
    <w:rsid w:val="008F6B58"/>
    <w:rsid w:val="0090282C"/>
    <w:rsid w:val="00906D0C"/>
    <w:rsid w:val="00934B34"/>
    <w:rsid w:val="009565F5"/>
    <w:rsid w:val="009825FF"/>
    <w:rsid w:val="00985097"/>
    <w:rsid w:val="00994EF1"/>
    <w:rsid w:val="009C4BCF"/>
    <w:rsid w:val="009C7F61"/>
    <w:rsid w:val="009E6A8B"/>
    <w:rsid w:val="00A04A96"/>
    <w:rsid w:val="00A40070"/>
    <w:rsid w:val="00A42E82"/>
    <w:rsid w:val="00A43071"/>
    <w:rsid w:val="00A46EE9"/>
    <w:rsid w:val="00A55E83"/>
    <w:rsid w:val="00A579BB"/>
    <w:rsid w:val="00A63D55"/>
    <w:rsid w:val="00A67086"/>
    <w:rsid w:val="00A8441B"/>
    <w:rsid w:val="00A9088C"/>
    <w:rsid w:val="00A9168C"/>
    <w:rsid w:val="00A95D89"/>
    <w:rsid w:val="00AA2753"/>
    <w:rsid w:val="00AB2CFE"/>
    <w:rsid w:val="00AB3243"/>
    <w:rsid w:val="00AB5232"/>
    <w:rsid w:val="00AC5F83"/>
    <w:rsid w:val="00B14DDC"/>
    <w:rsid w:val="00B30A5E"/>
    <w:rsid w:val="00B31505"/>
    <w:rsid w:val="00B438C4"/>
    <w:rsid w:val="00B45282"/>
    <w:rsid w:val="00B6269C"/>
    <w:rsid w:val="00B6647D"/>
    <w:rsid w:val="00B74C73"/>
    <w:rsid w:val="00B80D22"/>
    <w:rsid w:val="00B93EB5"/>
    <w:rsid w:val="00B96F5A"/>
    <w:rsid w:val="00B976C4"/>
    <w:rsid w:val="00BA2247"/>
    <w:rsid w:val="00BA5D97"/>
    <w:rsid w:val="00BA6B19"/>
    <w:rsid w:val="00BA78C1"/>
    <w:rsid w:val="00BB1C52"/>
    <w:rsid w:val="00BB2A50"/>
    <w:rsid w:val="00BC1E48"/>
    <w:rsid w:val="00BC4764"/>
    <w:rsid w:val="00BD3F03"/>
    <w:rsid w:val="00C02706"/>
    <w:rsid w:val="00C0704D"/>
    <w:rsid w:val="00C214A6"/>
    <w:rsid w:val="00C24A51"/>
    <w:rsid w:val="00C25722"/>
    <w:rsid w:val="00C44E40"/>
    <w:rsid w:val="00C50517"/>
    <w:rsid w:val="00C618DB"/>
    <w:rsid w:val="00C6456D"/>
    <w:rsid w:val="00C92A19"/>
    <w:rsid w:val="00C93384"/>
    <w:rsid w:val="00CA28BA"/>
    <w:rsid w:val="00CD1729"/>
    <w:rsid w:val="00CD2E03"/>
    <w:rsid w:val="00CD38B1"/>
    <w:rsid w:val="00CD5B05"/>
    <w:rsid w:val="00CF36A6"/>
    <w:rsid w:val="00D02272"/>
    <w:rsid w:val="00D06B8B"/>
    <w:rsid w:val="00D102D9"/>
    <w:rsid w:val="00D1063F"/>
    <w:rsid w:val="00D11007"/>
    <w:rsid w:val="00D1420C"/>
    <w:rsid w:val="00D23470"/>
    <w:rsid w:val="00D2449B"/>
    <w:rsid w:val="00D5166A"/>
    <w:rsid w:val="00D54384"/>
    <w:rsid w:val="00D54E67"/>
    <w:rsid w:val="00D54F48"/>
    <w:rsid w:val="00D632BB"/>
    <w:rsid w:val="00D80310"/>
    <w:rsid w:val="00D841DA"/>
    <w:rsid w:val="00D949AC"/>
    <w:rsid w:val="00D9608A"/>
    <w:rsid w:val="00D96DF7"/>
    <w:rsid w:val="00D97AA3"/>
    <w:rsid w:val="00DA27B6"/>
    <w:rsid w:val="00DC3C8A"/>
    <w:rsid w:val="00DC6EC7"/>
    <w:rsid w:val="00DD62F6"/>
    <w:rsid w:val="00DD7E97"/>
    <w:rsid w:val="00DE740E"/>
    <w:rsid w:val="00DF42DA"/>
    <w:rsid w:val="00E03AFD"/>
    <w:rsid w:val="00E0485E"/>
    <w:rsid w:val="00E06DFC"/>
    <w:rsid w:val="00E23FB0"/>
    <w:rsid w:val="00E46243"/>
    <w:rsid w:val="00E47762"/>
    <w:rsid w:val="00E66534"/>
    <w:rsid w:val="00E719D1"/>
    <w:rsid w:val="00E71A35"/>
    <w:rsid w:val="00E72F6C"/>
    <w:rsid w:val="00E80113"/>
    <w:rsid w:val="00EA09F9"/>
    <w:rsid w:val="00EA1673"/>
    <w:rsid w:val="00EB36A2"/>
    <w:rsid w:val="00EB7D74"/>
    <w:rsid w:val="00EC23C7"/>
    <w:rsid w:val="00ED00B7"/>
    <w:rsid w:val="00EF1341"/>
    <w:rsid w:val="00EF44E6"/>
    <w:rsid w:val="00F012FA"/>
    <w:rsid w:val="00F04575"/>
    <w:rsid w:val="00F055D3"/>
    <w:rsid w:val="00F129DD"/>
    <w:rsid w:val="00F16D0F"/>
    <w:rsid w:val="00F32789"/>
    <w:rsid w:val="00F71D53"/>
    <w:rsid w:val="00F731F5"/>
    <w:rsid w:val="00F75F59"/>
    <w:rsid w:val="00F8201E"/>
    <w:rsid w:val="00F94B79"/>
    <w:rsid w:val="00FC046F"/>
    <w:rsid w:val="00FC6A11"/>
    <w:rsid w:val="00FC77EC"/>
    <w:rsid w:val="00FD334A"/>
    <w:rsid w:val="00FD6AE3"/>
    <w:rsid w:val="00FF0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6B0AC6"/>
    <w:pPr>
      <w:autoSpaceDE w:val="0"/>
      <w:autoSpaceDN w:val="0"/>
      <w:adjustRightInd w:val="0"/>
      <w:spacing w:after="0" w:line="240" w:lineRule="auto"/>
    </w:pPr>
    <w:rPr>
      <w:rFonts w:ascii="Arial" w:hAnsi="Arial" w:cs="Arial"/>
      <w:color w:val="000000"/>
      <w:sz w:val="24"/>
      <w:szCs w:val="24"/>
    </w:rPr>
  </w:style>
  <w:style w:type="paragraph" w:customStyle="1" w:styleId="Indent1">
    <w:name w:val="Indent 1"/>
    <w:basedOn w:val="Normal"/>
    <w:rsid w:val="006F66BB"/>
    <w:pPr>
      <w:ind w:left="72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2021-10-21T15:03:00Z</cp:lastPrinted>
  <dcterms:created xsi:type="dcterms:W3CDTF">2021-10-21T15:05:00Z</dcterms:created>
  <dcterms:modified xsi:type="dcterms:W3CDTF">2021-10-21T15:05:00Z</dcterms:modified>
</cp:coreProperties>
</file>