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715"/>
      </w:tblGrid>
      <w:tr w:rsidR="008C75E4" w:rsidRPr="008C75E4" w14:paraId="227FFEAB" w14:textId="77777777" w:rsidTr="00036617">
        <w:trPr>
          <w:jc w:val="center"/>
        </w:trPr>
        <w:tc>
          <w:tcPr>
            <w:tcW w:w="9209" w:type="dxa"/>
            <w:gridSpan w:val="14"/>
            <w:tcMar>
              <w:top w:w="57" w:type="dxa"/>
              <w:bottom w:w="57" w:type="dxa"/>
            </w:tcMar>
          </w:tcPr>
          <w:p w14:paraId="416A34F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5748A49" w14:textId="77777777" w:rsidTr="00036617">
        <w:trPr>
          <w:trHeight w:val="535"/>
          <w:jc w:val="center"/>
        </w:trPr>
        <w:tc>
          <w:tcPr>
            <w:tcW w:w="1296" w:type="dxa"/>
            <w:tcMar>
              <w:top w:w="57" w:type="dxa"/>
              <w:bottom w:w="57" w:type="dxa"/>
            </w:tcMar>
          </w:tcPr>
          <w:p w14:paraId="2359AC68" w14:textId="77777777" w:rsidR="004936A6" w:rsidRDefault="004936A6" w:rsidP="00D2449B">
            <w:pPr>
              <w:jc w:val="center"/>
              <w:rPr>
                <w:rFonts w:ascii="Calibri" w:hAnsi="Calibri"/>
                <w:b/>
                <w:szCs w:val="22"/>
              </w:rPr>
            </w:pPr>
            <w:r w:rsidRPr="008C75E4">
              <w:rPr>
                <w:rFonts w:ascii="Calibri" w:hAnsi="Calibri"/>
                <w:b/>
                <w:szCs w:val="22"/>
              </w:rPr>
              <w:t>Signed:</w:t>
            </w:r>
          </w:p>
          <w:p w14:paraId="4237D3CB" w14:textId="77777777" w:rsidR="00454754" w:rsidRPr="008C75E4" w:rsidRDefault="00454754" w:rsidP="00D2449B">
            <w:pPr>
              <w:jc w:val="center"/>
              <w:rPr>
                <w:rFonts w:ascii="Calibri" w:hAnsi="Calibri"/>
                <w:b/>
                <w:szCs w:val="22"/>
              </w:rPr>
            </w:pPr>
          </w:p>
        </w:tc>
        <w:tc>
          <w:tcPr>
            <w:tcW w:w="900" w:type="dxa"/>
          </w:tcPr>
          <w:p w14:paraId="72C4ED8E"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7DA667D" w14:textId="77777777" w:rsidR="004936A6" w:rsidRPr="008C75E4" w:rsidRDefault="004936A6" w:rsidP="00D2449B">
            <w:pPr>
              <w:jc w:val="center"/>
              <w:rPr>
                <w:rFonts w:ascii="Calibri" w:hAnsi="Calibri"/>
                <w:b/>
                <w:szCs w:val="22"/>
              </w:rPr>
            </w:pPr>
          </w:p>
        </w:tc>
        <w:tc>
          <w:tcPr>
            <w:tcW w:w="1030" w:type="dxa"/>
          </w:tcPr>
          <w:p w14:paraId="609A6D4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F5FFD0A" w14:textId="77777777" w:rsidR="004936A6" w:rsidRPr="008C75E4" w:rsidRDefault="004936A6" w:rsidP="00D2449B">
            <w:pPr>
              <w:jc w:val="center"/>
              <w:rPr>
                <w:rFonts w:ascii="Calibri" w:hAnsi="Calibri"/>
                <w:b/>
                <w:szCs w:val="22"/>
              </w:rPr>
            </w:pPr>
          </w:p>
        </w:tc>
        <w:tc>
          <w:tcPr>
            <w:tcW w:w="1098" w:type="dxa"/>
            <w:gridSpan w:val="2"/>
          </w:tcPr>
          <w:p w14:paraId="407B28D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FDAD9DC" w14:textId="77777777" w:rsidR="004936A6" w:rsidRPr="008C75E4" w:rsidRDefault="004936A6" w:rsidP="00D2449B">
            <w:pPr>
              <w:jc w:val="center"/>
              <w:rPr>
                <w:rFonts w:ascii="Calibri" w:hAnsi="Calibri"/>
                <w:b/>
                <w:szCs w:val="22"/>
              </w:rPr>
            </w:pPr>
          </w:p>
        </w:tc>
        <w:tc>
          <w:tcPr>
            <w:tcW w:w="1030" w:type="dxa"/>
          </w:tcPr>
          <w:p w14:paraId="19E49C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715" w:type="dxa"/>
          </w:tcPr>
          <w:p w14:paraId="724BEA9D" w14:textId="77777777" w:rsidR="004936A6" w:rsidRPr="008C75E4" w:rsidRDefault="004936A6" w:rsidP="00D2449B">
            <w:pPr>
              <w:jc w:val="center"/>
              <w:rPr>
                <w:rFonts w:ascii="Calibri" w:hAnsi="Calibri"/>
                <w:b/>
                <w:szCs w:val="22"/>
              </w:rPr>
            </w:pPr>
          </w:p>
        </w:tc>
      </w:tr>
      <w:tr w:rsidR="00E06DFC" w:rsidRPr="008C75E4" w14:paraId="2FF58404" w14:textId="77777777" w:rsidTr="00036617">
        <w:trPr>
          <w:trHeight w:val="586"/>
          <w:jc w:val="center"/>
        </w:trPr>
        <w:tc>
          <w:tcPr>
            <w:tcW w:w="1296" w:type="dxa"/>
            <w:tcBorders>
              <w:bottom w:val="single" w:sz="4" w:space="0" w:color="BFBFBF" w:themeColor="background1" w:themeShade="BF"/>
            </w:tcBorders>
            <w:tcMar>
              <w:top w:w="57" w:type="dxa"/>
              <w:bottom w:w="57" w:type="dxa"/>
            </w:tcMar>
          </w:tcPr>
          <w:p w14:paraId="42E9F919"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506011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2655E8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5E7FBDE" w14:textId="77777777" w:rsidR="00E06DFC" w:rsidRPr="004D670C" w:rsidRDefault="00E06DFC" w:rsidP="004D670C">
            <w:pPr>
              <w:ind w:left="360"/>
              <w:jc w:val="center"/>
              <w:rPr>
                <w:rFonts w:ascii="Calibri" w:hAnsi="Calibri"/>
                <w:b/>
                <w:szCs w:val="22"/>
              </w:rPr>
            </w:pPr>
          </w:p>
        </w:tc>
        <w:tc>
          <w:tcPr>
            <w:tcW w:w="4903" w:type="dxa"/>
            <w:gridSpan w:val="7"/>
            <w:tcBorders>
              <w:bottom w:val="single" w:sz="4" w:space="0" w:color="BFBFBF" w:themeColor="background1" w:themeShade="BF"/>
            </w:tcBorders>
          </w:tcPr>
          <w:p w14:paraId="1FB64EB0" w14:textId="77777777" w:rsidR="00E06DFC" w:rsidRPr="008C75E4" w:rsidRDefault="00E06DFC" w:rsidP="00D2449B">
            <w:pPr>
              <w:jc w:val="center"/>
              <w:rPr>
                <w:rFonts w:ascii="Calibri" w:hAnsi="Calibri"/>
                <w:b/>
                <w:szCs w:val="22"/>
              </w:rPr>
            </w:pPr>
          </w:p>
        </w:tc>
      </w:tr>
      <w:tr w:rsidR="008C75E4" w:rsidRPr="008C75E4" w14:paraId="50126A49" w14:textId="77777777" w:rsidTr="00036617">
        <w:trPr>
          <w:jc w:val="center"/>
        </w:trPr>
        <w:tc>
          <w:tcPr>
            <w:tcW w:w="9209" w:type="dxa"/>
            <w:gridSpan w:val="14"/>
            <w:tcBorders>
              <w:left w:val="nil"/>
              <w:right w:val="nil"/>
            </w:tcBorders>
            <w:tcMar>
              <w:top w:w="57" w:type="dxa"/>
              <w:bottom w:w="57" w:type="dxa"/>
            </w:tcMar>
          </w:tcPr>
          <w:p w14:paraId="78D64B44" w14:textId="77777777" w:rsidR="004A5EA9" w:rsidRPr="008C75E4" w:rsidRDefault="004A5EA9" w:rsidP="004A5EA9">
            <w:pPr>
              <w:jc w:val="center"/>
              <w:rPr>
                <w:rFonts w:ascii="Calibri" w:hAnsi="Calibri"/>
                <w:b/>
                <w:szCs w:val="22"/>
              </w:rPr>
            </w:pPr>
          </w:p>
        </w:tc>
      </w:tr>
      <w:tr w:rsidR="008C75E4" w:rsidRPr="008C75E4" w14:paraId="2A4EAA2C" w14:textId="77777777" w:rsidTr="00036617">
        <w:trPr>
          <w:jc w:val="center"/>
        </w:trPr>
        <w:tc>
          <w:tcPr>
            <w:tcW w:w="2394" w:type="dxa"/>
            <w:gridSpan w:val="3"/>
            <w:tcMar>
              <w:top w:w="57" w:type="dxa"/>
              <w:bottom w:w="57" w:type="dxa"/>
            </w:tcMar>
          </w:tcPr>
          <w:p w14:paraId="6D8452A6"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63AC3C" w14:textId="0502412C" w:rsidR="004A5EA9" w:rsidRPr="008C75E4" w:rsidRDefault="004D0253" w:rsidP="008F6B58">
            <w:pPr>
              <w:rPr>
                <w:rFonts w:ascii="Calibri" w:hAnsi="Calibri"/>
                <w:szCs w:val="22"/>
              </w:rPr>
            </w:pPr>
            <w:r>
              <w:rPr>
                <w:rFonts w:ascii="Calibri" w:hAnsi="Calibri"/>
                <w:szCs w:val="22"/>
              </w:rPr>
              <w:t>3/202</w:t>
            </w:r>
            <w:r w:rsidR="007E573A">
              <w:rPr>
                <w:rFonts w:ascii="Calibri" w:hAnsi="Calibri"/>
                <w:szCs w:val="22"/>
              </w:rPr>
              <w:t>1/0968</w:t>
            </w:r>
          </w:p>
        </w:tc>
        <w:tc>
          <w:tcPr>
            <w:tcW w:w="3354" w:type="dxa"/>
            <w:gridSpan w:val="5"/>
            <w:vMerge w:val="restart"/>
            <w:tcMar>
              <w:top w:w="57" w:type="dxa"/>
              <w:bottom w:w="57" w:type="dxa"/>
            </w:tcMar>
          </w:tcPr>
          <w:p w14:paraId="72D32C1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547CE85" wp14:editId="0ECAAC2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BE4B8C9" w14:textId="77777777" w:rsidTr="00036617">
        <w:trPr>
          <w:jc w:val="center"/>
        </w:trPr>
        <w:tc>
          <w:tcPr>
            <w:tcW w:w="2394" w:type="dxa"/>
            <w:gridSpan w:val="3"/>
            <w:tcMar>
              <w:top w:w="57" w:type="dxa"/>
              <w:bottom w:w="57" w:type="dxa"/>
            </w:tcMar>
          </w:tcPr>
          <w:p w14:paraId="26E328BC"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39E8A76" w14:textId="183A0949" w:rsidR="004A5EA9" w:rsidRPr="008C75E4" w:rsidRDefault="007E573A" w:rsidP="002C6277">
            <w:pPr>
              <w:rPr>
                <w:rFonts w:ascii="Calibri" w:hAnsi="Calibri"/>
                <w:szCs w:val="22"/>
              </w:rPr>
            </w:pPr>
            <w:r>
              <w:rPr>
                <w:rFonts w:ascii="Calibri" w:hAnsi="Calibri"/>
                <w:szCs w:val="22"/>
              </w:rPr>
              <w:t>23/11/2021</w:t>
            </w:r>
          </w:p>
        </w:tc>
        <w:tc>
          <w:tcPr>
            <w:tcW w:w="3354" w:type="dxa"/>
            <w:gridSpan w:val="5"/>
            <w:vMerge/>
            <w:tcMar>
              <w:top w:w="57" w:type="dxa"/>
              <w:bottom w:w="57" w:type="dxa"/>
            </w:tcMar>
          </w:tcPr>
          <w:p w14:paraId="2432CCBA" w14:textId="77777777" w:rsidR="004A5EA9" w:rsidRPr="008C75E4" w:rsidRDefault="004A5EA9">
            <w:pPr>
              <w:rPr>
                <w:rFonts w:ascii="Calibri" w:hAnsi="Calibri"/>
                <w:szCs w:val="22"/>
              </w:rPr>
            </w:pPr>
          </w:p>
        </w:tc>
      </w:tr>
      <w:tr w:rsidR="008C75E4" w:rsidRPr="008C75E4" w14:paraId="7DA26976" w14:textId="77777777" w:rsidTr="00036617">
        <w:trPr>
          <w:jc w:val="center"/>
        </w:trPr>
        <w:tc>
          <w:tcPr>
            <w:tcW w:w="2394" w:type="dxa"/>
            <w:gridSpan w:val="3"/>
            <w:tcMar>
              <w:top w:w="57" w:type="dxa"/>
              <w:bottom w:w="57" w:type="dxa"/>
            </w:tcMar>
          </w:tcPr>
          <w:p w14:paraId="2091E03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7539F16" w14:textId="77777777" w:rsidR="004A5EA9" w:rsidRPr="00454754" w:rsidRDefault="004D0253" w:rsidP="00811771">
            <w:pPr>
              <w:rPr>
                <w:rFonts w:ascii="Calibri" w:hAnsi="Calibri"/>
                <w:b/>
                <w:szCs w:val="22"/>
              </w:rPr>
            </w:pPr>
            <w:r>
              <w:rPr>
                <w:rFonts w:ascii="Calibri" w:hAnsi="Calibri"/>
                <w:b/>
                <w:szCs w:val="22"/>
              </w:rPr>
              <w:t>AB</w:t>
            </w:r>
          </w:p>
        </w:tc>
        <w:tc>
          <w:tcPr>
            <w:tcW w:w="3354" w:type="dxa"/>
            <w:gridSpan w:val="5"/>
            <w:vMerge/>
            <w:tcMar>
              <w:top w:w="57" w:type="dxa"/>
              <w:bottom w:w="57" w:type="dxa"/>
            </w:tcMar>
          </w:tcPr>
          <w:p w14:paraId="7E0AC131" w14:textId="77777777" w:rsidR="004A5EA9" w:rsidRPr="008C75E4" w:rsidRDefault="004A5EA9">
            <w:pPr>
              <w:rPr>
                <w:rFonts w:ascii="Calibri" w:hAnsi="Calibri"/>
                <w:szCs w:val="22"/>
              </w:rPr>
            </w:pPr>
          </w:p>
        </w:tc>
      </w:tr>
      <w:tr w:rsidR="00FD334A" w:rsidRPr="008C75E4" w14:paraId="3C7A66C8" w14:textId="77777777" w:rsidTr="00036617">
        <w:trPr>
          <w:jc w:val="center"/>
        </w:trPr>
        <w:tc>
          <w:tcPr>
            <w:tcW w:w="5855" w:type="dxa"/>
            <w:gridSpan w:val="9"/>
            <w:tcBorders>
              <w:bottom w:val="single" w:sz="4" w:space="0" w:color="BFBFBF" w:themeColor="background1" w:themeShade="BF"/>
            </w:tcBorders>
            <w:tcMar>
              <w:top w:w="57" w:type="dxa"/>
              <w:bottom w:w="57" w:type="dxa"/>
            </w:tcMar>
          </w:tcPr>
          <w:p w14:paraId="5AB4CD0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52A5471" w14:textId="77777777" w:rsidR="00FD334A" w:rsidRPr="008C75E4" w:rsidRDefault="00FD334A" w:rsidP="00FD334A">
            <w:pPr>
              <w:rPr>
                <w:rFonts w:ascii="Calibri" w:hAnsi="Calibri"/>
                <w:b/>
                <w:szCs w:val="22"/>
              </w:rPr>
            </w:pPr>
            <w:r>
              <w:rPr>
                <w:rFonts w:ascii="Calibri" w:hAnsi="Calibri"/>
                <w:b/>
                <w:szCs w:val="22"/>
              </w:rPr>
              <w:t>Decision</w:t>
            </w:r>
          </w:p>
        </w:tc>
        <w:tc>
          <w:tcPr>
            <w:tcW w:w="2347" w:type="dxa"/>
            <w:gridSpan w:val="3"/>
            <w:tcBorders>
              <w:bottom w:val="single" w:sz="4" w:space="0" w:color="BFBFBF" w:themeColor="background1" w:themeShade="BF"/>
            </w:tcBorders>
          </w:tcPr>
          <w:p w14:paraId="23F65728" w14:textId="77777777" w:rsidR="00FD334A" w:rsidRPr="008C75E4" w:rsidRDefault="008E3074" w:rsidP="00FD334A">
            <w:pPr>
              <w:rPr>
                <w:rFonts w:ascii="Calibri" w:hAnsi="Calibri"/>
                <w:b/>
                <w:szCs w:val="22"/>
              </w:rPr>
            </w:pPr>
            <w:r>
              <w:rPr>
                <w:rFonts w:ascii="Calibri" w:hAnsi="Calibri"/>
                <w:b/>
                <w:szCs w:val="22"/>
              </w:rPr>
              <w:t>APPROVED</w:t>
            </w:r>
          </w:p>
        </w:tc>
      </w:tr>
      <w:tr w:rsidR="008C75E4" w:rsidRPr="008C75E4" w14:paraId="49D1C7D5" w14:textId="77777777" w:rsidTr="00036617">
        <w:trPr>
          <w:trHeight w:hRule="exact" w:val="144"/>
          <w:jc w:val="center"/>
        </w:trPr>
        <w:tc>
          <w:tcPr>
            <w:tcW w:w="9209" w:type="dxa"/>
            <w:gridSpan w:val="14"/>
            <w:tcBorders>
              <w:left w:val="nil"/>
              <w:right w:val="nil"/>
            </w:tcBorders>
            <w:tcMar>
              <w:top w:w="57" w:type="dxa"/>
              <w:bottom w:w="57" w:type="dxa"/>
            </w:tcMar>
          </w:tcPr>
          <w:p w14:paraId="3EC5EAE9" w14:textId="77777777" w:rsidR="004A5EA9" w:rsidRPr="00504440" w:rsidRDefault="004A5EA9" w:rsidP="007E0D23">
            <w:pPr>
              <w:tabs>
                <w:tab w:val="left" w:pos="4007"/>
              </w:tabs>
              <w:rPr>
                <w:rFonts w:ascii="Calibri" w:hAnsi="Calibri"/>
                <w:b/>
                <w:sz w:val="4"/>
                <w:szCs w:val="4"/>
              </w:rPr>
            </w:pPr>
          </w:p>
        </w:tc>
      </w:tr>
      <w:tr w:rsidR="008C75E4" w:rsidRPr="008C75E4" w14:paraId="4DE89FAC" w14:textId="77777777" w:rsidTr="00036617">
        <w:trPr>
          <w:jc w:val="center"/>
        </w:trPr>
        <w:tc>
          <w:tcPr>
            <w:tcW w:w="3075" w:type="dxa"/>
            <w:gridSpan w:val="5"/>
            <w:tcMar>
              <w:top w:w="57" w:type="dxa"/>
              <w:bottom w:w="57" w:type="dxa"/>
            </w:tcMar>
          </w:tcPr>
          <w:p w14:paraId="0FEC1265"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134" w:type="dxa"/>
            <w:gridSpan w:val="9"/>
          </w:tcPr>
          <w:p w14:paraId="6E8A6243" w14:textId="09E6CA92" w:rsidR="004A5EA9" w:rsidRPr="004D0253" w:rsidRDefault="007E573A">
            <w:pPr>
              <w:rPr>
                <w:rFonts w:asciiTheme="minorHAnsi" w:hAnsiTheme="minorHAnsi" w:cstheme="minorHAnsi"/>
                <w:b/>
                <w:color w:val="000000" w:themeColor="text1"/>
                <w:szCs w:val="22"/>
              </w:rPr>
            </w:pPr>
            <w:r w:rsidRPr="007E573A">
              <w:rPr>
                <w:rFonts w:asciiTheme="minorHAnsi" w:hAnsiTheme="minorHAnsi" w:cstheme="minorHAnsi"/>
                <w:b/>
                <w:color w:val="000000" w:themeColor="text1"/>
                <w:szCs w:val="22"/>
              </w:rPr>
              <w:t>Conversion of a redundant stone agricultural building to self</w:t>
            </w:r>
            <w:r>
              <w:rPr>
                <w:rFonts w:asciiTheme="minorHAnsi" w:hAnsiTheme="minorHAnsi" w:cstheme="minorHAnsi"/>
                <w:b/>
                <w:color w:val="000000" w:themeColor="text1"/>
                <w:szCs w:val="22"/>
              </w:rPr>
              <w:t>-</w:t>
            </w:r>
            <w:r w:rsidRPr="007E573A">
              <w:rPr>
                <w:rFonts w:asciiTheme="minorHAnsi" w:hAnsiTheme="minorHAnsi" w:cstheme="minorHAnsi"/>
                <w:b/>
                <w:color w:val="000000" w:themeColor="text1"/>
                <w:szCs w:val="22"/>
              </w:rPr>
              <w:t>catering accommodation as a farm diversification.</w:t>
            </w:r>
          </w:p>
        </w:tc>
      </w:tr>
      <w:tr w:rsidR="008C75E4" w:rsidRPr="008C75E4" w14:paraId="45028111" w14:textId="77777777" w:rsidTr="00036617">
        <w:trPr>
          <w:jc w:val="center"/>
        </w:trPr>
        <w:tc>
          <w:tcPr>
            <w:tcW w:w="3075" w:type="dxa"/>
            <w:gridSpan w:val="5"/>
            <w:tcBorders>
              <w:bottom w:val="single" w:sz="4" w:space="0" w:color="BFBFBF" w:themeColor="background1" w:themeShade="BF"/>
            </w:tcBorders>
            <w:tcMar>
              <w:top w:w="57" w:type="dxa"/>
              <w:bottom w:w="57" w:type="dxa"/>
            </w:tcMar>
          </w:tcPr>
          <w:p w14:paraId="704262B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134" w:type="dxa"/>
            <w:gridSpan w:val="9"/>
            <w:tcBorders>
              <w:bottom w:val="single" w:sz="4" w:space="0" w:color="BFBFBF" w:themeColor="background1" w:themeShade="BF"/>
            </w:tcBorders>
          </w:tcPr>
          <w:p w14:paraId="3DD239DC" w14:textId="00FB61AF" w:rsidR="002A01CF" w:rsidRPr="009F332E" w:rsidRDefault="007E573A" w:rsidP="00A42E82">
            <w:pPr>
              <w:rPr>
                <w:rFonts w:asciiTheme="minorHAnsi" w:hAnsiTheme="minorHAnsi" w:cstheme="minorHAnsi"/>
                <w:b/>
                <w:szCs w:val="22"/>
              </w:rPr>
            </w:pPr>
            <w:proofErr w:type="spellStart"/>
            <w:r w:rsidRPr="007E573A">
              <w:rPr>
                <w:rFonts w:asciiTheme="minorHAnsi" w:hAnsiTheme="minorHAnsi" w:cstheme="minorHAnsi"/>
                <w:b/>
                <w:szCs w:val="22"/>
              </w:rPr>
              <w:t>Spencers</w:t>
            </w:r>
            <w:proofErr w:type="spellEnd"/>
            <w:r w:rsidRPr="007E573A">
              <w:rPr>
                <w:rFonts w:asciiTheme="minorHAnsi" w:hAnsiTheme="minorHAnsi" w:cstheme="minorHAnsi"/>
                <w:b/>
                <w:szCs w:val="22"/>
              </w:rPr>
              <w:t xml:space="preserve"> Farm Past Lane Bolton-by-Bowland BB7 4PH</w:t>
            </w:r>
          </w:p>
        </w:tc>
      </w:tr>
      <w:tr w:rsidR="008C75E4" w:rsidRPr="008C75E4" w14:paraId="7FE3E349" w14:textId="77777777" w:rsidTr="00036617">
        <w:trPr>
          <w:trHeight w:hRule="exact" w:val="144"/>
          <w:jc w:val="center"/>
        </w:trPr>
        <w:tc>
          <w:tcPr>
            <w:tcW w:w="9209" w:type="dxa"/>
            <w:gridSpan w:val="14"/>
            <w:tcBorders>
              <w:left w:val="nil"/>
              <w:right w:val="nil"/>
            </w:tcBorders>
            <w:tcMar>
              <w:top w:w="57" w:type="dxa"/>
              <w:bottom w:w="57" w:type="dxa"/>
            </w:tcMar>
          </w:tcPr>
          <w:p w14:paraId="0C1E4258" w14:textId="77777777" w:rsidR="00A95D89" w:rsidRPr="00504440" w:rsidRDefault="00A95D89" w:rsidP="007E0D23">
            <w:pPr>
              <w:tabs>
                <w:tab w:val="left" w:pos="2667"/>
              </w:tabs>
              <w:rPr>
                <w:rFonts w:ascii="Calibri" w:hAnsi="Calibri"/>
                <w:b/>
                <w:sz w:val="4"/>
                <w:szCs w:val="4"/>
              </w:rPr>
            </w:pPr>
          </w:p>
        </w:tc>
      </w:tr>
      <w:tr w:rsidR="008C75E4" w:rsidRPr="008C75E4" w14:paraId="38D80EA5" w14:textId="77777777" w:rsidTr="00036617">
        <w:trPr>
          <w:jc w:val="center"/>
        </w:trPr>
        <w:tc>
          <w:tcPr>
            <w:tcW w:w="3075" w:type="dxa"/>
            <w:gridSpan w:val="5"/>
            <w:tcMar>
              <w:top w:w="57" w:type="dxa"/>
              <w:bottom w:w="57" w:type="dxa"/>
            </w:tcMar>
          </w:tcPr>
          <w:p w14:paraId="649365F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134" w:type="dxa"/>
            <w:gridSpan w:val="9"/>
          </w:tcPr>
          <w:p w14:paraId="05BCD8D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E941240" w14:textId="77777777" w:rsidTr="00036617">
        <w:trPr>
          <w:jc w:val="center"/>
        </w:trPr>
        <w:tc>
          <w:tcPr>
            <w:tcW w:w="9209" w:type="dxa"/>
            <w:gridSpan w:val="14"/>
            <w:tcBorders>
              <w:bottom w:val="single" w:sz="4" w:space="0" w:color="BFBFBF" w:themeColor="background1" w:themeShade="BF"/>
            </w:tcBorders>
            <w:tcMar>
              <w:top w:w="57" w:type="dxa"/>
              <w:bottom w:w="57" w:type="dxa"/>
            </w:tcMar>
          </w:tcPr>
          <w:p w14:paraId="53B6958D" w14:textId="660BF869" w:rsidR="003A4376" w:rsidRPr="009825FF" w:rsidRDefault="008E3074" w:rsidP="009825FF">
            <w:pPr>
              <w:jc w:val="both"/>
              <w:rPr>
                <w:rFonts w:ascii="Calibri" w:hAnsi="Calibri"/>
                <w:szCs w:val="22"/>
              </w:rPr>
            </w:pPr>
            <w:r>
              <w:rPr>
                <w:rFonts w:ascii="Calibri" w:hAnsi="Calibri"/>
                <w:szCs w:val="22"/>
              </w:rPr>
              <w:t>No</w:t>
            </w:r>
            <w:r w:rsidR="007E573A">
              <w:rPr>
                <w:rFonts w:ascii="Calibri" w:hAnsi="Calibri"/>
                <w:szCs w:val="22"/>
              </w:rPr>
              <w:t>ne received.</w:t>
            </w:r>
          </w:p>
        </w:tc>
      </w:tr>
      <w:tr w:rsidR="008C75E4" w:rsidRPr="008C75E4" w14:paraId="02BE35C3" w14:textId="77777777" w:rsidTr="00036617">
        <w:trPr>
          <w:trHeight w:hRule="exact" w:val="144"/>
          <w:jc w:val="center"/>
        </w:trPr>
        <w:tc>
          <w:tcPr>
            <w:tcW w:w="9209" w:type="dxa"/>
            <w:gridSpan w:val="14"/>
            <w:tcBorders>
              <w:left w:val="nil"/>
              <w:right w:val="nil"/>
            </w:tcBorders>
            <w:tcMar>
              <w:top w:w="57" w:type="dxa"/>
              <w:bottom w:w="57" w:type="dxa"/>
            </w:tcMar>
          </w:tcPr>
          <w:p w14:paraId="318CD46D" w14:textId="77777777" w:rsidR="00C618DB" w:rsidRPr="00504440" w:rsidRDefault="00C618DB" w:rsidP="006126D1">
            <w:pPr>
              <w:jc w:val="both"/>
              <w:rPr>
                <w:rFonts w:ascii="Calibri" w:hAnsi="Calibri"/>
                <w:bCs/>
                <w:sz w:val="4"/>
                <w:szCs w:val="4"/>
              </w:rPr>
            </w:pPr>
          </w:p>
        </w:tc>
      </w:tr>
      <w:tr w:rsidR="008C75E4" w:rsidRPr="008C75E4" w14:paraId="07A18A15" w14:textId="77777777" w:rsidTr="00036617">
        <w:trPr>
          <w:jc w:val="center"/>
        </w:trPr>
        <w:tc>
          <w:tcPr>
            <w:tcW w:w="3075" w:type="dxa"/>
            <w:gridSpan w:val="5"/>
            <w:tcMar>
              <w:top w:w="57" w:type="dxa"/>
              <w:bottom w:w="57" w:type="dxa"/>
            </w:tcMar>
          </w:tcPr>
          <w:p w14:paraId="56213D5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134" w:type="dxa"/>
            <w:gridSpan w:val="9"/>
          </w:tcPr>
          <w:p w14:paraId="543B726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F688138" w14:textId="77777777" w:rsidTr="00036617">
        <w:trPr>
          <w:jc w:val="center"/>
        </w:trPr>
        <w:tc>
          <w:tcPr>
            <w:tcW w:w="3075" w:type="dxa"/>
            <w:gridSpan w:val="5"/>
            <w:tcMar>
              <w:top w:w="57" w:type="dxa"/>
              <w:bottom w:w="57" w:type="dxa"/>
            </w:tcMar>
          </w:tcPr>
          <w:p w14:paraId="5B3AE9D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134" w:type="dxa"/>
            <w:gridSpan w:val="9"/>
          </w:tcPr>
          <w:p w14:paraId="7E2AEA39" w14:textId="77777777" w:rsidR="002A01CF" w:rsidRPr="008C75E4" w:rsidRDefault="002A01CF" w:rsidP="006126D1">
            <w:pPr>
              <w:jc w:val="both"/>
              <w:rPr>
                <w:rFonts w:ascii="Calibri" w:hAnsi="Calibri"/>
                <w:b/>
                <w:szCs w:val="22"/>
              </w:rPr>
            </w:pPr>
          </w:p>
        </w:tc>
      </w:tr>
      <w:tr w:rsidR="008C75E4" w:rsidRPr="008C75E4" w14:paraId="5AE48DBE" w14:textId="77777777" w:rsidTr="00036617">
        <w:trPr>
          <w:jc w:val="center"/>
        </w:trPr>
        <w:tc>
          <w:tcPr>
            <w:tcW w:w="9209" w:type="dxa"/>
            <w:gridSpan w:val="14"/>
            <w:tcMar>
              <w:top w:w="57" w:type="dxa"/>
              <w:bottom w:w="57" w:type="dxa"/>
            </w:tcMar>
          </w:tcPr>
          <w:p w14:paraId="77322C90" w14:textId="565F3ED0" w:rsidR="00C0704D" w:rsidRPr="008C75E4" w:rsidRDefault="008E3274" w:rsidP="00FC046F">
            <w:pPr>
              <w:jc w:val="both"/>
              <w:rPr>
                <w:rFonts w:ascii="Calibri" w:hAnsi="Calibri"/>
                <w:szCs w:val="22"/>
              </w:rPr>
            </w:pPr>
            <w:r>
              <w:rPr>
                <w:rFonts w:ascii="Calibri" w:hAnsi="Calibri"/>
                <w:szCs w:val="22"/>
              </w:rPr>
              <w:t>No objection</w:t>
            </w:r>
            <w:r w:rsidR="007E573A">
              <w:rPr>
                <w:rFonts w:ascii="Calibri" w:hAnsi="Calibri"/>
                <w:szCs w:val="22"/>
              </w:rPr>
              <w:t xml:space="preserve"> subject to conditions.</w:t>
            </w:r>
          </w:p>
        </w:tc>
      </w:tr>
      <w:tr w:rsidR="009617DE" w:rsidRPr="008C75E4" w14:paraId="164FE2D6" w14:textId="77777777" w:rsidTr="00036617">
        <w:trPr>
          <w:jc w:val="center"/>
        </w:trPr>
        <w:tc>
          <w:tcPr>
            <w:tcW w:w="9209" w:type="dxa"/>
            <w:gridSpan w:val="14"/>
            <w:tcMar>
              <w:top w:w="57" w:type="dxa"/>
              <w:bottom w:w="57" w:type="dxa"/>
            </w:tcMar>
          </w:tcPr>
          <w:p w14:paraId="141575AB" w14:textId="3689128E" w:rsidR="009617DE" w:rsidRDefault="009617DE" w:rsidP="009617DE">
            <w:pPr>
              <w:jc w:val="both"/>
              <w:rPr>
                <w:rFonts w:ascii="Calibri" w:hAnsi="Calibri"/>
                <w:szCs w:val="22"/>
              </w:rPr>
            </w:pPr>
            <w:r w:rsidRPr="008C75E4">
              <w:rPr>
                <w:rFonts w:ascii="Calibri" w:hAnsi="Calibri"/>
                <w:b/>
                <w:szCs w:val="22"/>
              </w:rPr>
              <w:t xml:space="preserve">LCC </w:t>
            </w:r>
            <w:r>
              <w:rPr>
                <w:rFonts w:ascii="Calibri" w:hAnsi="Calibri"/>
                <w:b/>
                <w:szCs w:val="22"/>
              </w:rPr>
              <w:t>Archaeology</w:t>
            </w:r>
            <w:r w:rsidRPr="008C75E4">
              <w:rPr>
                <w:rFonts w:ascii="Calibri" w:hAnsi="Calibri"/>
                <w:b/>
                <w:szCs w:val="22"/>
              </w:rPr>
              <w:t>:</w:t>
            </w:r>
          </w:p>
        </w:tc>
      </w:tr>
      <w:tr w:rsidR="009617DE" w:rsidRPr="008C75E4" w14:paraId="4BF5E3D1" w14:textId="77777777" w:rsidTr="00036617">
        <w:trPr>
          <w:jc w:val="center"/>
        </w:trPr>
        <w:tc>
          <w:tcPr>
            <w:tcW w:w="9209" w:type="dxa"/>
            <w:gridSpan w:val="14"/>
            <w:tcMar>
              <w:top w:w="57" w:type="dxa"/>
              <w:bottom w:w="57" w:type="dxa"/>
            </w:tcMar>
          </w:tcPr>
          <w:p w14:paraId="4F174D1B" w14:textId="6B2CAB90" w:rsidR="009617DE" w:rsidRDefault="009617DE" w:rsidP="00FC046F">
            <w:pPr>
              <w:jc w:val="both"/>
              <w:rPr>
                <w:rFonts w:ascii="Calibri" w:hAnsi="Calibri"/>
                <w:szCs w:val="22"/>
              </w:rPr>
            </w:pPr>
            <w:r>
              <w:rPr>
                <w:rFonts w:ascii="Calibri" w:hAnsi="Calibri"/>
                <w:szCs w:val="22"/>
              </w:rPr>
              <w:t>No objection subject to conditions.</w:t>
            </w:r>
          </w:p>
        </w:tc>
      </w:tr>
      <w:tr w:rsidR="008C75E4" w:rsidRPr="008C75E4" w14:paraId="5CDC6A75" w14:textId="77777777" w:rsidTr="00036617">
        <w:trPr>
          <w:jc w:val="center"/>
        </w:trPr>
        <w:tc>
          <w:tcPr>
            <w:tcW w:w="3075" w:type="dxa"/>
            <w:gridSpan w:val="5"/>
            <w:tcMar>
              <w:top w:w="57" w:type="dxa"/>
              <w:bottom w:w="57" w:type="dxa"/>
            </w:tcMar>
          </w:tcPr>
          <w:p w14:paraId="0D1E8E90"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134" w:type="dxa"/>
            <w:gridSpan w:val="9"/>
          </w:tcPr>
          <w:p w14:paraId="684FEA4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E3074" w:rsidRPr="008C75E4" w14:paraId="3148B269" w14:textId="77777777" w:rsidTr="00036617">
        <w:trPr>
          <w:jc w:val="center"/>
        </w:trPr>
        <w:tc>
          <w:tcPr>
            <w:tcW w:w="9209" w:type="dxa"/>
            <w:gridSpan w:val="14"/>
            <w:tcMar>
              <w:top w:w="57" w:type="dxa"/>
              <w:bottom w:w="57" w:type="dxa"/>
            </w:tcMar>
          </w:tcPr>
          <w:p w14:paraId="0EECE638" w14:textId="77777777" w:rsidR="008E3074" w:rsidRPr="008E3074" w:rsidRDefault="008E3074" w:rsidP="006126D1">
            <w:pPr>
              <w:jc w:val="both"/>
              <w:rPr>
                <w:rFonts w:ascii="Calibri" w:hAnsi="Calibri"/>
                <w:szCs w:val="22"/>
              </w:rPr>
            </w:pPr>
            <w:r w:rsidRPr="008E3074">
              <w:rPr>
                <w:rFonts w:ascii="Calibri" w:hAnsi="Calibri"/>
                <w:szCs w:val="22"/>
              </w:rPr>
              <w:t>No representations have been received.</w:t>
            </w:r>
          </w:p>
        </w:tc>
      </w:tr>
      <w:tr w:rsidR="008C75E4" w:rsidRPr="008C75E4" w14:paraId="5A2E4663" w14:textId="77777777" w:rsidTr="00036617">
        <w:trPr>
          <w:trHeight w:hRule="exact" w:val="144"/>
          <w:jc w:val="center"/>
        </w:trPr>
        <w:tc>
          <w:tcPr>
            <w:tcW w:w="9209" w:type="dxa"/>
            <w:gridSpan w:val="14"/>
            <w:tcBorders>
              <w:left w:val="nil"/>
              <w:right w:val="nil"/>
            </w:tcBorders>
            <w:tcMar>
              <w:top w:w="57" w:type="dxa"/>
              <w:bottom w:w="57" w:type="dxa"/>
            </w:tcMar>
          </w:tcPr>
          <w:p w14:paraId="4CF1253C" w14:textId="77777777" w:rsidR="00C0704D" w:rsidRPr="00504440" w:rsidRDefault="00C0704D" w:rsidP="006126D1">
            <w:pPr>
              <w:jc w:val="both"/>
              <w:rPr>
                <w:rFonts w:ascii="Calibri" w:hAnsi="Calibri"/>
                <w:sz w:val="4"/>
                <w:szCs w:val="4"/>
              </w:rPr>
            </w:pPr>
          </w:p>
        </w:tc>
      </w:tr>
      <w:tr w:rsidR="008C75E4" w:rsidRPr="008C75E4" w14:paraId="44288322" w14:textId="77777777" w:rsidTr="00036617">
        <w:trPr>
          <w:jc w:val="center"/>
        </w:trPr>
        <w:tc>
          <w:tcPr>
            <w:tcW w:w="9209" w:type="dxa"/>
            <w:gridSpan w:val="14"/>
            <w:tcMar>
              <w:top w:w="57" w:type="dxa"/>
              <w:bottom w:w="57" w:type="dxa"/>
            </w:tcMar>
          </w:tcPr>
          <w:p w14:paraId="3C4F2AC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C121774" w14:textId="77777777" w:rsidTr="00036617">
        <w:trPr>
          <w:trHeight w:val="864"/>
          <w:jc w:val="center"/>
        </w:trPr>
        <w:tc>
          <w:tcPr>
            <w:tcW w:w="9209" w:type="dxa"/>
            <w:gridSpan w:val="14"/>
            <w:tcMar>
              <w:top w:w="57" w:type="dxa"/>
              <w:bottom w:w="57" w:type="dxa"/>
            </w:tcMar>
          </w:tcPr>
          <w:p w14:paraId="613B98B3" w14:textId="77777777" w:rsidR="0028276B" w:rsidRPr="0028276B" w:rsidRDefault="0028276B" w:rsidP="0028276B">
            <w:pPr>
              <w:rPr>
                <w:rFonts w:asciiTheme="minorHAnsi" w:hAnsiTheme="minorHAnsi" w:cstheme="minorHAnsi"/>
                <w:b/>
              </w:rPr>
            </w:pPr>
            <w:proofErr w:type="spellStart"/>
            <w:r w:rsidRPr="0028276B">
              <w:rPr>
                <w:rFonts w:asciiTheme="minorHAnsi" w:hAnsiTheme="minorHAnsi" w:cstheme="minorHAnsi"/>
                <w:b/>
              </w:rPr>
              <w:t>Ribble</w:t>
            </w:r>
            <w:proofErr w:type="spellEnd"/>
            <w:r w:rsidRPr="0028276B">
              <w:rPr>
                <w:rFonts w:asciiTheme="minorHAnsi" w:hAnsiTheme="minorHAnsi" w:cstheme="minorHAnsi"/>
                <w:b/>
              </w:rPr>
              <w:t xml:space="preserve"> Valley Core Strategy</w:t>
            </w:r>
          </w:p>
          <w:p w14:paraId="465DF3B4" w14:textId="77777777" w:rsidR="0028276B" w:rsidRPr="0028276B" w:rsidRDefault="0028276B" w:rsidP="0028276B">
            <w:pPr>
              <w:rPr>
                <w:rFonts w:asciiTheme="minorHAnsi" w:hAnsiTheme="minorHAnsi" w:cstheme="minorHAnsi"/>
              </w:rPr>
            </w:pPr>
            <w:r w:rsidRPr="0028276B">
              <w:rPr>
                <w:rFonts w:asciiTheme="minorHAnsi" w:hAnsiTheme="minorHAnsi" w:cstheme="minorHAnsi"/>
              </w:rPr>
              <w:t>Key Statement EN2 – Landscape</w:t>
            </w:r>
          </w:p>
          <w:p w14:paraId="1D5B10B7" w14:textId="77777777" w:rsidR="0028276B" w:rsidRPr="0028276B" w:rsidRDefault="0028276B" w:rsidP="0028276B">
            <w:pPr>
              <w:rPr>
                <w:rFonts w:asciiTheme="minorHAnsi" w:hAnsiTheme="minorHAnsi" w:cstheme="minorHAnsi"/>
              </w:rPr>
            </w:pPr>
            <w:r w:rsidRPr="0028276B">
              <w:rPr>
                <w:rFonts w:asciiTheme="minorHAnsi" w:hAnsiTheme="minorHAnsi" w:cstheme="minorHAnsi"/>
              </w:rPr>
              <w:t>Key Statement EN5 – Heritage Assets</w:t>
            </w:r>
          </w:p>
          <w:p w14:paraId="499D0B88" w14:textId="77777777" w:rsidR="0028276B" w:rsidRPr="0028276B" w:rsidRDefault="0028276B" w:rsidP="0028276B">
            <w:pPr>
              <w:pStyle w:val="Default"/>
              <w:rPr>
                <w:rFonts w:asciiTheme="minorHAnsi" w:hAnsiTheme="minorHAnsi" w:cstheme="minorHAnsi"/>
                <w:color w:val="auto"/>
                <w:sz w:val="22"/>
                <w:szCs w:val="22"/>
              </w:rPr>
            </w:pPr>
            <w:r w:rsidRPr="0028276B">
              <w:rPr>
                <w:rFonts w:asciiTheme="minorHAnsi" w:hAnsiTheme="minorHAnsi" w:cstheme="minorHAnsi"/>
                <w:color w:val="auto"/>
                <w:sz w:val="22"/>
                <w:szCs w:val="22"/>
              </w:rPr>
              <w:t>Key Statement EC1 – Business and Employment Development</w:t>
            </w:r>
          </w:p>
          <w:p w14:paraId="28D02C16" w14:textId="77777777" w:rsidR="0028276B" w:rsidRPr="0028276B" w:rsidRDefault="0028276B" w:rsidP="0028276B">
            <w:pPr>
              <w:pStyle w:val="Default"/>
              <w:rPr>
                <w:rFonts w:asciiTheme="minorHAnsi" w:hAnsiTheme="minorHAnsi" w:cstheme="minorHAnsi"/>
                <w:color w:val="auto"/>
                <w:sz w:val="22"/>
                <w:szCs w:val="22"/>
              </w:rPr>
            </w:pPr>
            <w:r w:rsidRPr="0028276B">
              <w:rPr>
                <w:rFonts w:asciiTheme="minorHAnsi" w:hAnsiTheme="minorHAnsi" w:cstheme="minorHAnsi"/>
                <w:color w:val="auto"/>
                <w:sz w:val="22"/>
                <w:szCs w:val="22"/>
              </w:rPr>
              <w:t>Key Statement EC3 – Visitor Economy</w:t>
            </w:r>
          </w:p>
          <w:p w14:paraId="55380D00" w14:textId="77777777" w:rsidR="0028276B" w:rsidRPr="0028276B" w:rsidRDefault="0028276B" w:rsidP="0028276B">
            <w:pPr>
              <w:rPr>
                <w:rFonts w:asciiTheme="minorHAnsi" w:hAnsiTheme="minorHAnsi" w:cstheme="minorHAnsi"/>
              </w:rPr>
            </w:pPr>
            <w:r w:rsidRPr="0028276B">
              <w:rPr>
                <w:rFonts w:asciiTheme="minorHAnsi" w:hAnsiTheme="minorHAnsi" w:cstheme="minorHAnsi"/>
              </w:rPr>
              <w:t>Policy DMG1 – General Considerations</w:t>
            </w:r>
          </w:p>
          <w:p w14:paraId="62579E00" w14:textId="77777777" w:rsidR="0028276B" w:rsidRPr="0028276B" w:rsidRDefault="0028276B" w:rsidP="0028276B">
            <w:pPr>
              <w:rPr>
                <w:rFonts w:asciiTheme="minorHAnsi" w:hAnsiTheme="minorHAnsi" w:cstheme="minorHAnsi"/>
              </w:rPr>
            </w:pPr>
            <w:r w:rsidRPr="0028276B">
              <w:rPr>
                <w:rFonts w:asciiTheme="minorHAnsi" w:hAnsiTheme="minorHAnsi" w:cstheme="minorHAnsi"/>
              </w:rPr>
              <w:t>Policy DME3 – Site and Species Protection and Conservation</w:t>
            </w:r>
          </w:p>
          <w:p w14:paraId="56556082" w14:textId="77777777" w:rsidR="0028276B" w:rsidRPr="0028276B" w:rsidRDefault="0028276B" w:rsidP="0028276B">
            <w:pPr>
              <w:rPr>
                <w:rFonts w:asciiTheme="minorHAnsi" w:hAnsiTheme="minorHAnsi" w:cstheme="minorHAnsi"/>
              </w:rPr>
            </w:pPr>
            <w:r w:rsidRPr="0028276B">
              <w:rPr>
                <w:rFonts w:asciiTheme="minorHAnsi" w:hAnsiTheme="minorHAnsi" w:cstheme="minorHAnsi"/>
              </w:rPr>
              <w:t>Policy DME4 – Protecting Heritage Assets</w:t>
            </w:r>
          </w:p>
          <w:p w14:paraId="24643465" w14:textId="77777777" w:rsidR="0028276B" w:rsidRPr="0028276B" w:rsidRDefault="0028276B" w:rsidP="0028276B">
            <w:pPr>
              <w:pStyle w:val="Default"/>
              <w:rPr>
                <w:rFonts w:asciiTheme="minorHAnsi" w:hAnsiTheme="minorHAnsi" w:cstheme="minorHAnsi"/>
                <w:color w:val="auto"/>
                <w:sz w:val="22"/>
                <w:szCs w:val="22"/>
              </w:rPr>
            </w:pPr>
            <w:r w:rsidRPr="0028276B">
              <w:rPr>
                <w:rFonts w:asciiTheme="minorHAnsi" w:hAnsiTheme="minorHAnsi" w:cstheme="minorHAnsi"/>
                <w:color w:val="auto"/>
                <w:sz w:val="22"/>
                <w:szCs w:val="22"/>
              </w:rPr>
              <w:t>Policy DMB1 – Supporting Business Growth and the Local Economy</w:t>
            </w:r>
          </w:p>
          <w:p w14:paraId="333AC003" w14:textId="77777777" w:rsidR="0028276B" w:rsidRPr="0028276B" w:rsidRDefault="0028276B" w:rsidP="0028276B">
            <w:pPr>
              <w:rPr>
                <w:rFonts w:asciiTheme="minorHAnsi" w:hAnsiTheme="minorHAnsi" w:cstheme="minorHAnsi"/>
                <w:szCs w:val="22"/>
              </w:rPr>
            </w:pPr>
            <w:r w:rsidRPr="0028276B">
              <w:rPr>
                <w:rFonts w:asciiTheme="minorHAnsi" w:hAnsiTheme="minorHAnsi" w:cstheme="minorHAnsi"/>
                <w:szCs w:val="22"/>
              </w:rPr>
              <w:t>Policy DMB3 – Recreation and Tourism Development</w:t>
            </w:r>
          </w:p>
          <w:p w14:paraId="6FE50B34" w14:textId="77777777" w:rsidR="0028276B" w:rsidRPr="0028276B" w:rsidRDefault="0028276B" w:rsidP="0028276B">
            <w:pPr>
              <w:pStyle w:val="Default"/>
              <w:rPr>
                <w:rFonts w:asciiTheme="minorHAnsi" w:hAnsiTheme="minorHAnsi" w:cstheme="minorHAnsi"/>
                <w:color w:val="auto"/>
                <w:sz w:val="22"/>
                <w:szCs w:val="22"/>
              </w:rPr>
            </w:pPr>
            <w:r w:rsidRPr="0028276B">
              <w:rPr>
                <w:rFonts w:asciiTheme="minorHAnsi" w:hAnsiTheme="minorHAnsi" w:cstheme="minorHAnsi"/>
                <w:color w:val="auto"/>
                <w:sz w:val="22"/>
                <w:szCs w:val="22"/>
              </w:rPr>
              <w:t>Policy DMG2 – Strategic Considerations</w:t>
            </w:r>
          </w:p>
          <w:p w14:paraId="40EBBB1C" w14:textId="77777777" w:rsidR="0028276B" w:rsidRPr="0028276B" w:rsidRDefault="0028276B" w:rsidP="0028276B">
            <w:pPr>
              <w:pStyle w:val="Default"/>
              <w:rPr>
                <w:rFonts w:asciiTheme="minorHAnsi" w:hAnsiTheme="minorHAnsi" w:cstheme="minorHAnsi"/>
                <w:color w:val="auto"/>
                <w:sz w:val="22"/>
                <w:szCs w:val="22"/>
              </w:rPr>
            </w:pPr>
            <w:r w:rsidRPr="0028276B">
              <w:rPr>
                <w:rFonts w:asciiTheme="minorHAnsi" w:hAnsiTheme="minorHAnsi" w:cstheme="minorHAnsi"/>
                <w:color w:val="auto"/>
                <w:sz w:val="22"/>
                <w:szCs w:val="22"/>
              </w:rPr>
              <w:t>Policy DMG3 – Transport and Mobility</w:t>
            </w:r>
          </w:p>
          <w:p w14:paraId="2E75E655" w14:textId="77777777" w:rsidR="0028276B" w:rsidRPr="008C75E4" w:rsidRDefault="0028276B" w:rsidP="006126D1">
            <w:pPr>
              <w:jc w:val="both"/>
              <w:rPr>
                <w:rFonts w:ascii="Calibri" w:hAnsi="Calibri"/>
                <w:b/>
                <w:szCs w:val="22"/>
              </w:rPr>
            </w:pPr>
          </w:p>
        </w:tc>
      </w:tr>
      <w:tr w:rsidR="008C75E4" w:rsidRPr="008C75E4" w14:paraId="0B1F1F2E" w14:textId="77777777" w:rsidTr="00036617">
        <w:trPr>
          <w:trHeight w:val="864"/>
          <w:jc w:val="center"/>
        </w:trPr>
        <w:tc>
          <w:tcPr>
            <w:tcW w:w="9209" w:type="dxa"/>
            <w:gridSpan w:val="14"/>
            <w:tcBorders>
              <w:bottom w:val="single" w:sz="4" w:space="0" w:color="BFBFBF" w:themeColor="background1" w:themeShade="BF"/>
            </w:tcBorders>
            <w:tcMar>
              <w:top w:w="57" w:type="dxa"/>
              <w:bottom w:w="57" w:type="dxa"/>
            </w:tcMar>
          </w:tcPr>
          <w:p w14:paraId="5D1AAF6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3C802C5" w14:textId="58E85B56" w:rsidR="00101855" w:rsidRPr="001946E0" w:rsidRDefault="00623FDF" w:rsidP="00454754">
            <w:pPr>
              <w:pStyle w:val="PLANNING"/>
              <w:rPr>
                <w:rFonts w:ascii="Calibri" w:hAnsi="Calibri"/>
                <w:bCs/>
                <w:szCs w:val="22"/>
              </w:rPr>
            </w:pPr>
            <w:r>
              <w:rPr>
                <w:rFonts w:ascii="Calibri" w:hAnsi="Calibri"/>
                <w:bCs/>
                <w:szCs w:val="22"/>
              </w:rPr>
              <w:t xml:space="preserve">3/2020/0205 - </w:t>
            </w:r>
            <w:r w:rsidRPr="00623FDF">
              <w:rPr>
                <w:rFonts w:ascii="Calibri" w:hAnsi="Calibri"/>
                <w:bCs/>
                <w:szCs w:val="22"/>
              </w:rPr>
              <w:t>Conversion of a redundant stone agricultural building to holiday let.</w:t>
            </w:r>
            <w:r>
              <w:rPr>
                <w:rFonts w:ascii="Calibri" w:hAnsi="Calibri"/>
                <w:bCs/>
                <w:szCs w:val="22"/>
              </w:rPr>
              <w:t xml:space="preserve"> Approved with conditions.</w:t>
            </w:r>
          </w:p>
        </w:tc>
      </w:tr>
      <w:tr w:rsidR="008C75E4" w:rsidRPr="008C75E4" w14:paraId="2EC7211D" w14:textId="77777777" w:rsidTr="00036617">
        <w:trPr>
          <w:trHeight w:hRule="exact" w:val="144"/>
          <w:jc w:val="center"/>
        </w:trPr>
        <w:tc>
          <w:tcPr>
            <w:tcW w:w="9209" w:type="dxa"/>
            <w:gridSpan w:val="14"/>
            <w:tcBorders>
              <w:left w:val="nil"/>
              <w:right w:val="nil"/>
            </w:tcBorders>
            <w:tcMar>
              <w:top w:w="57" w:type="dxa"/>
              <w:bottom w:w="57" w:type="dxa"/>
            </w:tcMar>
          </w:tcPr>
          <w:p w14:paraId="43FBD27F" w14:textId="77777777" w:rsidR="003F16AA" w:rsidRPr="00504440" w:rsidRDefault="003F16AA" w:rsidP="00504440">
            <w:pPr>
              <w:rPr>
                <w:sz w:val="4"/>
                <w:szCs w:val="4"/>
              </w:rPr>
            </w:pPr>
          </w:p>
        </w:tc>
      </w:tr>
      <w:tr w:rsidR="008C75E4" w:rsidRPr="008C75E4" w14:paraId="5751AC04" w14:textId="77777777" w:rsidTr="00036617">
        <w:trPr>
          <w:jc w:val="center"/>
        </w:trPr>
        <w:tc>
          <w:tcPr>
            <w:tcW w:w="9209" w:type="dxa"/>
            <w:gridSpan w:val="14"/>
            <w:tcMar>
              <w:top w:w="57" w:type="dxa"/>
              <w:bottom w:w="57" w:type="dxa"/>
            </w:tcMar>
          </w:tcPr>
          <w:p w14:paraId="284E1A3F"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684D0D9" w14:textId="77777777" w:rsidTr="00036617">
        <w:trPr>
          <w:trHeight w:val="1152"/>
          <w:jc w:val="center"/>
        </w:trPr>
        <w:tc>
          <w:tcPr>
            <w:tcW w:w="9209" w:type="dxa"/>
            <w:gridSpan w:val="14"/>
            <w:tcMar>
              <w:top w:w="57" w:type="dxa"/>
              <w:bottom w:w="57" w:type="dxa"/>
            </w:tcMar>
          </w:tcPr>
          <w:p w14:paraId="7340FA14"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1EC6CF4C" w14:textId="77777777" w:rsidR="008E3074" w:rsidRDefault="0028276B" w:rsidP="00454754">
            <w:pPr>
              <w:pStyle w:val="Header"/>
              <w:tabs>
                <w:tab w:val="clear" w:pos="4153"/>
                <w:tab w:val="clear" w:pos="8306"/>
              </w:tabs>
              <w:contextualSpacing/>
              <w:jc w:val="both"/>
              <w:rPr>
                <w:rFonts w:ascii="Calibri" w:hAnsi="Calibri"/>
                <w:szCs w:val="22"/>
              </w:rPr>
            </w:pPr>
            <w:r>
              <w:rPr>
                <w:rFonts w:ascii="Calibri" w:hAnsi="Calibri"/>
                <w:szCs w:val="22"/>
              </w:rPr>
              <w:t>The application site lies within the Forest of Bowland Area of Outstanding Natural Beauty</w:t>
            </w:r>
            <w:r w:rsidR="008E3074">
              <w:rPr>
                <w:rFonts w:ascii="Calibri" w:hAnsi="Calibri"/>
                <w:szCs w:val="22"/>
              </w:rPr>
              <w:t xml:space="preserve"> approximately 3 miles north of the village of Grindleton. Access to the site is along Past Lane via Holden Lane. Past Lane is a </w:t>
            </w:r>
            <w:r w:rsidR="00707D71">
              <w:rPr>
                <w:rFonts w:ascii="Calibri" w:hAnsi="Calibri"/>
                <w:szCs w:val="22"/>
              </w:rPr>
              <w:t>single-track</w:t>
            </w:r>
            <w:r w:rsidR="008E3074">
              <w:rPr>
                <w:rFonts w:ascii="Calibri" w:hAnsi="Calibri"/>
                <w:szCs w:val="22"/>
              </w:rPr>
              <w:t xml:space="preserve"> lane that serves four properties</w:t>
            </w:r>
            <w:r w:rsidR="00707D71">
              <w:rPr>
                <w:rFonts w:ascii="Calibri" w:hAnsi="Calibri"/>
                <w:szCs w:val="22"/>
              </w:rPr>
              <w:t>.</w:t>
            </w:r>
            <w:r w:rsidR="008E3074">
              <w:rPr>
                <w:rFonts w:ascii="Calibri" w:hAnsi="Calibri"/>
                <w:szCs w:val="22"/>
              </w:rPr>
              <w:t xml:space="preserve"> </w:t>
            </w:r>
            <w:r w:rsidR="00707D71">
              <w:rPr>
                <w:rFonts w:ascii="Calibri" w:hAnsi="Calibri"/>
                <w:szCs w:val="22"/>
              </w:rPr>
              <w:t>The lane also serves as a bridleway or public footpath for its full length and there is a network of PROWs in the locality.</w:t>
            </w:r>
          </w:p>
          <w:p w14:paraId="4C0B5E2A" w14:textId="77777777" w:rsidR="008E3074" w:rsidRDefault="008E3074" w:rsidP="00454754">
            <w:pPr>
              <w:pStyle w:val="Header"/>
              <w:tabs>
                <w:tab w:val="clear" w:pos="4153"/>
                <w:tab w:val="clear" w:pos="8306"/>
              </w:tabs>
              <w:contextualSpacing/>
              <w:jc w:val="both"/>
              <w:rPr>
                <w:rFonts w:ascii="Calibri" w:hAnsi="Calibri"/>
                <w:szCs w:val="22"/>
              </w:rPr>
            </w:pPr>
          </w:p>
          <w:p w14:paraId="05272705" w14:textId="62ACFC80" w:rsidR="004C774B" w:rsidRDefault="00707D71" w:rsidP="00707D71">
            <w:pPr>
              <w:pStyle w:val="Header"/>
              <w:tabs>
                <w:tab w:val="clear" w:pos="4153"/>
                <w:tab w:val="clear" w:pos="8306"/>
              </w:tabs>
              <w:contextualSpacing/>
              <w:jc w:val="both"/>
              <w:rPr>
                <w:rFonts w:ascii="Calibri" w:hAnsi="Calibri"/>
                <w:szCs w:val="22"/>
              </w:rPr>
            </w:pPr>
            <w:r>
              <w:rPr>
                <w:rFonts w:ascii="Calibri" w:hAnsi="Calibri"/>
                <w:szCs w:val="22"/>
              </w:rPr>
              <w:t xml:space="preserve">The application building is </w:t>
            </w:r>
            <w:r w:rsidR="000975D7">
              <w:rPr>
                <w:rFonts w:ascii="Calibri" w:hAnsi="Calibri"/>
                <w:szCs w:val="22"/>
              </w:rPr>
              <w:t xml:space="preserve">a </w:t>
            </w:r>
            <w:r>
              <w:rPr>
                <w:rFonts w:ascii="Calibri" w:hAnsi="Calibri"/>
                <w:szCs w:val="22"/>
              </w:rPr>
              <w:t xml:space="preserve">stone-built granary and annex which forms part of the group of buildings at </w:t>
            </w:r>
            <w:proofErr w:type="spellStart"/>
            <w:r>
              <w:rPr>
                <w:rFonts w:ascii="Calibri" w:hAnsi="Calibri"/>
                <w:szCs w:val="22"/>
              </w:rPr>
              <w:t>Spencers</w:t>
            </w:r>
            <w:proofErr w:type="spellEnd"/>
            <w:r>
              <w:rPr>
                <w:rFonts w:ascii="Calibri" w:hAnsi="Calibri"/>
                <w:szCs w:val="22"/>
              </w:rPr>
              <w:t xml:space="preserve"> Farm which also includes the farmhouse with attached stone barn and modern agricultural buildings. The application building which is situated to the east of the site is redundant as it is no longer suitable for modern farming. The applicant therefore seeks to put the building to an alternative use to diversify the business and the proposed tourism use would help to supplement the farming enterprise which is a small upland beef and sheep unit.</w:t>
            </w:r>
          </w:p>
          <w:p w14:paraId="215F9311" w14:textId="6A99C179" w:rsidR="001D2EC8" w:rsidRDefault="001D2EC8" w:rsidP="00707D71">
            <w:pPr>
              <w:pStyle w:val="Header"/>
              <w:tabs>
                <w:tab w:val="clear" w:pos="4153"/>
                <w:tab w:val="clear" w:pos="8306"/>
              </w:tabs>
              <w:contextualSpacing/>
              <w:jc w:val="both"/>
              <w:rPr>
                <w:rFonts w:ascii="Calibri" w:hAnsi="Calibri"/>
                <w:szCs w:val="22"/>
              </w:rPr>
            </w:pPr>
          </w:p>
          <w:p w14:paraId="27A0380B" w14:textId="5149DDF2" w:rsidR="001D2EC8" w:rsidRDefault="001D2EC8" w:rsidP="00707D71">
            <w:pPr>
              <w:pStyle w:val="Header"/>
              <w:tabs>
                <w:tab w:val="clear" w:pos="4153"/>
                <w:tab w:val="clear" w:pos="8306"/>
              </w:tabs>
              <w:contextualSpacing/>
              <w:jc w:val="both"/>
              <w:rPr>
                <w:rFonts w:ascii="Calibri" w:hAnsi="Calibri"/>
                <w:szCs w:val="22"/>
              </w:rPr>
            </w:pPr>
            <w:r>
              <w:rPr>
                <w:rFonts w:ascii="Calibri" w:hAnsi="Calibri"/>
                <w:szCs w:val="22"/>
              </w:rPr>
              <w:t>Permission has already been granted to convert the building and work has commenced.</w:t>
            </w:r>
          </w:p>
          <w:p w14:paraId="6B285D01" w14:textId="6504D333" w:rsidR="00623FDF" w:rsidRPr="009F332E" w:rsidRDefault="00623FDF" w:rsidP="00707D71">
            <w:pPr>
              <w:pStyle w:val="Header"/>
              <w:tabs>
                <w:tab w:val="clear" w:pos="4153"/>
                <w:tab w:val="clear" w:pos="8306"/>
              </w:tabs>
              <w:contextualSpacing/>
              <w:jc w:val="both"/>
              <w:rPr>
                <w:rFonts w:ascii="Calibri" w:hAnsi="Calibri"/>
                <w:szCs w:val="22"/>
              </w:rPr>
            </w:pPr>
          </w:p>
        </w:tc>
      </w:tr>
      <w:tr w:rsidR="008C75E4" w:rsidRPr="008C75E4" w14:paraId="3EC3E9F9" w14:textId="77777777" w:rsidTr="00036617">
        <w:trPr>
          <w:trHeight w:val="1152"/>
          <w:jc w:val="center"/>
        </w:trPr>
        <w:tc>
          <w:tcPr>
            <w:tcW w:w="9209" w:type="dxa"/>
            <w:gridSpan w:val="14"/>
            <w:tcMar>
              <w:top w:w="57" w:type="dxa"/>
              <w:bottom w:w="57" w:type="dxa"/>
            </w:tcMar>
          </w:tcPr>
          <w:p w14:paraId="304CD473" w14:textId="77777777" w:rsidR="00F8201E" w:rsidRPr="00B105ED" w:rsidRDefault="00C0704D" w:rsidP="00454754">
            <w:pPr>
              <w:pStyle w:val="Header"/>
              <w:tabs>
                <w:tab w:val="clear" w:pos="4153"/>
                <w:tab w:val="clear" w:pos="8306"/>
              </w:tabs>
              <w:jc w:val="both"/>
              <w:rPr>
                <w:rFonts w:asciiTheme="minorHAnsi" w:hAnsiTheme="minorHAnsi" w:cstheme="minorHAnsi"/>
                <w:b/>
                <w:szCs w:val="22"/>
              </w:rPr>
            </w:pPr>
            <w:r w:rsidRPr="00B105ED">
              <w:rPr>
                <w:rFonts w:asciiTheme="minorHAnsi" w:hAnsiTheme="minorHAnsi" w:cstheme="minorHAnsi"/>
                <w:b/>
                <w:szCs w:val="22"/>
              </w:rPr>
              <w:t>Proposed Development for which consent is sought:</w:t>
            </w:r>
          </w:p>
          <w:p w14:paraId="063457BE" w14:textId="674B3A6C" w:rsidR="001D2EC8" w:rsidRDefault="00707D71"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application proposes to convert the existing building to self-catering tourism accommodation. </w:t>
            </w:r>
            <w:r w:rsidR="001D2EC8">
              <w:rPr>
                <w:rFonts w:asciiTheme="minorHAnsi" w:hAnsiTheme="minorHAnsi" w:cstheme="minorHAnsi"/>
                <w:szCs w:val="22"/>
              </w:rPr>
              <w:t>The previously granted consent proposed minor alterations to the existing building to enable its conversion.</w:t>
            </w:r>
            <w:r w:rsidR="00387C76">
              <w:rPr>
                <w:rFonts w:asciiTheme="minorHAnsi" w:hAnsiTheme="minorHAnsi" w:cstheme="minorHAnsi"/>
                <w:szCs w:val="22"/>
              </w:rPr>
              <w:t xml:space="preserve"> </w:t>
            </w:r>
          </w:p>
          <w:p w14:paraId="4C0D257D" w14:textId="2F640799" w:rsidR="00387C76" w:rsidRDefault="00387C76" w:rsidP="00454754">
            <w:pPr>
              <w:pStyle w:val="Header"/>
              <w:tabs>
                <w:tab w:val="clear" w:pos="4153"/>
                <w:tab w:val="clear" w:pos="8306"/>
              </w:tabs>
              <w:jc w:val="both"/>
              <w:rPr>
                <w:rFonts w:asciiTheme="minorHAnsi" w:hAnsiTheme="minorHAnsi" w:cstheme="minorHAnsi"/>
                <w:szCs w:val="22"/>
              </w:rPr>
            </w:pPr>
          </w:p>
          <w:p w14:paraId="2B845498" w14:textId="0400A1B5" w:rsidR="00387C76" w:rsidRDefault="00387C76"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Given the scale of the building the applicant states that the approved conversion would not be suitable and that the building requires </w:t>
            </w:r>
            <w:proofErr w:type="gramStart"/>
            <w:r>
              <w:rPr>
                <w:rFonts w:asciiTheme="minorHAnsi" w:hAnsiTheme="minorHAnsi" w:cstheme="minorHAnsi"/>
                <w:szCs w:val="22"/>
              </w:rPr>
              <w:t>a number of</w:t>
            </w:r>
            <w:proofErr w:type="gramEnd"/>
            <w:r>
              <w:rPr>
                <w:rFonts w:asciiTheme="minorHAnsi" w:hAnsiTheme="minorHAnsi" w:cstheme="minorHAnsi"/>
                <w:szCs w:val="22"/>
              </w:rPr>
              <w:t xml:space="preserve"> alterations to meet building regulations including the required internal lining of walls, head height and suitable staircase. The proposal is to undertake more comprehensive works to the building </w:t>
            </w:r>
            <w:r w:rsidR="00281BC2">
              <w:rPr>
                <w:rFonts w:asciiTheme="minorHAnsi" w:hAnsiTheme="minorHAnsi" w:cstheme="minorHAnsi"/>
                <w:szCs w:val="22"/>
              </w:rPr>
              <w:t>including lift of the main building height and increase of the single storey section to two storeys.</w:t>
            </w:r>
          </w:p>
          <w:p w14:paraId="27929DFE" w14:textId="274848F7" w:rsidR="00800FEA" w:rsidRPr="00B105ED" w:rsidRDefault="00800FEA" w:rsidP="00454754">
            <w:pPr>
              <w:pStyle w:val="Header"/>
              <w:tabs>
                <w:tab w:val="clear" w:pos="4153"/>
                <w:tab w:val="clear" w:pos="8306"/>
              </w:tabs>
              <w:jc w:val="both"/>
              <w:rPr>
                <w:rFonts w:asciiTheme="minorHAnsi" w:hAnsiTheme="minorHAnsi" w:cstheme="minorHAnsi"/>
                <w:szCs w:val="22"/>
              </w:rPr>
            </w:pPr>
          </w:p>
        </w:tc>
      </w:tr>
      <w:tr w:rsidR="00C214A6" w:rsidRPr="008C75E4" w14:paraId="0D8D1118" w14:textId="77777777" w:rsidTr="00036617">
        <w:trPr>
          <w:trHeight w:val="864"/>
          <w:jc w:val="center"/>
        </w:trPr>
        <w:tc>
          <w:tcPr>
            <w:tcW w:w="9209" w:type="dxa"/>
            <w:gridSpan w:val="14"/>
            <w:tcMar>
              <w:top w:w="57" w:type="dxa"/>
              <w:bottom w:w="57" w:type="dxa"/>
            </w:tcMar>
          </w:tcPr>
          <w:p w14:paraId="7CF3C0FB" w14:textId="77777777" w:rsidR="006D7624" w:rsidRPr="00B105ED" w:rsidRDefault="006D7624" w:rsidP="006D7624">
            <w:pPr>
              <w:pStyle w:val="Header"/>
              <w:jc w:val="both"/>
              <w:rPr>
                <w:rFonts w:asciiTheme="minorHAnsi" w:hAnsiTheme="minorHAnsi" w:cstheme="minorHAnsi"/>
                <w:b/>
                <w:szCs w:val="22"/>
              </w:rPr>
            </w:pPr>
            <w:r w:rsidRPr="00B105ED">
              <w:rPr>
                <w:rFonts w:asciiTheme="minorHAnsi" w:hAnsiTheme="minorHAnsi" w:cstheme="minorHAnsi"/>
                <w:b/>
                <w:szCs w:val="22"/>
              </w:rPr>
              <w:t>Principle of Development:</w:t>
            </w:r>
          </w:p>
          <w:p w14:paraId="6F8E3B92" w14:textId="09F82752" w:rsidR="00281BC2" w:rsidRDefault="00B105ED" w:rsidP="00281BC2">
            <w:pPr>
              <w:pStyle w:val="Header"/>
              <w:tabs>
                <w:tab w:val="clear" w:pos="4153"/>
                <w:tab w:val="clear" w:pos="8306"/>
              </w:tabs>
              <w:jc w:val="both"/>
              <w:rPr>
                <w:rFonts w:asciiTheme="minorHAnsi" w:hAnsiTheme="minorHAnsi" w:cstheme="minorHAnsi"/>
                <w:szCs w:val="22"/>
              </w:rPr>
            </w:pPr>
            <w:r w:rsidRPr="00B105ED">
              <w:rPr>
                <w:rFonts w:asciiTheme="minorHAnsi" w:hAnsiTheme="minorHAnsi" w:cstheme="minorHAnsi"/>
                <w:szCs w:val="22"/>
              </w:rPr>
              <w:t xml:space="preserve">The </w:t>
            </w:r>
            <w:r w:rsidR="00800FEA">
              <w:rPr>
                <w:rFonts w:asciiTheme="minorHAnsi" w:hAnsiTheme="minorHAnsi" w:cstheme="minorHAnsi"/>
                <w:szCs w:val="22"/>
              </w:rPr>
              <w:t>Structural Report by Davis Consultants</w:t>
            </w:r>
            <w:r w:rsidRPr="00B105ED">
              <w:rPr>
                <w:rFonts w:asciiTheme="minorHAnsi" w:hAnsiTheme="minorHAnsi" w:cstheme="minorHAnsi"/>
                <w:szCs w:val="22"/>
              </w:rPr>
              <w:t xml:space="preserve"> </w:t>
            </w:r>
            <w:r w:rsidR="00281BC2">
              <w:rPr>
                <w:rFonts w:asciiTheme="minorHAnsi" w:hAnsiTheme="minorHAnsi" w:cstheme="minorHAnsi"/>
                <w:szCs w:val="22"/>
              </w:rPr>
              <w:t>was submitted with the previous application. This</w:t>
            </w:r>
            <w:r w:rsidRPr="00B105ED">
              <w:rPr>
                <w:rFonts w:asciiTheme="minorHAnsi" w:hAnsiTheme="minorHAnsi" w:cstheme="minorHAnsi"/>
                <w:szCs w:val="22"/>
              </w:rPr>
              <w:t xml:space="preserve"> indicates that there would be </w:t>
            </w:r>
            <w:r w:rsidR="00800FEA">
              <w:rPr>
                <w:rFonts w:asciiTheme="minorHAnsi" w:hAnsiTheme="minorHAnsi" w:cstheme="minorHAnsi"/>
                <w:szCs w:val="22"/>
              </w:rPr>
              <w:t>minimal</w:t>
            </w:r>
            <w:r w:rsidRPr="00B105ED">
              <w:rPr>
                <w:rFonts w:asciiTheme="minorHAnsi" w:hAnsiTheme="minorHAnsi" w:cstheme="minorHAnsi"/>
                <w:szCs w:val="22"/>
              </w:rPr>
              <w:t xml:space="preserve"> re-building </w:t>
            </w:r>
            <w:r w:rsidR="00800FEA">
              <w:rPr>
                <w:rFonts w:asciiTheme="minorHAnsi" w:hAnsiTheme="minorHAnsi" w:cstheme="minorHAnsi"/>
                <w:szCs w:val="22"/>
              </w:rPr>
              <w:t xml:space="preserve">works required to </w:t>
            </w:r>
            <w:r w:rsidRPr="00B105ED">
              <w:rPr>
                <w:rFonts w:asciiTheme="minorHAnsi" w:hAnsiTheme="minorHAnsi" w:cstheme="minorHAnsi"/>
                <w:szCs w:val="22"/>
              </w:rPr>
              <w:t>enable conversion</w:t>
            </w:r>
            <w:r w:rsidR="00281BC2">
              <w:rPr>
                <w:rFonts w:asciiTheme="minorHAnsi" w:hAnsiTheme="minorHAnsi" w:cstheme="minorHAnsi"/>
                <w:szCs w:val="22"/>
              </w:rPr>
              <w:t xml:space="preserve"> of the existing building</w:t>
            </w:r>
            <w:r w:rsidR="00800FEA">
              <w:rPr>
                <w:rFonts w:asciiTheme="minorHAnsi" w:hAnsiTheme="minorHAnsi" w:cstheme="minorHAnsi"/>
                <w:szCs w:val="22"/>
              </w:rPr>
              <w:t xml:space="preserve">. </w:t>
            </w:r>
            <w:r w:rsidR="00557211">
              <w:rPr>
                <w:rFonts w:asciiTheme="minorHAnsi" w:hAnsiTheme="minorHAnsi" w:cstheme="minorHAnsi"/>
                <w:szCs w:val="22"/>
              </w:rPr>
              <w:t xml:space="preserve">The proposal now submitted requires more significant alterations comprising removal of the roof and increase of the height of both elements of the building. In </w:t>
            </w:r>
            <w:proofErr w:type="gramStart"/>
            <w:r w:rsidR="00557211">
              <w:rPr>
                <w:rFonts w:asciiTheme="minorHAnsi" w:hAnsiTheme="minorHAnsi" w:cstheme="minorHAnsi"/>
                <w:szCs w:val="22"/>
              </w:rPr>
              <w:t>addition</w:t>
            </w:r>
            <w:proofErr w:type="gramEnd"/>
            <w:r w:rsidR="00557211">
              <w:rPr>
                <w:rFonts w:asciiTheme="minorHAnsi" w:hAnsiTheme="minorHAnsi" w:cstheme="minorHAnsi"/>
                <w:szCs w:val="22"/>
              </w:rPr>
              <w:t xml:space="preserve"> it was noted on a visit to the site that the lean-to on the buildings east elevation appears to have been demolished and was in the process of being re-built.</w:t>
            </w:r>
            <w:r w:rsidR="00E73B19">
              <w:rPr>
                <w:rFonts w:asciiTheme="minorHAnsi" w:hAnsiTheme="minorHAnsi" w:cstheme="minorHAnsi"/>
                <w:szCs w:val="22"/>
              </w:rPr>
              <w:t xml:space="preserve"> This has been acknowledged within a supporting letter which states that otherwise the development will be completed in accordance with the previously submitted structural report.</w:t>
            </w:r>
          </w:p>
          <w:p w14:paraId="044326E7" w14:textId="1F3820D2" w:rsidR="008C4A89" w:rsidRDefault="008C4A89" w:rsidP="00281BC2">
            <w:pPr>
              <w:pStyle w:val="Header"/>
              <w:tabs>
                <w:tab w:val="clear" w:pos="4153"/>
                <w:tab w:val="clear" w:pos="8306"/>
              </w:tabs>
              <w:jc w:val="both"/>
              <w:rPr>
                <w:rFonts w:asciiTheme="minorHAnsi" w:hAnsiTheme="minorHAnsi" w:cstheme="minorHAnsi"/>
                <w:szCs w:val="22"/>
              </w:rPr>
            </w:pPr>
          </w:p>
          <w:p w14:paraId="2E3F60FC" w14:textId="76ECA9C7" w:rsidR="00D102D9" w:rsidRPr="00B105ED" w:rsidRDefault="00800FEA" w:rsidP="00281BC2">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granary </w:t>
            </w:r>
            <w:r w:rsidR="00896F11" w:rsidRPr="00B105ED">
              <w:rPr>
                <w:rFonts w:asciiTheme="minorHAnsi" w:hAnsiTheme="minorHAnsi" w:cstheme="minorHAnsi"/>
                <w:szCs w:val="22"/>
              </w:rPr>
              <w:t>is a tradition</w:t>
            </w:r>
            <w:r w:rsidR="008C4A89">
              <w:rPr>
                <w:rFonts w:asciiTheme="minorHAnsi" w:hAnsiTheme="minorHAnsi" w:cstheme="minorHAnsi"/>
                <w:szCs w:val="22"/>
              </w:rPr>
              <w:t>al</w:t>
            </w:r>
            <w:r w:rsidR="00896F11" w:rsidRPr="00B105ED">
              <w:rPr>
                <w:rFonts w:asciiTheme="minorHAnsi" w:hAnsiTheme="minorHAnsi" w:cstheme="minorHAnsi"/>
                <w:szCs w:val="22"/>
              </w:rPr>
              <w:t xml:space="preserve"> stone building in a local vernacular style</w:t>
            </w:r>
            <w:r>
              <w:rPr>
                <w:rFonts w:asciiTheme="minorHAnsi" w:hAnsiTheme="minorHAnsi" w:cstheme="minorHAnsi"/>
                <w:bCs/>
                <w:szCs w:val="22"/>
              </w:rPr>
              <w:t xml:space="preserve"> and the farmstead, including the application building, is depicted on the first edition 1:10,000 OS Maps c.1845. The application building</w:t>
            </w:r>
            <w:r w:rsidR="00814745">
              <w:rPr>
                <w:rFonts w:asciiTheme="minorHAnsi" w:hAnsiTheme="minorHAnsi" w:cstheme="minorHAnsi"/>
                <w:bCs/>
                <w:szCs w:val="22"/>
              </w:rPr>
              <w:t xml:space="preserve"> is</w:t>
            </w:r>
            <w:r>
              <w:rPr>
                <w:rFonts w:asciiTheme="minorHAnsi" w:hAnsiTheme="minorHAnsi" w:cstheme="minorHAnsi"/>
                <w:bCs/>
                <w:szCs w:val="22"/>
              </w:rPr>
              <w:t xml:space="preserve"> therefore of considerable age</w:t>
            </w:r>
            <w:r w:rsidR="00896F11" w:rsidRPr="00B105ED">
              <w:rPr>
                <w:rFonts w:asciiTheme="minorHAnsi" w:hAnsiTheme="minorHAnsi" w:cstheme="minorHAnsi"/>
                <w:szCs w:val="22"/>
              </w:rPr>
              <w:t xml:space="preserve"> </w:t>
            </w:r>
            <w:r w:rsidR="009617DE">
              <w:rPr>
                <w:rFonts w:asciiTheme="minorHAnsi" w:hAnsiTheme="minorHAnsi" w:cstheme="minorHAnsi"/>
                <w:szCs w:val="22"/>
              </w:rPr>
              <w:t>and the County Archaeologist confirms it is of some historic interest at it demonstrates a particular approach to farming during a particular period.</w:t>
            </w:r>
          </w:p>
          <w:p w14:paraId="50786A81" w14:textId="77777777" w:rsidR="00B105ED" w:rsidRPr="00B105ED" w:rsidRDefault="00B105ED" w:rsidP="00454754">
            <w:pPr>
              <w:pStyle w:val="Header"/>
              <w:tabs>
                <w:tab w:val="clear" w:pos="4153"/>
                <w:tab w:val="clear" w:pos="8306"/>
              </w:tabs>
              <w:jc w:val="both"/>
              <w:rPr>
                <w:rFonts w:asciiTheme="minorHAnsi" w:hAnsiTheme="minorHAnsi" w:cstheme="minorHAnsi"/>
                <w:szCs w:val="22"/>
              </w:rPr>
            </w:pPr>
          </w:p>
          <w:p w14:paraId="369AB13A" w14:textId="569C28BB" w:rsidR="00B105ED" w:rsidRDefault="00B105ED" w:rsidP="00B105ED">
            <w:pPr>
              <w:pStyle w:val="Default"/>
              <w:jc w:val="both"/>
              <w:rPr>
                <w:rFonts w:asciiTheme="minorHAnsi" w:hAnsiTheme="minorHAnsi" w:cstheme="minorHAnsi"/>
                <w:i/>
                <w:color w:val="auto"/>
                <w:sz w:val="22"/>
                <w:szCs w:val="22"/>
              </w:rPr>
            </w:pPr>
            <w:r w:rsidRPr="00B105ED">
              <w:rPr>
                <w:rFonts w:asciiTheme="minorHAnsi" w:hAnsiTheme="minorHAnsi" w:cstheme="minorHAnsi"/>
                <w:color w:val="auto"/>
                <w:sz w:val="22"/>
                <w:szCs w:val="22"/>
              </w:rPr>
              <w:t xml:space="preserve">Core Strategy Key Statement EC3 relates specifically to the visitor economy stating that proposals that contribute to and strengthen the visitor economy of </w:t>
            </w:r>
            <w:proofErr w:type="spellStart"/>
            <w:r w:rsidRPr="00B105ED">
              <w:rPr>
                <w:rFonts w:asciiTheme="minorHAnsi" w:hAnsiTheme="minorHAnsi" w:cstheme="minorHAnsi"/>
                <w:color w:val="auto"/>
                <w:sz w:val="22"/>
                <w:szCs w:val="22"/>
              </w:rPr>
              <w:t>Ribble</w:t>
            </w:r>
            <w:proofErr w:type="spellEnd"/>
            <w:r w:rsidRPr="00B105ED">
              <w:rPr>
                <w:rFonts w:asciiTheme="minorHAnsi" w:hAnsiTheme="minorHAnsi" w:cstheme="minorHAnsi"/>
                <w:color w:val="auto"/>
                <w:sz w:val="22"/>
                <w:szCs w:val="22"/>
              </w:rPr>
              <w:t xml:space="preserve"> Valley will be encouraged. The </w:t>
            </w:r>
            <w:r>
              <w:rPr>
                <w:rFonts w:asciiTheme="minorHAnsi" w:hAnsiTheme="minorHAnsi" w:cstheme="minorHAnsi"/>
                <w:color w:val="auto"/>
                <w:sz w:val="22"/>
                <w:szCs w:val="22"/>
              </w:rPr>
              <w:t xml:space="preserve">proposal to convert the </w:t>
            </w:r>
            <w:r w:rsidR="00800FEA">
              <w:rPr>
                <w:rFonts w:asciiTheme="minorHAnsi" w:hAnsiTheme="minorHAnsi" w:cstheme="minorHAnsi"/>
                <w:color w:val="auto"/>
                <w:sz w:val="22"/>
                <w:szCs w:val="22"/>
              </w:rPr>
              <w:t xml:space="preserve">granary </w:t>
            </w:r>
            <w:r>
              <w:rPr>
                <w:rFonts w:asciiTheme="minorHAnsi" w:hAnsiTheme="minorHAnsi" w:cstheme="minorHAnsi"/>
                <w:color w:val="auto"/>
                <w:sz w:val="22"/>
                <w:szCs w:val="22"/>
              </w:rPr>
              <w:t xml:space="preserve">to holiday </w:t>
            </w:r>
            <w:r w:rsidR="00123AC7">
              <w:rPr>
                <w:rFonts w:asciiTheme="minorHAnsi" w:hAnsiTheme="minorHAnsi" w:cstheme="minorHAnsi"/>
                <w:color w:val="auto"/>
                <w:sz w:val="22"/>
                <w:szCs w:val="22"/>
              </w:rPr>
              <w:t>accommodation</w:t>
            </w:r>
            <w:r w:rsidRPr="00B105ED">
              <w:rPr>
                <w:rFonts w:asciiTheme="minorHAnsi" w:hAnsiTheme="minorHAnsi" w:cstheme="minorHAnsi"/>
                <w:color w:val="auto"/>
                <w:sz w:val="22"/>
                <w:szCs w:val="22"/>
              </w:rPr>
              <w:t xml:space="preserve"> would contribute to the tourism economy and accords with the general intentions of Key Statement EC3. Key Statement EC1 ‘Business and Employment Development states that </w:t>
            </w:r>
            <w:r w:rsidRPr="00B105ED">
              <w:rPr>
                <w:rFonts w:asciiTheme="minorHAnsi" w:hAnsiTheme="minorHAnsi" w:cstheme="minorHAnsi"/>
                <w:i/>
                <w:color w:val="auto"/>
                <w:sz w:val="22"/>
                <w:szCs w:val="22"/>
              </w:rPr>
              <w:t xml:space="preserve">“Developments that contribute to farm diversification, strengthening of the wider rural and village economies or that promote town centre vitality and viability will be supported in principle”. </w:t>
            </w:r>
          </w:p>
          <w:p w14:paraId="3FD36C0B" w14:textId="2CE4C13B" w:rsidR="008C4A89" w:rsidRDefault="008C4A89" w:rsidP="00B105ED">
            <w:pPr>
              <w:pStyle w:val="Default"/>
              <w:jc w:val="both"/>
              <w:rPr>
                <w:rFonts w:asciiTheme="minorHAnsi" w:hAnsiTheme="minorHAnsi" w:cstheme="minorHAnsi"/>
                <w:i/>
                <w:color w:val="auto"/>
                <w:sz w:val="22"/>
                <w:szCs w:val="22"/>
              </w:rPr>
            </w:pPr>
          </w:p>
          <w:p w14:paraId="5ED5C91A" w14:textId="598CDBAA" w:rsidR="008C4A89" w:rsidRPr="008C4A89" w:rsidRDefault="008C4A89" w:rsidP="00B105ED">
            <w:pPr>
              <w:pStyle w:val="Default"/>
              <w:jc w:val="both"/>
              <w:rPr>
                <w:rFonts w:asciiTheme="minorHAnsi" w:hAnsiTheme="minorHAnsi" w:cstheme="minorHAnsi"/>
                <w:iCs/>
                <w:color w:val="auto"/>
                <w:sz w:val="22"/>
                <w:szCs w:val="22"/>
              </w:rPr>
            </w:pPr>
            <w:r>
              <w:rPr>
                <w:rFonts w:asciiTheme="minorHAnsi" w:hAnsiTheme="minorHAnsi" w:cstheme="minorHAnsi"/>
                <w:iCs/>
                <w:color w:val="auto"/>
                <w:sz w:val="22"/>
                <w:szCs w:val="22"/>
              </w:rPr>
              <w:t>It has already been established as part of the previous application that the proposed conversion of the building to tourism accommodation is generally in accordance with Core Strategy policies DMG2 and DMB3.</w:t>
            </w:r>
          </w:p>
          <w:p w14:paraId="0E0C6BB7" w14:textId="0BD3FD46" w:rsidR="00B105ED" w:rsidRPr="00814745" w:rsidRDefault="00B105ED" w:rsidP="00B94CB1">
            <w:pPr>
              <w:suppressAutoHyphens/>
              <w:jc w:val="both"/>
              <w:rPr>
                <w:rFonts w:asciiTheme="minorHAnsi" w:hAnsiTheme="minorHAnsi" w:cstheme="minorHAnsi"/>
                <w:szCs w:val="22"/>
              </w:rPr>
            </w:pPr>
          </w:p>
        </w:tc>
      </w:tr>
      <w:tr w:rsidR="008C75E4" w:rsidRPr="008C75E4" w14:paraId="7F306F87" w14:textId="77777777" w:rsidTr="00036617">
        <w:trPr>
          <w:trHeight w:val="864"/>
          <w:jc w:val="center"/>
        </w:trPr>
        <w:tc>
          <w:tcPr>
            <w:tcW w:w="9209" w:type="dxa"/>
            <w:gridSpan w:val="14"/>
            <w:tcMar>
              <w:top w:w="57" w:type="dxa"/>
              <w:bottom w:w="57" w:type="dxa"/>
            </w:tcMar>
          </w:tcPr>
          <w:p w14:paraId="77D56F6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5C5E593" w14:textId="77777777" w:rsidR="00C6456D" w:rsidRDefault="007C5BFD" w:rsidP="00454754">
            <w:pPr>
              <w:contextualSpacing/>
              <w:jc w:val="both"/>
              <w:rPr>
                <w:rFonts w:ascii="Calibri" w:hAnsi="Calibri"/>
                <w:szCs w:val="22"/>
              </w:rPr>
            </w:pPr>
            <w:r>
              <w:rPr>
                <w:rFonts w:ascii="Calibri" w:hAnsi="Calibri"/>
                <w:szCs w:val="22"/>
              </w:rPr>
              <w:t xml:space="preserve">There are no other residential properties in the immediate area </w:t>
            </w:r>
            <w:r w:rsidR="00814745">
              <w:rPr>
                <w:rFonts w:ascii="Calibri" w:hAnsi="Calibri"/>
                <w:szCs w:val="22"/>
              </w:rPr>
              <w:t>except for the main farmhouse. To the north of the granary building the private garden associated with the main farmhouse runs up to the building. However, there are no openings on the north elevation of the granary building and therefore no overlooking of private garden areas could occur. The proposal would have no adverse impact on residential amenity.</w:t>
            </w:r>
          </w:p>
          <w:p w14:paraId="521EB5C7" w14:textId="703A4069" w:rsidR="009617DE" w:rsidRPr="00D23470" w:rsidRDefault="009617DE" w:rsidP="00454754">
            <w:pPr>
              <w:contextualSpacing/>
              <w:jc w:val="both"/>
              <w:rPr>
                <w:rFonts w:ascii="Calibri" w:hAnsi="Calibri"/>
                <w:szCs w:val="22"/>
              </w:rPr>
            </w:pPr>
          </w:p>
        </w:tc>
      </w:tr>
      <w:tr w:rsidR="008C75E4" w:rsidRPr="008C75E4" w14:paraId="2994E97B" w14:textId="77777777" w:rsidTr="00036617">
        <w:trPr>
          <w:trHeight w:val="864"/>
          <w:jc w:val="center"/>
        </w:trPr>
        <w:tc>
          <w:tcPr>
            <w:tcW w:w="9209" w:type="dxa"/>
            <w:gridSpan w:val="14"/>
            <w:tcMar>
              <w:top w:w="57" w:type="dxa"/>
              <w:bottom w:w="57" w:type="dxa"/>
            </w:tcMar>
          </w:tcPr>
          <w:p w14:paraId="00337EE4" w14:textId="77777777" w:rsidR="00C0704D" w:rsidRPr="00814745" w:rsidRDefault="00DF42DA" w:rsidP="006126D1">
            <w:pPr>
              <w:contextualSpacing/>
              <w:jc w:val="both"/>
              <w:rPr>
                <w:rFonts w:asciiTheme="minorHAnsi" w:hAnsiTheme="minorHAnsi" w:cstheme="minorHAnsi"/>
                <w:b/>
                <w:szCs w:val="22"/>
              </w:rPr>
            </w:pPr>
            <w:r w:rsidRPr="00814745">
              <w:rPr>
                <w:rFonts w:asciiTheme="minorHAnsi" w:hAnsiTheme="minorHAnsi" w:cstheme="minorHAnsi"/>
                <w:b/>
                <w:szCs w:val="22"/>
              </w:rPr>
              <w:t>Visual Amenity:</w:t>
            </w:r>
          </w:p>
          <w:p w14:paraId="52979338" w14:textId="77777777" w:rsidR="00B94CB1" w:rsidRPr="001F5972" w:rsidRDefault="00B94CB1" w:rsidP="00B94CB1">
            <w:pPr>
              <w:jc w:val="both"/>
              <w:rPr>
                <w:rFonts w:asciiTheme="minorHAnsi" w:hAnsiTheme="minorHAnsi" w:cstheme="minorHAnsi"/>
                <w:bCs/>
                <w:szCs w:val="22"/>
              </w:rPr>
            </w:pPr>
            <w:r w:rsidRPr="00814745">
              <w:rPr>
                <w:rFonts w:asciiTheme="minorHAnsi" w:hAnsiTheme="minorHAnsi" w:cstheme="minorHAnsi"/>
                <w:bCs/>
                <w:szCs w:val="22"/>
              </w:rPr>
              <w:t xml:space="preserve">The impact of the development on the character of the buildings (and its significance as a non-designated heritage asset) and the area that surrounds it are important considerations. Core Strategy Policy DMG1 requires development to not adversely affect the amenities of the surrounding area and Key Statement EN2 seeks to protect, </w:t>
            </w:r>
            <w:proofErr w:type="gramStart"/>
            <w:r w:rsidRPr="00814745">
              <w:rPr>
                <w:rFonts w:asciiTheme="minorHAnsi" w:hAnsiTheme="minorHAnsi" w:cstheme="minorHAnsi"/>
                <w:bCs/>
                <w:szCs w:val="22"/>
              </w:rPr>
              <w:t>conserve</w:t>
            </w:r>
            <w:proofErr w:type="gramEnd"/>
            <w:r w:rsidRPr="00814745">
              <w:rPr>
                <w:rFonts w:asciiTheme="minorHAnsi" w:hAnsiTheme="minorHAnsi" w:cstheme="minorHAnsi"/>
                <w:bCs/>
                <w:szCs w:val="22"/>
              </w:rPr>
              <w:t xml:space="preserve"> and enhance the landscape and character of the AONB requiring any development to </w:t>
            </w:r>
            <w:r w:rsidRPr="001F5972">
              <w:rPr>
                <w:rFonts w:asciiTheme="minorHAnsi" w:hAnsiTheme="minorHAnsi" w:cstheme="minorHAnsi"/>
                <w:bCs/>
                <w:szCs w:val="22"/>
              </w:rPr>
              <w:t>contribute to the conservation of its natural beauty. National planning policy attaches great weight to conserving the landscape and scenic beauty of the AONB.</w:t>
            </w:r>
            <w:r w:rsidRPr="001F5972">
              <w:rPr>
                <w:rFonts w:asciiTheme="minorHAnsi" w:hAnsiTheme="minorHAnsi" w:cstheme="minorHAnsi"/>
                <w:b/>
                <w:bCs/>
                <w:szCs w:val="22"/>
              </w:rPr>
              <w:t xml:space="preserve"> </w:t>
            </w:r>
            <w:r w:rsidRPr="001F5972">
              <w:rPr>
                <w:rFonts w:asciiTheme="minorHAnsi" w:hAnsiTheme="minorHAnsi" w:cstheme="minorHAnsi"/>
                <w:bCs/>
                <w:szCs w:val="22"/>
              </w:rPr>
              <w:t>Policy DMB3 of the Core Strategy also requires development to protect, conserve and enhance the natural beauty of the landscape in the AONB and be of a high standard of design.</w:t>
            </w:r>
          </w:p>
          <w:p w14:paraId="1BF7B380" w14:textId="5EA82B36" w:rsidR="00B94CB1" w:rsidRDefault="00B94CB1" w:rsidP="00B94CB1">
            <w:pPr>
              <w:jc w:val="both"/>
              <w:rPr>
                <w:rFonts w:asciiTheme="minorHAnsi" w:hAnsiTheme="minorHAnsi" w:cstheme="minorHAnsi"/>
                <w:b/>
                <w:bCs/>
                <w:szCs w:val="22"/>
              </w:rPr>
            </w:pPr>
          </w:p>
          <w:p w14:paraId="3F3010E4" w14:textId="77777777" w:rsidR="00C50517" w:rsidRPr="004A03C6" w:rsidRDefault="00FF397A" w:rsidP="009617DE">
            <w:pPr>
              <w:jc w:val="both"/>
              <w:rPr>
                <w:rFonts w:asciiTheme="minorHAnsi" w:hAnsiTheme="minorHAnsi" w:cstheme="minorHAnsi"/>
                <w:szCs w:val="22"/>
              </w:rPr>
            </w:pPr>
            <w:r>
              <w:rPr>
                <w:rFonts w:asciiTheme="minorHAnsi" w:hAnsiTheme="minorHAnsi" w:cstheme="minorHAnsi"/>
                <w:szCs w:val="22"/>
              </w:rPr>
              <w:t xml:space="preserve">At present the </w:t>
            </w:r>
            <w:r w:rsidRPr="004A03C6">
              <w:rPr>
                <w:rFonts w:asciiTheme="minorHAnsi" w:hAnsiTheme="minorHAnsi" w:cstheme="minorHAnsi"/>
                <w:szCs w:val="22"/>
              </w:rPr>
              <w:t>application building is clearly subservient to the main farmhouse as result of its scale and height. The proposal to increase the height of the building would be harmful to the existing relationship between buildings and would result in a building that would be awkwardly tall in relation to its footprint</w:t>
            </w:r>
            <w:r w:rsidR="009617DE" w:rsidRPr="004A03C6">
              <w:rPr>
                <w:rFonts w:asciiTheme="minorHAnsi" w:hAnsiTheme="minorHAnsi" w:cstheme="minorHAnsi"/>
                <w:szCs w:val="22"/>
              </w:rPr>
              <w:t>.</w:t>
            </w:r>
          </w:p>
          <w:p w14:paraId="7B295AC7" w14:textId="77777777" w:rsidR="009617DE" w:rsidRPr="004A03C6" w:rsidRDefault="009617DE" w:rsidP="009617DE">
            <w:pPr>
              <w:jc w:val="both"/>
              <w:rPr>
                <w:rFonts w:asciiTheme="minorHAnsi" w:hAnsiTheme="minorHAnsi" w:cstheme="minorHAnsi"/>
                <w:bCs/>
                <w:szCs w:val="22"/>
              </w:rPr>
            </w:pPr>
          </w:p>
          <w:p w14:paraId="27F3943B" w14:textId="6A2D86CC" w:rsidR="009617DE" w:rsidRDefault="009617DE" w:rsidP="00BB2646">
            <w:pPr>
              <w:jc w:val="both"/>
              <w:rPr>
                <w:rFonts w:asciiTheme="minorHAnsi" w:hAnsiTheme="minorHAnsi" w:cstheme="minorHAnsi"/>
                <w:bCs/>
                <w:szCs w:val="22"/>
              </w:rPr>
            </w:pPr>
            <w:r w:rsidRPr="004A03C6">
              <w:rPr>
                <w:rFonts w:asciiTheme="minorHAnsi" w:hAnsiTheme="minorHAnsi" w:cstheme="minorHAnsi"/>
                <w:bCs/>
                <w:szCs w:val="22"/>
              </w:rPr>
              <w:t xml:space="preserve">Following discussions with the applicant, a revised scheme has been agreed to </w:t>
            </w:r>
            <w:r w:rsidR="004A03C6" w:rsidRPr="004A03C6">
              <w:rPr>
                <w:rFonts w:asciiTheme="minorHAnsi" w:hAnsiTheme="minorHAnsi" w:cstheme="minorHAnsi"/>
                <w:bCs/>
                <w:szCs w:val="22"/>
              </w:rPr>
              <w:t>remove the roof lift</w:t>
            </w:r>
            <w:r w:rsidR="00BB2646">
              <w:rPr>
                <w:rFonts w:asciiTheme="minorHAnsi" w:hAnsiTheme="minorHAnsi" w:cstheme="minorHAnsi"/>
                <w:bCs/>
                <w:szCs w:val="22"/>
              </w:rPr>
              <w:t xml:space="preserve"> </w:t>
            </w:r>
            <w:r w:rsidR="004A03C6" w:rsidRPr="004A03C6">
              <w:rPr>
                <w:rFonts w:asciiTheme="minorHAnsi" w:hAnsiTheme="minorHAnsi" w:cstheme="minorHAnsi"/>
                <w:bCs/>
                <w:szCs w:val="22"/>
              </w:rPr>
              <w:t xml:space="preserve">from the proposals. The existing granary would remain as </w:t>
            </w:r>
            <w:proofErr w:type="gramStart"/>
            <w:r w:rsidR="004A03C6" w:rsidRPr="004A03C6">
              <w:rPr>
                <w:rFonts w:asciiTheme="minorHAnsi" w:hAnsiTheme="minorHAnsi" w:cstheme="minorHAnsi"/>
                <w:bCs/>
                <w:szCs w:val="22"/>
              </w:rPr>
              <w:t>existing</w:t>
            </w:r>
            <w:proofErr w:type="gramEnd"/>
            <w:r w:rsidR="004A03C6" w:rsidRPr="004A03C6">
              <w:rPr>
                <w:rFonts w:asciiTheme="minorHAnsi" w:hAnsiTheme="minorHAnsi" w:cstheme="minorHAnsi"/>
                <w:bCs/>
                <w:szCs w:val="22"/>
              </w:rPr>
              <w:t xml:space="preserve"> and a further ground floor addition is proposed in the form of a lean-to extension along the north side.</w:t>
            </w:r>
            <w:r w:rsidR="004A03C6">
              <w:rPr>
                <w:rFonts w:asciiTheme="minorHAnsi" w:hAnsiTheme="minorHAnsi" w:cstheme="minorHAnsi"/>
                <w:bCs/>
                <w:szCs w:val="22"/>
              </w:rPr>
              <w:t xml:space="preserve"> </w:t>
            </w:r>
            <w:r w:rsidR="00BB2646">
              <w:rPr>
                <w:rFonts w:asciiTheme="minorHAnsi" w:hAnsiTheme="minorHAnsi" w:cstheme="minorHAnsi"/>
                <w:bCs/>
                <w:szCs w:val="22"/>
              </w:rPr>
              <w:t xml:space="preserve">The holiday accommodation would be provided at ground floor only but increasing the footprint of the building with a simple lean-to would provide sufficient space for a small self-catering unit including living area, </w:t>
            </w:r>
            <w:proofErr w:type="gramStart"/>
            <w:r w:rsidR="00BB2646">
              <w:rPr>
                <w:rFonts w:asciiTheme="minorHAnsi" w:hAnsiTheme="minorHAnsi" w:cstheme="minorHAnsi"/>
                <w:bCs/>
                <w:szCs w:val="22"/>
              </w:rPr>
              <w:t>kitchen</w:t>
            </w:r>
            <w:proofErr w:type="gramEnd"/>
            <w:r w:rsidR="00BB2646">
              <w:rPr>
                <w:rFonts w:asciiTheme="minorHAnsi" w:hAnsiTheme="minorHAnsi" w:cstheme="minorHAnsi"/>
                <w:bCs/>
                <w:szCs w:val="22"/>
              </w:rPr>
              <w:t xml:space="preserve"> and bedroom with </w:t>
            </w:r>
            <w:proofErr w:type="spellStart"/>
            <w:r w:rsidR="00BB2646">
              <w:rPr>
                <w:rFonts w:asciiTheme="minorHAnsi" w:hAnsiTheme="minorHAnsi" w:cstheme="minorHAnsi"/>
                <w:bCs/>
                <w:szCs w:val="22"/>
              </w:rPr>
              <w:t>en</w:t>
            </w:r>
            <w:proofErr w:type="spellEnd"/>
            <w:r w:rsidR="00BB2646">
              <w:rPr>
                <w:rFonts w:asciiTheme="minorHAnsi" w:hAnsiTheme="minorHAnsi" w:cstheme="minorHAnsi"/>
                <w:bCs/>
                <w:szCs w:val="22"/>
              </w:rPr>
              <w:t>-suite. Based on the revised proposals, it is considered that the development is acceptable and would safeguard the building’s character.</w:t>
            </w:r>
          </w:p>
          <w:p w14:paraId="5F8C6F41" w14:textId="66280278" w:rsidR="004A03C6" w:rsidRPr="00814745" w:rsidRDefault="004A03C6" w:rsidP="009617DE">
            <w:pPr>
              <w:jc w:val="both"/>
              <w:rPr>
                <w:rFonts w:asciiTheme="minorHAnsi" w:hAnsiTheme="minorHAnsi" w:cstheme="minorHAnsi"/>
                <w:bCs/>
                <w:color w:val="FF0000"/>
                <w:szCs w:val="22"/>
              </w:rPr>
            </w:pPr>
          </w:p>
        </w:tc>
      </w:tr>
      <w:tr w:rsidR="008C75E4" w:rsidRPr="008C75E4" w14:paraId="7FFC5D3A" w14:textId="77777777" w:rsidTr="00036617">
        <w:trPr>
          <w:trHeight w:val="864"/>
          <w:jc w:val="center"/>
        </w:trPr>
        <w:tc>
          <w:tcPr>
            <w:tcW w:w="9209" w:type="dxa"/>
            <w:gridSpan w:val="14"/>
            <w:tcMar>
              <w:top w:w="57" w:type="dxa"/>
              <w:bottom w:w="57" w:type="dxa"/>
            </w:tcMar>
          </w:tcPr>
          <w:p w14:paraId="50CDD77E" w14:textId="77777777" w:rsidR="00C0704D" w:rsidRPr="00532884" w:rsidRDefault="007C5713" w:rsidP="006126D1">
            <w:pPr>
              <w:pStyle w:val="Header"/>
              <w:tabs>
                <w:tab w:val="clear" w:pos="4153"/>
                <w:tab w:val="clear" w:pos="8306"/>
              </w:tabs>
              <w:contextualSpacing/>
              <w:jc w:val="both"/>
              <w:rPr>
                <w:rFonts w:ascii="Calibri" w:hAnsi="Calibri"/>
                <w:b/>
                <w:szCs w:val="22"/>
              </w:rPr>
            </w:pPr>
            <w:r w:rsidRPr="00532884">
              <w:rPr>
                <w:rFonts w:ascii="Calibri" w:hAnsi="Calibri"/>
                <w:b/>
                <w:szCs w:val="22"/>
              </w:rPr>
              <w:t>Highways:</w:t>
            </w:r>
          </w:p>
          <w:p w14:paraId="348C5440" w14:textId="77777777" w:rsidR="00024551" w:rsidRPr="00532884" w:rsidRDefault="00721755" w:rsidP="004C2257">
            <w:pPr>
              <w:pStyle w:val="Header"/>
              <w:tabs>
                <w:tab w:val="clear" w:pos="4153"/>
                <w:tab w:val="clear" w:pos="8306"/>
              </w:tabs>
              <w:contextualSpacing/>
              <w:jc w:val="both"/>
              <w:rPr>
                <w:rFonts w:ascii="Calibri" w:hAnsi="Calibri"/>
                <w:szCs w:val="22"/>
              </w:rPr>
            </w:pPr>
            <w:r w:rsidRPr="00532884">
              <w:rPr>
                <w:rFonts w:ascii="Calibri" w:hAnsi="Calibri"/>
                <w:szCs w:val="22"/>
              </w:rPr>
              <w:t xml:space="preserve">The County Highways Officer has raised no objection to the proposals which would result in a single modest-sized holiday unit. </w:t>
            </w:r>
          </w:p>
          <w:p w14:paraId="03D0E561" w14:textId="15248198" w:rsidR="00532884" w:rsidRPr="00532884" w:rsidRDefault="00532884" w:rsidP="004C2257">
            <w:pPr>
              <w:pStyle w:val="Header"/>
              <w:tabs>
                <w:tab w:val="clear" w:pos="4153"/>
                <w:tab w:val="clear" w:pos="8306"/>
              </w:tabs>
              <w:contextualSpacing/>
              <w:jc w:val="both"/>
              <w:rPr>
                <w:rFonts w:ascii="Calibri" w:hAnsi="Calibri"/>
                <w:szCs w:val="22"/>
              </w:rPr>
            </w:pPr>
          </w:p>
        </w:tc>
      </w:tr>
      <w:tr w:rsidR="008C75E4" w:rsidRPr="008C75E4" w14:paraId="79549125" w14:textId="77777777" w:rsidTr="00036617">
        <w:trPr>
          <w:trHeight w:val="864"/>
          <w:jc w:val="center"/>
        </w:trPr>
        <w:tc>
          <w:tcPr>
            <w:tcW w:w="9209" w:type="dxa"/>
            <w:gridSpan w:val="14"/>
            <w:tcMar>
              <w:top w:w="57" w:type="dxa"/>
              <w:bottom w:w="57" w:type="dxa"/>
            </w:tcMar>
          </w:tcPr>
          <w:p w14:paraId="0F91739B" w14:textId="5E4BD719" w:rsidR="00C0704D" w:rsidRPr="00532884" w:rsidRDefault="00C0704D" w:rsidP="006126D1">
            <w:pPr>
              <w:contextualSpacing/>
              <w:jc w:val="both"/>
              <w:rPr>
                <w:rFonts w:asciiTheme="minorHAnsi" w:hAnsiTheme="minorHAnsi" w:cstheme="minorHAnsi"/>
                <w:b/>
                <w:bCs/>
                <w:szCs w:val="22"/>
              </w:rPr>
            </w:pPr>
            <w:r w:rsidRPr="00532884">
              <w:rPr>
                <w:rFonts w:asciiTheme="minorHAnsi" w:hAnsiTheme="minorHAnsi" w:cstheme="minorHAnsi"/>
                <w:b/>
                <w:bCs/>
                <w:szCs w:val="22"/>
              </w:rPr>
              <w:t>Observations/Consideration of Matters Raised/Conclusion:</w:t>
            </w:r>
          </w:p>
          <w:p w14:paraId="1E87B187" w14:textId="23D1FBEC" w:rsidR="00532884" w:rsidRPr="00532884" w:rsidRDefault="00532884" w:rsidP="006126D1">
            <w:pPr>
              <w:contextualSpacing/>
              <w:jc w:val="both"/>
              <w:rPr>
                <w:rFonts w:asciiTheme="minorHAnsi" w:hAnsiTheme="minorHAnsi" w:cstheme="minorHAnsi"/>
                <w:szCs w:val="22"/>
              </w:rPr>
            </w:pPr>
            <w:r w:rsidRPr="00532884">
              <w:rPr>
                <w:rFonts w:asciiTheme="minorHAnsi" w:hAnsiTheme="minorHAnsi" w:cstheme="minorHAnsi"/>
                <w:szCs w:val="22"/>
              </w:rPr>
              <w:t>The applicant has re-submitted the same ecology survey that was used to support the earlier approved planning application. The survey is less than 2 years old and is therefore still relevant for the purpose of determining this application.</w:t>
            </w:r>
          </w:p>
          <w:p w14:paraId="0E7CD0AC" w14:textId="77777777" w:rsidR="00532884" w:rsidRPr="00532884" w:rsidRDefault="00532884" w:rsidP="006126D1">
            <w:pPr>
              <w:contextualSpacing/>
              <w:jc w:val="both"/>
              <w:rPr>
                <w:rFonts w:asciiTheme="minorHAnsi" w:hAnsiTheme="minorHAnsi" w:cstheme="minorHAnsi"/>
                <w:b/>
                <w:bCs/>
                <w:szCs w:val="22"/>
              </w:rPr>
            </w:pPr>
          </w:p>
          <w:p w14:paraId="124240B5" w14:textId="61A290CF" w:rsidR="00721755" w:rsidRPr="00532884" w:rsidRDefault="00532884" w:rsidP="006126D1">
            <w:pPr>
              <w:contextualSpacing/>
              <w:jc w:val="both"/>
              <w:rPr>
                <w:rFonts w:asciiTheme="minorHAnsi" w:hAnsiTheme="minorHAnsi" w:cstheme="minorHAnsi"/>
              </w:rPr>
            </w:pPr>
            <w:r w:rsidRPr="00532884">
              <w:rPr>
                <w:rFonts w:asciiTheme="minorHAnsi" w:hAnsiTheme="minorHAnsi" w:cstheme="minorHAnsi"/>
              </w:rPr>
              <w:t>The survey considers t</w:t>
            </w:r>
            <w:r w:rsidR="00721755" w:rsidRPr="00532884">
              <w:rPr>
                <w:rFonts w:asciiTheme="minorHAnsi" w:hAnsiTheme="minorHAnsi" w:cstheme="minorHAnsi"/>
              </w:rPr>
              <w:t xml:space="preserve">he habitat around the site offers a low-moderate potential for foraging. There is poor connectivity between the site and higher quality foraging areas. </w:t>
            </w:r>
            <w:r w:rsidR="00721755" w:rsidRPr="00532884">
              <w:rPr>
                <w:rFonts w:asciiTheme="minorHAnsi" w:hAnsiTheme="minorHAnsi" w:cstheme="minorHAnsi"/>
                <w:bCs/>
                <w:szCs w:val="22"/>
              </w:rPr>
              <w:t xml:space="preserve">The recommendations and mitigation section of the report </w:t>
            </w:r>
            <w:r w:rsidR="00C3253B" w:rsidRPr="00532884">
              <w:rPr>
                <w:rFonts w:asciiTheme="minorHAnsi" w:hAnsiTheme="minorHAnsi" w:cstheme="minorHAnsi"/>
                <w:bCs/>
                <w:szCs w:val="22"/>
              </w:rPr>
              <w:t xml:space="preserve">recommends </w:t>
            </w:r>
            <w:r w:rsidRPr="00532884">
              <w:rPr>
                <w:rFonts w:asciiTheme="minorHAnsi" w:hAnsiTheme="minorHAnsi" w:cstheme="minorHAnsi"/>
              </w:rPr>
              <w:t>creating</w:t>
            </w:r>
            <w:r w:rsidR="00C3253B" w:rsidRPr="00532884">
              <w:rPr>
                <w:rFonts w:asciiTheme="minorHAnsi" w:hAnsiTheme="minorHAnsi" w:cstheme="minorHAnsi"/>
              </w:rPr>
              <w:t xml:space="preserve"> at least 6 gaps along the eaves lines of the buildings to be used as potential roost sites for bats. </w:t>
            </w:r>
            <w:proofErr w:type="gramStart"/>
            <w:r w:rsidR="00C3253B" w:rsidRPr="00532884">
              <w:rPr>
                <w:rFonts w:asciiTheme="minorHAnsi" w:hAnsiTheme="minorHAnsi" w:cstheme="minorHAnsi"/>
              </w:rPr>
              <w:t>In order to</w:t>
            </w:r>
            <w:proofErr w:type="gramEnd"/>
            <w:r w:rsidR="00C3253B" w:rsidRPr="00532884">
              <w:rPr>
                <w:rFonts w:asciiTheme="minorHAnsi" w:hAnsiTheme="minorHAnsi" w:cstheme="minorHAnsi"/>
              </w:rPr>
              <w:t xml:space="preserve"> enhance biodiversity at the site for nesting birds there would also be a requirement to provide</w:t>
            </w:r>
            <w:r w:rsidR="0099421D" w:rsidRPr="00532884">
              <w:rPr>
                <w:rFonts w:asciiTheme="minorHAnsi" w:hAnsiTheme="minorHAnsi" w:cstheme="minorHAnsi"/>
              </w:rPr>
              <w:t xml:space="preserve"> nesting/roosting features in accordance with Policy DME3 of the Core Strategy.</w:t>
            </w:r>
            <w:r w:rsidR="00C3253B" w:rsidRPr="00532884">
              <w:rPr>
                <w:rFonts w:asciiTheme="minorHAnsi" w:hAnsiTheme="minorHAnsi" w:cstheme="minorHAnsi"/>
              </w:rPr>
              <w:t xml:space="preserve"> </w:t>
            </w:r>
          </w:p>
          <w:p w14:paraId="12B90C6A" w14:textId="77777777" w:rsidR="004C2257" w:rsidRPr="00532884" w:rsidRDefault="004C2257" w:rsidP="00454754">
            <w:pPr>
              <w:pStyle w:val="Header"/>
              <w:tabs>
                <w:tab w:val="clear" w:pos="4153"/>
                <w:tab w:val="clear" w:pos="8306"/>
              </w:tabs>
              <w:contextualSpacing/>
              <w:jc w:val="both"/>
              <w:rPr>
                <w:rFonts w:asciiTheme="minorHAnsi" w:hAnsiTheme="minorHAnsi" w:cstheme="minorHAnsi"/>
                <w:szCs w:val="22"/>
              </w:rPr>
            </w:pPr>
          </w:p>
          <w:p w14:paraId="74A71407" w14:textId="77777777" w:rsidR="004C2257" w:rsidRPr="00532884" w:rsidRDefault="004C2257" w:rsidP="00454754">
            <w:pPr>
              <w:pStyle w:val="Header"/>
              <w:tabs>
                <w:tab w:val="clear" w:pos="4153"/>
                <w:tab w:val="clear" w:pos="8306"/>
              </w:tabs>
              <w:contextualSpacing/>
              <w:jc w:val="both"/>
              <w:rPr>
                <w:rFonts w:asciiTheme="minorHAnsi" w:hAnsiTheme="minorHAnsi" w:cstheme="minorHAnsi"/>
                <w:szCs w:val="22"/>
              </w:rPr>
            </w:pPr>
            <w:r w:rsidRPr="00532884">
              <w:rPr>
                <w:rFonts w:asciiTheme="minorHAnsi" w:hAnsiTheme="minorHAnsi" w:cstheme="minorHAnsi"/>
                <w:szCs w:val="22"/>
              </w:rPr>
              <w:t xml:space="preserve">Taking the above into account, </w:t>
            </w:r>
            <w:r w:rsidR="0099421D" w:rsidRPr="00532884">
              <w:rPr>
                <w:rFonts w:asciiTheme="minorHAnsi" w:hAnsiTheme="minorHAnsi" w:cstheme="minorHAnsi"/>
                <w:szCs w:val="22"/>
              </w:rPr>
              <w:t>it is recommended that the application be approved subject to conditions.</w:t>
            </w:r>
          </w:p>
          <w:p w14:paraId="601DFBDF" w14:textId="008475C7" w:rsidR="00532884" w:rsidRPr="00532884" w:rsidRDefault="00532884" w:rsidP="00454754">
            <w:pPr>
              <w:pStyle w:val="Header"/>
              <w:tabs>
                <w:tab w:val="clear" w:pos="4153"/>
                <w:tab w:val="clear" w:pos="8306"/>
              </w:tabs>
              <w:contextualSpacing/>
              <w:jc w:val="both"/>
              <w:rPr>
                <w:rFonts w:asciiTheme="minorHAnsi" w:hAnsiTheme="minorHAnsi" w:cstheme="minorHAnsi"/>
                <w:szCs w:val="22"/>
              </w:rPr>
            </w:pPr>
          </w:p>
        </w:tc>
      </w:tr>
      <w:tr w:rsidR="00C0704D" w:rsidRPr="008C75E4" w14:paraId="6D952E02" w14:textId="77777777" w:rsidTr="00036617">
        <w:trPr>
          <w:jc w:val="center"/>
        </w:trPr>
        <w:tc>
          <w:tcPr>
            <w:tcW w:w="2837" w:type="dxa"/>
            <w:gridSpan w:val="4"/>
            <w:tcMar>
              <w:top w:w="57" w:type="dxa"/>
              <w:bottom w:w="57" w:type="dxa"/>
            </w:tcMar>
          </w:tcPr>
          <w:p w14:paraId="3C51314D" w14:textId="77777777" w:rsidR="00C0704D" w:rsidRPr="0099421D" w:rsidRDefault="00C0704D" w:rsidP="006126D1">
            <w:pPr>
              <w:jc w:val="both"/>
              <w:rPr>
                <w:rFonts w:asciiTheme="minorHAnsi" w:hAnsiTheme="minorHAnsi" w:cstheme="minorHAnsi"/>
                <w:b/>
                <w:bCs/>
                <w:szCs w:val="22"/>
              </w:rPr>
            </w:pPr>
            <w:r w:rsidRPr="0099421D">
              <w:rPr>
                <w:rFonts w:asciiTheme="minorHAnsi" w:hAnsiTheme="minorHAnsi" w:cstheme="minorHAnsi"/>
                <w:b/>
                <w:szCs w:val="22"/>
              </w:rPr>
              <w:t>RECOMMENDATION</w:t>
            </w:r>
            <w:r w:rsidRPr="0099421D">
              <w:rPr>
                <w:rFonts w:asciiTheme="minorHAnsi" w:hAnsiTheme="minorHAnsi" w:cstheme="minorHAnsi"/>
                <w:szCs w:val="22"/>
              </w:rPr>
              <w:t>:</w:t>
            </w:r>
          </w:p>
        </w:tc>
        <w:tc>
          <w:tcPr>
            <w:tcW w:w="6372" w:type="dxa"/>
            <w:gridSpan w:val="10"/>
          </w:tcPr>
          <w:p w14:paraId="11DD305E" w14:textId="77777777" w:rsidR="00C0704D" w:rsidRPr="0099421D" w:rsidRDefault="002527F0" w:rsidP="006126D1">
            <w:pPr>
              <w:jc w:val="both"/>
              <w:rPr>
                <w:rFonts w:asciiTheme="minorHAnsi" w:hAnsiTheme="minorHAnsi" w:cstheme="minorHAnsi"/>
                <w:bCs/>
                <w:szCs w:val="22"/>
              </w:rPr>
            </w:pPr>
            <w:r w:rsidRPr="0099421D">
              <w:rPr>
                <w:rFonts w:asciiTheme="minorHAnsi" w:hAnsiTheme="minorHAnsi" w:cstheme="minorHAnsi"/>
                <w:bCs/>
                <w:szCs w:val="22"/>
              </w:rPr>
              <w:t xml:space="preserve">That planning consent be </w:t>
            </w:r>
            <w:r w:rsidR="0099421D" w:rsidRPr="0099421D">
              <w:rPr>
                <w:rFonts w:asciiTheme="minorHAnsi" w:hAnsiTheme="minorHAnsi" w:cstheme="minorHAnsi"/>
                <w:bCs/>
                <w:szCs w:val="22"/>
              </w:rPr>
              <w:t>granted.</w:t>
            </w:r>
          </w:p>
        </w:tc>
      </w:tr>
    </w:tbl>
    <w:p w14:paraId="0F12F4D8" w14:textId="77777777" w:rsidR="0031197A" w:rsidRPr="008C75E4" w:rsidRDefault="00147D0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9F8A" w14:textId="77777777" w:rsidR="00C536CA" w:rsidRDefault="00C536CA" w:rsidP="006D0B5F">
      <w:r>
        <w:separator/>
      </w:r>
    </w:p>
  </w:endnote>
  <w:endnote w:type="continuationSeparator" w:id="0">
    <w:p w14:paraId="67D0CF4E" w14:textId="77777777" w:rsidR="00C536CA" w:rsidRDefault="00C536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BE06" w14:textId="77777777" w:rsidR="00C536CA" w:rsidRDefault="00C536CA" w:rsidP="006D0B5F">
      <w:r>
        <w:separator/>
      </w:r>
    </w:p>
  </w:footnote>
  <w:footnote w:type="continuationSeparator" w:id="0">
    <w:p w14:paraId="0F68284D" w14:textId="77777777" w:rsidR="00C536CA" w:rsidRDefault="00C536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A2A"/>
    <w:multiLevelType w:val="hybridMultilevel"/>
    <w:tmpl w:val="90209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E237B"/>
    <w:multiLevelType w:val="hybridMultilevel"/>
    <w:tmpl w:val="90209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6"/>
  </w:num>
  <w:num w:numId="4">
    <w:abstractNumId w:val="7"/>
  </w:num>
  <w:num w:numId="5">
    <w:abstractNumId w:val="1"/>
  </w:num>
  <w:num w:numId="6">
    <w:abstractNumId w:val="2"/>
  </w:num>
  <w:num w:numId="7">
    <w:abstractNumId w:val="8"/>
  </w:num>
  <w:num w:numId="8">
    <w:abstractNumId w:val="11"/>
  </w:num>
  <w:num w:numId="9">
    <w:abstractNumId w:val="4"/>
  </w:num>
  <w:num w:numId="10">
    <w:abstractNumId w:val="9"/>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551"/>
    <w:rsid w:val="00036617"/>
    <w:rsid w:val="00041FBF"/>
    <w:rsid w:val="00055B13"/>
    <w:rsid w:val="0008638E"/>
    <w:rsid w:val="000975D7"/>
    <w:rsid w:val="000A2F76"/>
    <w:rsid w:val="000B5CB5"/>
    <w:rsid w:val="000C7A57"/>
    <w:rsid w:val="00101855"/>
    <w:rsid w:val="0010371E"/>
    <w:rsid w:val="00106932"/>
    <w:rsid w:val="00123AC7"/>
    <w:rsid w:val="00130035"/>
    <w:rsid w:val="00141512"/>
    <w:rsid w:val="00147D0B"/>
    <w:rsid w:val="0016428F"/>
    <w:rsid w:val="00174004"/>
    <w:rsid w:val="001946E0"/>
    <w:rsid w:val="00196722"/>
    <w:rsid w:val="001B769B"/>
    <w:rsid w:val="001C1453"/>
    <w:rsid w:val="001D2EC8"/>
    <w:rsid w:val="001D4F7A"/>
    <w:rsid w:val="001D5ADD"/>
    <w:rsid w:val="001F5972"/>
    <w:rsid w:val="00203F50"/>
    <w:rsid w:val="00206E24"/>
    <w:rsid w:val="00237DA1"/>
    <w:rsid w:val="00250879"/>
    <w:rsid w:val="002527F0"/>
    <w:rsid w:val="00256614"/>
    <w:rsid w:val="00281BC2"/>
    <w:rsid w:val="0028276B"/>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87C76"/>
    <w:rsid w:val="003A4376"/>
    <w:rsid w:val="003C28E1"/>
    <w:rsid w:val="003E2151"/>
    <w:rsid w:val="003F16AA"/>
    <w:rsid w:val="003F16B4"/>
    <w:rsid w:val="003F3DB5"/>
    <w:rsid w:val="003F481A"/>
    <w:rsid w:val="00402E7B"/>
    <w:rsid w:val="00404C72"/>
    <w:rsid w:val="00412187"/>
    <w:rsid w:val="00435FC9"/>
    <w:rsid w:val="0044039F"/>
    <w:rsid w:val="00440CB6"/>
    <w:rsid w:val="00454754"/>
    <w:rsid w:val="004654DD"/>
    <w:rsid w:val="004854EC"/>
    <w:rsid w:val="004936A6"/>
    <w:rsid w:val="004947BB"/>
    <w:rsid w:val="004A03C6"/>
    <w:rsid w:val="004A5EA9"/>
    <w:rsid w:val="004B4221"/>
    <w:rsid w:val="004C2257"/>
    <w:rsid w:val="004C2434"/>
    <w:rsid w:val="004C774B"/>
    <w:rsid w:val="004D0253"/>
    <w:rsid w:val="004D670C"/>
    <w:rsid w:val="004D6FC7"/>
    <w:rsid w:val="004E58E3"/>
    <w:rsid w:val="004F0649"/>
    <w:rsid w:val="004F1043"/>
    <w:rsid w:val="004F1E99"/>
    <w:rsid w:val="0050432D"/>
    <w:rsid w:val="00504440"/>
    <w:rsid w:val="00510DBF"/>
    <w:rsid w:val="00510FA2"/>
    <w:rsid w:val="00510FE3"/>
    <w:rsid w:val="00521ABA"/>
    <w:rsid w:val="00525341"/>
    <w:rsid w:val="00527A31"/>
    <w:rsid w:val="00532884"/>
    <w:rsid w:val="00534611"/>
    <w:rsid w:val="005368A1"/>
    <w:rsid w:val="00545D8C"/>
    <w:rsid w:val="00556ECD"/>
    <w:rsid w:val="00557211"/>
    <w:rsid w:val="005631B3"/>
    <w:rsid w:val="005633B0"/>
    <w:rsid w:val="005635FF"/>
    <w:rsid w:val="00573B90"/>
    <w:rsid w:val="005874BD"/>
    <w:rsid w:val="005878FE"/>
    <w:rsid w:val="00593040"/>
    <w:rsid w:val="005B0A0E"/>
    <w:rsid w:val="005D3432"/>
    <w:rsid w:val="005E1C6C"/>
    <w:rsid w:val="005E65DF"/>
    <w:rsid w:val="006126D1"/>
    <w:rsid w:val="00623FDF"/>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07D71"/>
    <w:rsid w:val="00710DBB"/>
    <w:rsid w:val="00721755"/>
    <w:rsid w:val="00725F1C"/>
    <w:rsid w:val="007430C8"/>
    <w:rsid w:val="00755FCC"/>
    <w:rsid w:val="00776AE2"/>
    <w:rsid w:val="007921CD"/>
    <w:rsid w:val="007C5713"/>
    <w:rsid w:val="007C5BFD"/>
    <w:rsid w:val="007C791C"/>
    <w:rsid w:val="007D6D02"/>
    <w:rsid w:val="007D7DF4"/>
    <w:rsid w:val="007E0D23"/>
    <w:rsid w:val="007E573A"/>
    <w:rsid w:val="007F196D"/>
    <w:rsid w:val="00800FEA"/>
    <w:rsid w:val="00805895"/>
    <w:rsid w:val="008075CB"/>
    <w:rsid w:val="00811771"/>
    <w:rsid w:val="00814745"/>
    <w:rsid w:val="008154DD"/>
    <w:rsid w:val="008542DE"/>
    <w:rsid w:val="008638DE"/>
    <w:rsid w:val="00891182"/>
    <w:rsid w:val="00896F11"/>
    <w:rsid w:val="008A28C8"/>
    <w:rsid w:val="008C4A89"/>
    <w:rsid w:val="008C75E4"/>
    <w:rsid w:val="008E3074"/>
    <w:rsid w:val="008E3274"/>
    <w:rsid w:val="008F6B58"/>
    <w:rsid w:val="0090282C"/>
    <w:rsid w:val="00906D0C"/>
    <w:rsid w:val="00934B34"/>
    <w:rsid w:val="009565F5"/>
    <w:rsid w:val="009617DE"/>
    <w:rsid w:val="009825FF"/>
    <w:rsid w:val="00985097"/>
    <w:rsid w:val="0099421D"/>
    <w:rsid w:val="00994EF1"/>
    <w:rsid w:val="009C4BCF"/>
    <w:rsid w:val="009C7F61"/>
    <w:rsid w:val="009E6A8B"/>
    <w:rsid w:val="009F332E"/>
    <w:rsid w:val="00A04A96"/>
    <w:rsid w:val="00A40070"/>
    <w:rsid w:val="00A42E82"/>
    <w:rsid w:val="00A46EE9"/>
    <w:rsid w:val="00A55E83"/>
    <w:rsid w:val="00A579BB"/>
    <w:rsid w:val="00A61D0F"/>
    <w:rsid w:val="00A63D55"/>
    <w:rsid w:val="00A8441B"/>
    <w:rsid w:val="00A9088C"/>
    <w:rsid w:val="00A9168C"/>
    <w:rsid w:val="00A95D89"/>
    <w:rsid w:val="00AB3243"/>
    <w:rsid w:val="00AB5232"/>
    <w:rsid w:val="00B105ED"/>
    <w:rsid w:val="00B14DDC"/>
    <w:rsid w:val="00B30A5E"/>
    <w:rsid w:val="00B31505"/>
    <w:rsid w:val="00B6269C"/>
    <w:rsid w:val="00B74C73"/>
    <w:rsid w:val="00B93EB5"/>
    <w:rsid w:val="00B94CB1"/>
    <w:rsid w:val="00B96F5A"/>
    <w:rsid w:val="00BA2247"/>
    <w:rsid w:val="00BA5D97"/>
    <w:rsid w:val="00BA6B19"/>
    <w:rsid w:val="00BB1C52"/>
    <w:rsid w:val="00BB2646"/>
    <w:rsid w:val="00BB2A50"/>
    <w:rsid w:val="00BC1E48"/>
    <w:rsid w:val="00BD3F03"/>
    <w:rsid w:val="00C0704D"/>
    <w:rsid w:val="00C214A6"/>
    <w:rsid w:val="00C24A51"/>
    <w:rsid w:val="00C25722"/>
    <w:rsid w:val="00C3253B"/>
    <w:rsid w:val="00C44E40"/>
    <w:rsid w:val="00C50517"/>
    <w:rsid w:val="00C536CA"/>
    <w:rsid w:val="00C618DB"/>
    <w:rsid w:val="00C6456D"/>
    <w:rsid w:val="00C93384"/>
    <w:rsid w:val="00CA28BA"/>
    <w:rsid w:val="00CA3D3F"/>
    <w:rsid w:val="00CA4217"/>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73B19"/>
    <w:rsid w:val="00E80113"/>
    <w:rsid w:val="00EA09F9"/>
    <w:rsid w:val="00EA1673"/>
    <w:rsid w:val="00EB7D74"/>
    <w:rsid w:val="00EC23C7"/>
    <w:rsid w:val="00ED00B7"/>
    <w:rsid w:val="00EF1341"/>
    <w:rsid w:val="00EF44E6"/>
    <w:rsid w:val="00F012FA"/>
    <w:rsid w:val="00F055D3"/>
    <w:rsid w:val="00F129DD"/>
    <w:rsid w:val="00F16D0F"/>
    <w:rsid w:val="00F32789"/>
    <w:rsid w:val="00F35412"/>
    <w:rsid w:val="00F71D53"/>
    <w:rsid w:val="00F731F5"/>
    <w:rsid w:val="00F75F59"/>
    <w:rsid w:val="00F8201E"/>
    <w:rsid w:val="00FC046F"/>
    <w:rsid w:val="00FC6A11"/>
    <w:rsid w:val="00FC77EC"/>
    <w:rsid w:val="00FD334A"/>
    <w:rsid w:val="00FD6AE3"/>
    <w:rsid w:val="00FF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4D7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customStyle="1" w:styleId="Default">
    <w:name w:val="Default"/>
    <w:rsid w:val="002827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9630">
      <w:bodyDiv w:val="1"/>
      <w:marLeft w:val="0"/>
      <w:marRight w:val="0"/>
      <w:marTop w:val="0"/>
      <w:marBottom w:val="0"/>
      <w:divBdr>
        <w:top w:val="none" w:sz="0" w:space="0" w:color="auto"/>
        <w:left w:val="none" w:sz="0" w:space="0" w:color="auto"/>
        <w:bottom w:val="none" w:sz="0" w:space="0" w:color="auto"/>
        <w:right w:val="none" w:sz="0" w:space="0" w:color="auto"/>
      </w:divBdr>
    </w:div>
    <w:div w:id="1034306639">
      <w:bodyDiv w:val="1"/>
      <w:marLeft w:val="0"/>
      <w:marRight w:val="0"/>
      <w:marTop w:val="0"/>
      <w:marBottom w:val="0"/>
      <w:divBdr>
        <w:top w:val="none" w:sz="0" w:space="0" w:color="auto"/>
        <w:left w:val="none" w:sz="0" w:space="0" w:color="auto"/>
        <w:bottom w:val="none" w:sz="0" w:space="0" w:color="auto"/>
        <w:right w:val="none" w:sz="0" w:space="0" w:color="auto"/>
      </w:divBdr>
    </w:div>
    <w:div w:id="179085352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DD24-37E7-4C8C-847C-FF3D14D3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2021-12-01T14:27:00Z</cp:lastPrinted>
  <dcterms:created xsi:type="dcterms:W3CDTF">2021-12-01T14:29:00Z</dcterms:created>
  <dcterms:modified xsi:type="dcterms:W3CDTF">2021-12-01T14:29:00Z</dcterms:modified>
</cp:coreProperties>
</file>