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58"/>
        <w:gridCol w:w="1041"/>
        <w:gridCol w:w="36"/>
        <w:gridCol w:w="82"/>
        <w:gridCol w:w="576"/>
        <w:gridCol w:w="583"/>
        <w:gridCol w:w="1278"/>
        <w:gridCol w:w="1002"/>
        <w:gridCol w:w="157"/>
        <w:gridCol w:w="1159"/>
        <w:gridCol w:w="1159"/>
        <w:gridCol w:w="1298"/>
      </w:tblGrid>
      <w:tr w:rsidR="004A5EA9" w:rsidRPr="00D2449B" w14:paraId="230E00A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B081C" w:rsidRPr="00D2449B" w14:paraId="7BDBA138" w14:textId="77777777" w:rsidTr="003E569A">
        <w:trPr>
          <w:jc w:val="center"/>
        </w:trPr>
        <w:tc>
          <w:tcPr>
            <w:tcW w:w="11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8EF9F0" w14:textId="328CFD35"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Signed:</w:t>
            </w:r>
          </w:p>
        </w:tc>
        <w:tc>
          <w:tcPr>
            <w:tcW w:w="11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733BE" w14:textId="65DAA7CD"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LH</w:t>
            </w:r>
          </w:p>
        </w:tc>
        <w:tc>
          <w:tcPr>
            <w:tcW w:w="11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28EBC6" w14:textId="1064639A"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Date:</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9C60D" w14:textId="7ED7B7FE" w:rsidR="004B081C" w:rsidRPr="004B081C" w:rsidRDefault="000B1598" w:rsidP="004B081C">
            <w:pPr>
              <w:jc w:val="center"/>
              <w:rPr>
                <w:rFonts w:asciiTheme="minorHAnsi" w:hAnsiTheme="minorHAnsi" w:cstheme="minorHAnsi"/>
                <w:b/>
                <w:szCs w:val="22"/>
              </w:rPr>
            </w:pPr>
            <w:r>
              <w:rPr>
                <w:rFonts w:asciiTheme="minorHAnsi" w:hAnsiTheme="minorHAnsi" w:cstheme="minorHAnsi"/>
              </w:rPr>
              <w:t>03</w:t>
            </w:r>
            <w:r w:rsidR="004B081C" w:rsidRPr="004B081C">
              <w:rPr>
                <w:rFonts w:asciiTheme="minorHAnsi" w:hAnsiTheme="minorHAnsi" w:cstheme="minorHAnsi"/>
              </w:rPr>
              <w:t>/</w:t>
            </w:r>
            <w:r>
              <w:rPr>
                <w:rFonts w:asciiTheme="minorHAnsi" w:hAnsiTheme="minorHAnsi" w:cstheme="minorHAnsi"/>
              </w:rPr>
              <w:t>0</w:t>
            </w:r>
            <w:r w:rsidR="004B081C" w:rsidRPr="004B081C">
              <w:rPr>
                <w:rFonts w:asciiTheme="minorHAnsi" w:hAnsiTheme="minorHAnsi" w:cstheme="minorHAnsi"/>
              </w:rPr>
              <w:t>2/202</w:t>
            </w:r>
            <w:r>
              <w:rPr>
                <w:rFonts w:asciiTheme="minorHAnsi" w:hAnsiTheme="minorHAnsi" w:cstheme="minorHAnsi"/>
              </w:rPr>
              <w:t>3</w:t>
            </w:r>
          </w:p>
        </w:tc>
        <w:tc>
          <w:tcPr>
            <w:tcW w:w="11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5FA044" w14:textId="230A1ED1"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Manager:</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40561" w14:textId="37AD7513" w:rsidR="004B081C" w:rsidRPr="004B081C" w:rsidRDefault="00C11202" w:rsidP="004B081C">
            <w:pPr>
              <w:jc w:val="center"/>
              <w:rPr>
                <w:rFonts w:asciiTheme="minorHAnsi" w:hAnsiTheme="minorHAnsi" w:cstheme="minorHAnsi"/>
                <w:b/>
                <w:szCs w:val="22"/>
              </w:rPr>
            </w:pPr>
            <w:r>
              <w:rPr>
                <w:rFonts w:asciiTheme="minorHAnsi" w:hAnsiTheme="minorHAnsi" w:cstheme="minorHAnsi"/>
                <w:b/>
                <w:szCs w:val="22"/>
              </w:rPr>
              <w:t>NH</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F2850" w14:textId="564D05C6"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Date:</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3B0280" w14:textId="2C709D66" w:rsidR="004B081C" w:rsidRPr="004B081C" w:rsidRDefault="00C11202" w:rsidP="004B081C">
            <w:pPr>
              <w:jc w:val="center"/>
              <w:rPr>
                <w:rFonts w:asciiTheme="minorHAnsi" w:hAnsiTheme="minorHAnsi" w:cstheme="minorHAnsi"/>
                <w:b/>
                <w:szCs w:val="22"/>
              </w:rPr>
            </w:pPr>
            <w:r>
              <w:rPr>
                <w:rFonts w:asciiTheme="minorHAnsi" w:hAnsiTheme="minorHAnsi" w:cstheme="minorHAnsi"/>
                <w:b/>
                <w:szCs w:val="22"/>
              </w:rPr>
              <w:t>02/02/2023</w:t>
            </w:r>
          </w:p>
        </w:tc>
      </w:tr>
      <w:tr w:rsidR="004A5EA9" w:rsidRPr="00D2449B" w14:paraId="2094A164" w14:textId="77777777" w:rsidTr="00EF44E6">
        <w:trPr>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9FDB962" w:rsidR="004A5EA9" w:rsidRPr="003C2B2D" w:rsidRDefault="003C2B2D" w:rsidP="008542DE">
            <w:pPr>
              <w:rPr>
                <w:rFonts w:ascii="Calibri" w:hAnsi="Calibri"/>
                <w:szCs w:val="22"/>
              </w:rPr>
            </w:pPr>
            <w:r w:rsidRPr="003C2B2D">
              <w:rPr>
                <w:rFonts w:ascii="Calibri" w:hAnsi="Calibri"/>
                <w:szCs w:val="22"/>
              </w:rPr>
              <w:t>3/202</w:t>
            </w:r>
            <w:r w:rsidR="00A574A3">
              <w:rPr>
                <w:rFonts w:ascii="Calibri" w:hAnsi="Calibri"/>
                <w:szCs w:val="22"/>
              </w:rPr>
              <w:t>1/1021</w:t>
            </w:r>
          </w:p>
        </w:tc>
        <w:tc>
          <w:tcPr>
            <w:tcW w:w="363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41BBD1" w:rsidR="004A5EA9" w:rsidRPr="00C0704D" w:rsidRDefault="00A574A3" w:rsidP="002C6277">
            <w:pPr>
              <w:rPr>
                <w:rFonts w:ascii="Calibri" w:hAnsi="Calibri"/>
                <w:szCs w:val="22"/>
              </w:rPr>
            </w:pPr>
            <w:r>
              <w:rPr>
                <w:rFonts w:ascii="Calibri" w:hAnsi="Calibri"/>
                <w:szCs w:val="22"/>
              </w:rPr>
              <w:t>11/5</w:t>
            </w:r>
            <w:r w:rsidR="003C2B2D" w:rsidRPr="0033449A">
              <w:rPr>
                <w:rFonts w:ascii="Calibri" w:hAnsi="Calibri"/>
                <w:szCs w:val="22"/>
              </w:rPr>
              <w:t>/22</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AF287B" w:rsidR="004A5EA9" w:rsidRPr="00250879" w:rsidRDefault="000B1598" w:rsidP="00811771">
            <w:pPr>
              <w:rPr>
                <w:rFonts w:ascii="Calibri" w:hAnsi="Calibri"/>
                <w:color w:val="548DD4" w:themeColor="text2" w:themeTint="99"/>
                <w:szCs w:val="22"/>
              </w:rPr>
            </w:pPr>
            <w:r>
              <w:rPr>
                <w:rFonts w:ascii="Calibri" w:hAnsi="Calibri"/>
                <w:szCs w:val="22"/>
              </w:rPr>
              <w:t>AD/</w:t>
            </w:r>
            <w:r w:rsidR="002D038C">
              <w:rPr>
                <w:rFonts w:ascii="Calibri" w:hAnsi="Calibri"/>
                <w:szCs w:val="22"/>
              </w:rPr>
              <w:t>LH</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59CB8E1" w:rsidR="004A5EA9" w:rsidRPr="002C6277" w:rsidRDefault="00A574A3" w:rsidP="008652AA">
            <w:pPr>
              <w:rPr>
                <w:rFonts w:ascii="Calibri" w:hAnsi="Calibri"/>
                <w:szCs w:val="22"/>
              </w:rPr>
            </w:pPr>
            <w:bookmarkStart w:id="0" w:name="_Hlk126235284"/>
            <w:r w:rsidRPr="00A574A3">
              <w:rPr>
                <w:rFonts w:ascii="Calibri" w:hAnsi="Calibri"/>
                <w:szCs w:val="22"/>
              </w:rPr>
              <w:t xml:space="preserve">Proposed change of use of the ground floor from Class C3 to Class E; from a two bedroom terrace dwelling to a ground floor Local History archive and </w:t>
            </w:r>
            <w:r w:rsidR="00E16658">
              <w:rPr>
                <w:rFonts w:ascii="Calibri" w:hAnsi="Calibri"/>
                <w:szCs w:val="22"/>
              </w:rPr>
              <w:t>research</w:t>
            </w:r>
            <w:r w:rsidRPr="00A574A3">
              <w:rPr>
                <w:rFonts w:ascii="Calibri" w:hAnsi="Calibri"/>
                <w:szCs w:val="22"/>
              </w:rPr>
              <w:t xml:space="preserve"> room and a single bedroom flat on the first floor</w:t>
            </w:r>
            <w:bookmarkEnd w:id="0"/>
          </w:p>
        </w:tc>
      </w:tr>
      <w:tr w:rsidR="002A01CF" w:rsidRPr="00D2449B" w14:paraId="52988241"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BDE988" w:rsidR="002A01CF" w:rsidRPr="002C6277" w:rsidRDefault="00A574A3" w:rsidP="00350874">
            <w:pPr>
              <w:rPr>
                <w:rFonts w:ascii="Calibri" w:hAnsi="Calibri"/>
                <w:szCs w:val="22"/>
              </w:rPr>
            </w:pPr>
            <w:r w:rsidRPr="00A574A3">
              <w:rPr>
                <w:rFonts w:ascii="Calibri" w:hAnsi="Calibri"/>
                <w:szCs w:val="22"/>
              </w:rPr>
              <w:t>4 Kayley Terrace Main Street Grindleton BB7 4QX</w:t>
            </w:r>
          </w:p>
        </w:tc>
      </w:tr>
      <w:tr w:rsidR="00A95D89" w:rsidRPr="00D2449B" w14:paraId="3FB99B2E"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1FFDD59" w:rsidR="002A01CF" w:rsidRPr="00131E7C" w:rsidRDefault="00B569A9">
            <w:pPr>
              <w:rPr>
                <w:rFonts w:ascii="Calibri" w:hAnsi="Calibri"/>
                <w:bCs/>
                <w:szCs w:val="22"/>
              </w:rPr>
            </w:pPr>
            <w:r>
              <w:rPr>
                <w:rFonts w:ascii="Calibri" w:hAnsi="Calibri"/>
                <w:bCs/>
                <w:szCs w:val="22"/>
              </w:rPr>
              <w:t>Grindleton PC – no objection</w:t>
            </w:r>
          </w:p>
        </w:tc>
      </w:tr>
      <w:tr w:rsidR="00C618DB" w:rsidRPr="00D2449B" w14:paraId="639E958B"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C2B2D" w:rsidRPr="00D2449B" w14:paraId="1EA955B4" w14:textId="77777777" w:rsidTr="001E4DF2">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555A92" w14:textId="77777777" w:rsidR="00350874" w:rsidRDefault="00B569A9">
            <w:pPr>
              <w:rPr>
                <w:rFonts w:ascii="Calibri" w:hAnsi="Calibri"/>
                <w:szCs w:val="22"/>
              </w:rPr>
            </w:pPr>
            <w:r>
              <w:rPr>
                <w:rFonts w:ascii="Calibri" w:hAnsi="Calibri"/>
                <w:szCs w:val="22"/>
              </w:rPr>
              <w:t xml:space="preserve">LCC Highways (revised response 31/5/22) – no objection </w:t>
            </w:r>
          </w:p>
          <w:p w14:paraId="26439175" w14:textId="77777777" w:rsidR="00B569A9" w:rsidRDefault="00B569A9">
            <w:pPr>
              <w:rPr>
                <w:rFonts w:ascii="Calibri" w:hAnsi="Calibri"/>
                <w:bCs/>
                <w:szCs w:val="22"/>
              </w:rPr>
            </w:pPr>
          </w:p>
          <w:p w14:paraId="1C95173E" w14:textId="1D3AED15" w:rsidR="00B569A9" w:rsidRPr="003C2B2D" w:rsidRDefault="00B569A9">
            <w:pPr>
              <w:rPr>
                <w:rFonts w:ascii="Calibri" w:hAnsi="Calibri"/>
                <w:bCs/>
                <w:szCs w:val="22"/>
              </w:rPr>
            </w:pPr>
            <w:r>
              <w:rPr>
                <w:rFonts w:ascii="Calibri" w:hAnsi="Calibri"/>
                <w:bCs/>
                <w:szCs w:val="22"/>
              </w:rPr>
              <w:t>LCC Archaeology – building not considered to have archaeological/historic interest</w:t>
            </w:r>
          </w:p>
        </w:tc>
      </w:tr>
      <w:tr w:rsidR="00C0704D" w:rsidRPr="00D2449B" w14:paraId="62663AA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F8C6F83" w:rsidR="00C0704D" w:rsidRPr="00C0704D" w:rsidRDefault="00B569A9" w:rsidP="00692B60">
            <w:pPr>
              <w:rPr>
                <w:rFonts w:ascii="Calibri" w:hAnsi="Calibri"/>
                <w:szCs w:val="22"/>
              </w:rPr>
            </w:pPr>
            <w:r>
              <w:rPr>
                <w:rFonts w:ascii="Calibri" w:hAnsi="Calibri"/>
                <w:szCs w:val="22"/>
              </w:rPr>
              <w:t>One letter of objection received from a neighbouring property raising concerns regarding increased noise, demand for parking, disturbance during construction, loss of sunlight</w:t>
            </w:r>
            <w:r w:rsidR="008F5C18">
              <w:rPr>
                <w:rFonts w:ascii="Calibri" w:hAnsi="Calibri"/>
                <w:szCs w:val="22"/>
              </w:rPr>
              <w:t xml:space="preserve"> from use of rear patio area, impact on access arrangements</w:t>
            </w:r>
          </w:p>
        </w:tc>
      </w:tr>
      <w:tr w:rsidR="00C0704D" w:rsidRPr="00D2449B" w14:paraId="1CDFA4C3"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F7E9249" w14:textId="499EFD55" w:rsidR="003C2B2D" w:rsidRDefault="003C2B2D" w:rsidP="003C2B2D">
            <w:pPr>
              <w:rPr>
                <w:rFonts w:ascii="Calibri" w:hAnsi="Calibri"/>
                <w:bCs/>
                <w:szCs w:val="22"/>
              </w:rPr>
            </w:pPr>
            <w:r w:rsidRPr="003C2B2D">
              <w:rPr>
                <w:rFonts w:ascii="Calibri" w:hAnsi="Calibri"/>
                <w:bCs/>
                <w:szCs w:val="22"/>
              </w:rPr>
              <w:t>Key Statement EN5: Heritage Assets</w:t>
            </w:r>
          </w:p>
          <w:p w14:paraId="05BEC66D" w14:textId="025A1D6D" w:rsidR="003C2B2D" w:rsidRDefault="003C2B2D" w:rsidP="003C2B2D">
            <w:pPr>
              <w:rPr>
                <w:rFonts w:ascii="Calibri" w:hAnsi="Calibri"/>
                <w:bCs/>
                <w:szCs w:val="22"/>
              </w:rPr>
            </w:pPr>
            <w:r w:rsidRPr="003C2B2D">
              <w:rPr>
                <w:rFonts w:ascii="Calibri" w:hAnsi="Calibri"/>
                <w:bCs/>
                <w:szCs w:val="22"/>
              </w:rPr>
              <w:t xml:space="preserve">Policy DMG1: General Considerations </w:t>
            </w:r>
          </w:p>
          <w:p w14:paraId="38686E38" w14:textId="094B38AF" w:rsidR="008F5C18" w:rsidRDefault="008F5C18" w:rsidP="008F5C18">
            <w:pPr>
              <w:rPr>
                <w:rFonts w:ascii="Calibri" w:hAnsi="Calibri"/>
                <w:bCs/>
                <w:szCs w:val="22"/>
              </w:rPr>
            </w:pPr>
            <w:r w:rsidRPr="003C2B2D">
              <w:rPr>
                <w:rFonts w:ascii="Calibri" w:hAnsi="Calibri"/>
                <w:bCs/>
                <w:szCs w:val="22"/>
              </w:rPr>
              <w:t>Policy DMG</w:t>
            </w:r>
            <w:r>
              <w:rPr>
                <w:rFonts w:ascii="Calibri" w:hAnsi="Calibri"/>
                <w:bCs/>
                <w:szCs w:val="22"/>
              </w:rPr>
              <w:t>2</w:t>
            </w:r>
            <w:r w:rsidRPr="003C2B2D">
              <w:rPr>
                <w:rFonts w:ascii="Calibri" w:hAnsi="Calibri"/>
                <w:bCs/>
                <w:szCs w:val="22"/>
              </w:rPr>
              <w:t xml:space="preserve">: </w:t>
            </w:r>
            <w:r>
              <w:rPr>
                <w:rFonts w:ascii="Calibri" w:hAnsi="Calibri"/>
                <w:bCs/>
                <w:szCs w:val="22"/>
              </w:rPr>
              <w:t>Strategic</w:t>
            </w:r>
            <w:r w:rsidRPr="003C2B2D">
              <w:rPr>
                <w:rFonts w:ascii="Calibri" w:hAnsi="Calibri"/>
                <w:bCs/>
                <w:szCs w:val="22"/>
              </w:rPr>
              <w:t xml:space="preserve"> Considerations </w:t>
            </w:r>
          </w:p>
          <w:p w14:paraId="5EBBEA60" w14:textId="0D296737" w:rsidR="008F5C18" w:rsidRDefault="008F5C18" w:rsidP="008F5C18">
            <w:pPr>
              <w:rPr>
                <w:rFonts w:ascii="Calibri" w:hAnsi="Calibri"/>
                <w:bCs/>
                <w:szCs w:val="22"/>
              </w:rPr>
            </w:pPr>
            <w:r w:rsidRPr="003C2B2D">
              <w:rPr>
                <w:rFonts w:ascii="Calibri" w:hAnsi="Calibri"/>
                <w:bCs/>
                <w:szCs w:val="22"/>
              </w:rPr>
              <w:t>Policy DMG</w:t>
            </w:r>
            <w:r>
              <w:rPr>
                <w:rFonts w:ascii="Calibri" w:hAnsi="Calibri"/>
                <w:bCs/>
                <w:szCs w:val="22"/>
              </w:rPr>
              <w:t>3</w:t>
            </w:r>
            <w:r w:rsidRPr="003C2B2D">
              <w:rPr>
                <w:rFonts w:ascii="Calibri" w:hAnsi="Calibri"/>
                <w:bCs/>
                <w:szCs w:val="22"/>
              </w:rPr>
              <w:t xml:space="preserve">: </w:t>
            </w:r>
            <w:r>
              <w:rPr>
                <w:rFonts w:ascii="Calibri" w:hAnsi="Calibri"/>
                <w:bCs/>
                <w:szCs w:val="22"/>
              </w:rPr>
              <w:t>Transport and Mobility</w:t>
            </w:r>
            <w:r w:rsidRPr="003C2B2D">
              <w:rPr>
                <w:rFonts w:ascii="Calibri" w:hAnsi="Calibri"/>
                <w:bCs/>
                <w:szCs w:val="22"/>
              </w:rPr>
              <w:t xml:space="preserve"> </w:t>
            </w:r>
          </w:p>
          <w:p w14:paraId="58EC4572" w14:textId="77777777" w:rsidR="003C2B2D" w:rsidRPr="003C2B2D" w:rsidRDefault="003C2B2D" w:rsidP="003C2B2D">
            <w:pPr>
              <w:rPr>
                <w:rFonts w:ascii="Calibri" w:hAnsi="Calibri"/>
                <w:bCs/>
                <w:szCs w:val="22"/>
              </w:rPr>
            </w:pPr>
            <w:r w:rsidRPr="003C2B2D">
              <w:rPr>
                <w:rFonts w:ascii="Calibri" w:hAnsi="Calibri"/>
                <w:bCs/>
                <w:szCs w:val="22"/>
              </w:rPr>
              <w:t>Policy DME4: Protecting Heritage Assets</w:t>
            </w:r>
          </w:p>
          <w:p w14:paraId="3D29E4EF" w14:textId="77777777" w:rsidR="003C2B2D" w:rsidRPr="003C2B2D" w:rsidRDefault="003C2B2D" w:rsidP="003C2B2D">
            <w:pPr>
              <w:rPr>
                <w:rFonts w:ascii="Calibri" w:hAnsi="Calibri"/>
                <w:bCs/>
                <w:szCs w:val="22"/>
              </w:rPr>
            </w:pPr>
          </w:p>
          <w:p w14:paraId="0B4087A8" w14:textId="77777777" w:rsidR="003C2B2D" w:rsidRPr="003C2B2D" w:rsidRDefault="003C2B2D" w:rsidP="003C2B2D">
            <w:pPr>
              <w:rPr>
                <w:rFonts w:ascii="Calibri" w:hAnsi="Calibri"/>
                <w:bCs/>
                <w:szCs w:val="22"/>
              </w:rPr>
            </w:pPr>
            <w:r w:rsidRPr="003C2B2D">
              <w:rPr>
                <w:rFonts w:ascii="Calibri" w:hAnsi="Calibri"/>
                <w:bCs/>
                <w:szCs w:val="22"/>
              </w:rPr>
              <w:t>NPPF – Chapter 16</w:t>
            </w:r>
          </w:p>
          <w:p w14:paraId="45A101E9" w14:textId="77777777" w:rsidR="003C2B2D" w:rsidRPr="003C2B2D" w:rsidRDefault="003C2B2D" w:rsidP="003C2B2D">
            <w:pPr>
              <w:rPr>
                <w:rFonts w:ascii="Calibri" w:hAnsi="Calibri"/>
                <w:bCs/>
                <w:szCs w:val="22"/>
              </w:rPr>
            </w:pPr>
          </w:p>
          <w:p w14:paraId="0F96CBE9" w14:textId="1FA661CC" w:rsidR="008542DE" w:rsidRPr="00FB7C8D" w:rsidRDefault="003C2B2D" w:rsidP="003C2B2D">
            <w:pPr>
              <w:rPr>
                <w:rFonts w:ascii="Calibri" w:hAnsi="Calibri"/>
                <w:bCs/>
                <w:szCs w:val="22"/>
              </w:rPr>
            </w:pPr>
            <w:r w:rsidRPr="003C2B2D">
              <w:rPr>
                <w:rFonts w:ascii="Calibri" w:hAnsi="Calibri"/>
                <w:bCs/>
                <w:szCs w:val="22"/>
              </w:rPr>
              <w:t>Planning (Listed Buildings and Conservation Areas) Act 1990: Sections 66</w:t>
            </w:r>
            <w:r w:rsidR="00452633">
              <w:rPr>
                <w:rFonts w:ascii="Calibri" w:hAnsi="Calibri"/>
                <w:bCs/>
                <w:szCs w:val="22"/>
              </w:rPr>
              <w:t xml:space="preserve"> and 72</w:t>
            </w:r>
          </w:p>
          <w:p w14:paraId="6C4C318E" w14:textId="57615300" w:rsidR="003C2B2D" w:rsidRPr="00D2449B" w:rsidRDefault="003C2B2D" w:rsidP="003C2B2D">
            <w:pPr>
              <w:rPr>
                <w:rFonts w:ascii="Calibri" w:hAnsi="Calibri"/>
                <w:b/>
                <w:szCs w:val="22"/>
              </w:rPr>
            </w:pPr>
          </w:p>
        </w:tc>
      </w:tr>
      <w:tr w:rsidR="00C0704D" w:rsidRPr="00D2449B" w14:paraId="08181FD6"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004B3" w14:textId="6AE6AA6D" w:rsidR="0004003D" w:rsidRDefault="00C0704D" w:rsidP="00C0704D">
            <w:pPr>
              <w:pStyle w:val="PLANNING"/>
              <w:rPr>
                <w:rFonts w:ascii="Calibri" w:hAnsi="Calibri"/>
                <w:b/>
                <w:bCs/>
                <w:szCs w:val="22"/>
              </w:rPr>
            </w:pPr>
            <w:r w:rsidRPr="006A71AD">
              <w:rPr>
                <w:rFonts w:ascii="Calibri" w:hAnsi="Calibri"/>
                <w:b/>
                <w:bCs/>
                <w:szCs w:val="22"/>
              </w:rPr>
              <w:t>Relevant Planning History:</w:t>
            </w:r>
          </w:p>
          <w:p w14:paraId="5010E8FF" w14:textId="1F86F788" w:rsidR="0004003D" w:rsidRDefault="0004003D" w:rsidP="00C0704D">
            <w:pPr>
              <w:pStyle w:val="PLANNING"/>
              <w:rPr>
                <w:rFonts w:ascii="Calibri" w:hAnsi="Calibri"/>
                <w:b/>
                <w:bCs/>
                <w:szCs w:val="22"/>
              </w:rPr>
            </w:pPr>
          </w:p>
          <w:p w14:paraId="17147D50" w14:textId="14322839" w:rsidR="00350874" w:rsidRPr="00E432C1" w:rsidRDefault="00A574A3" w:rsidP="00FB7C8D">
            <w:pPr>
              <w:pStyle w:val="PLANNING"/>
              <w:rPr>
                <w:rFonts w:asciiTheme="minorHAnsi" w:hAnsiTheme="minorHAnsi" w:cstheme="minorHAnsi"/>
                <w:szCs w:val="22"/>
              </w:rPr>
            </w:pPr>
            <w:r>
              <w:rPr>
                <w:rFonts w:asciiTheme="minorHAnsi" w:hAnsiTheme="minorHAnsi" w:cstheme="minorHAnsi"/>
                <w:szCs w:val="22"/>
              </w:rPr>
              <w:t>None</w:t>
            </w:r>
          </w:p>
        </w:tc>
      </w:tr>
      <w:tr w:rsidR="00C0704D" w:rsidRPr="00D2449B" w14:paraId="6AAC3B0A"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2F1115CE" w:rsidR="00C0704D" w:rsidRDefault="00C0704D" w:rsidP="00811771">
            <w:pPr>
              <w:pStyle w:val="Header"/>
              <w:tabs>
                <w:tab w:val="clear" w:pos="4153"/>
                <w:tab w:val="clear" w:pos="8306"/>
              </w:tabs>
              <w:contextualSpacing/>
              <w:jc w:val="both"/>
              <w:rPr>
                <w:rFonts w:ascii="Calibri" w:hAnsi="Calibri"/>
                <w:bCs/>
                <w:szCs w:val="22"/>
              </w:rPr>
            </w:pPr>
          </w:p>
          <w:p w14:paraId="001988D1" w14:textId="0428859A" w:rsidR="00C0704D" w:rsidRDefault="00E432C1" w:rsidP="00774DDB">
            <w:pPr>
              <w:pStyle w:val="Header"/>
              <w:tabs>
                <w:tab w:val="left" w:pos="720"/>
              </w:tabs>
              <w:jc w:val="both"/>
              <w:rPr>
                <w:rFonts w:ascii="Calibri" w:hAnsi="Calibri"/>
                <w:bCs/>
                <w:szCs w:val="22"/>
              </w:rPr>
            </w:pPr>
            <w:r>
              <w:rPr>
                <w:rFonts w:ascii="Calibri" w:hAnsi="Calibri"/>
                <w:bCs/>
                <w:szCs w:val="22"/>
              </w:rPr>
              <w:lastRenderedPageBreak/>
              <w:t>The subject property</w:t>
            </w:r>
            <w:r w:rsidR="00FB7C8D">
              <w:rPr>
                <w:rFonts w:ascii="Calibri" w:hAnsi="Calibri"/>
                <w:bCs/>
                <w:szCs w:val="22"/>
              </w:rPr>
              <w:t xml:space="preserve"> is </w:t>
            </w:r>
            <w:r w:rsidR="00774DDB">
              <w:rPr>
                <w:rFonts w:ascii="Calibri" w:hAnsi="Calibri"/>
                <w:bCs/>
                <w:szCs w:val="22"/>
              </w:rPr>
              <w:t>a two-storey</w:t>
            </w:r>
            <w:r w:rsidR="000B1598">
              <w:rPr>
                <w:rFonts w:ascii="Calibri" w:hAnsi="Calibri"/>
                <w:bCs/>
                <w:szCs w:val="22"/>
              </w:rPr>
              <w:t>,</w:t>
            </w:r>
            <w:r w:rsidR="00774DDB">
              <w:rPr>
                <w:rFonts w:ascii="Calibri" w:hAnsi="Calibri"/>
                <w:bCs/>
                <w:szCs w:val="22"/>
              </w:rPr>
              <w:t xml:space="preserve"> end terrace</w:t>
            </w:r>
            <w:r w:rsidR="000B1598">
              <w:rPr>
                <w:rFonts w:ascii="Calibri" w:hAnsi="Calibri"/>
                <w:bCs/>
                <w:szCs w:val="22"/>
              </w:rPr>
              <w:t>d,</w:t>
            </w:r>
            <w:r w:rsidR="00774DDB">
              <w:rPr>
                <w:rFonts w:ascii="Calibri" w:hAnsi="Calibri"/>
                <w:bCs/>
                <w:szCs w:val="22"/>
              </w:rPr>
              <w:t xml:space="preserve"> </w:t>
            </w:r>
            <w:r w:rsidR="000B1598">
              <w:rPr>
                <w:rFonts w:ascii="Calibri" w:hAnsi="Calibri"/>
                <w:bCs/>
                <w:szCs w:val="22"/>
              </w:rPr>
              <w:t xml:space="preserve">stone fronted </w:t>
            </w:r>
            <w:r w:rsidR="00774DDB">
              <w:rPr>
                <w:rFonts w:ascii="Calibri" w:hAnsi="Calibri"/>
                <w:bCs/>
                <w:szCs w:val="22"/>
              </w:rPr>
              <w:t xml:space="preserve">property (constructed 1840s) with a detached garage to the side (constructed early 1950s) fronting onto Main Street. </w:t>
            </w:r>
            <w:r w:rsidR="00FB7C8D">
              <w:rPr>
                <w:rFonts w:ascii="Calibri" w:hAnsi="Calibri"/>
                <w:bCs/>
                <w:szCs w:val="22"/>
              </w:rPr>
              <w:t xml:space="preserve"> </w:t>
            </w:r>
            <w:r w:rsidR="00774DDB">
              <w:rPr>
                <w:rFonts w:ascii="Calibri" w:hAnsi="Calibri"/>
                <w:bCs/>
                <w:szCs w:val="22"/>
              </w:rPr>
              <w:t>The ground floor consists of a living room to the front and rear kitchen/living room. A central staircase leads to two bedrooms</w:t>
            </w:r>
            <w:r w:rsidR="00A25D77">
              <w:rPr>
                <w:rFonts w:ascii="Calibri" w:hAnsi="Calibri"/>
                <w:bCs/>
                <w:szCs w:val="22"/>
              </w:rPr>
              <w:t xml:space="preserve"> at first floor</w:t>
            </w:r>
            <w:r w:rsidR="00774DDB">
              <w:rPr>
                <w:rFonts w:ascii="Calibri" w:hAnsi="Calibri"/>
                <w:bCs/>
                <w:szCs w:val="22"/>
              </w:rPr>
              <w:t xml:space="preserve">, with the original rear bedroom having </w:t>
            </w:r>
            <w:r w:rsidR="002647B5">
              <w:rPr>
                <w:rFonts w:ascii="Calibri" w:hAnsi="Calibri"/>
                <w:bCs/>
                <w:szCs w:val="22"/>
              </w:rPr>
              <w:t>been</w:t>
            </w:r>
            <w:r w:rsidR="00774DDB">
              <w:rPr>
                <w:rFonts w:ascii="Calibri" w:hAnsi="Calibri"/>
                <w:bCs/>
                <w:szCs w:val="22"/>
              </w:rPr>
              <w:t xml:space="preserve"> subdivided to </w:t>
            </w:r>
            <w:r w:rsidR="002647B5">
              <w:rPr>
                <w:rFonts w:ascii="Calibri" w:hAnsi="Calibri"/>
                <w:bCs/>
                <w:szCs w:val="22"/>
              </w:rPr>
              <w:t>create</w:t>
            </w:r>
            <w:r w:rsidR="00774DDB">
              <w:rPr>
                <w:rFonts w:ascii="Calibri" w:hAnsi="Calibri"/>
                <w:bCs/>
                <w:szCs w:val="22"/>
              </w:rPr>
              <w:t xml:space="preserve"> a bathroom and smaller bedroom. The property lies within the centre of the village, Conservation Area and AONB. Nearby designated buildings include the Duke of York, Townley House and Swindlehurst Farmhouse (all Grade II Listed).</w:t>
            </w:r>
          </w:p>
          <w:p w14:paraId="62370E9F" w14:textId="46CB4B6E" w:rsidR="00774DDB" w:rsidRPr="006C2BFA" w:rsidRDefault="00774DDB" w:rsidP="00774DDB">
            <w:pPr>
              <w:pStyle w:val="Header"/>
              <w:tabs>
                <w:tab w:val="left" w:pos="720"/>
              </w:tabs>
              <w:jc w:val="both"/>
              <w:rPr>
                <w:rFonts w:ascii="Calibri" w:hAnsi="Calibri"/>
                <w:bCs/>
                <w:szCs w:val="22"/>
              </w:rPr>
            </w:pPr>
          </w:p>
        </w:tc>
      </w:tr>
      <w:tr w:rsidR="00C0704D" w:rsidRPr="00D2449B" w14:paraId="408C6380"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601B650A"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31B6655E" w:rsidR="00C0704D" w:rsidRDefault="00C0704D" w:rsidP="00440CB6">
            <w:pPr>
              <w:pStyle w:val="Header"/>
              <w:tabs>
                <w:tab w:val="clear" w:pos="4153"/>
                <w:tab w:val="clear" w:pos="8306"/>
              </w:tabs>
              <w:jc w:val="both"/>
              <w:rPr>
                <w:rFonts w:ascii="Calibri" w:hAnsi="Calibri"/>
                <w:b/>
                <w:szCs w:val="22"/>
              </w:rPr>
            </w:pPr>
          </w:p>
          <w:p w14:paraId="3141FADE" w14:textId="30D1CCBD" w:rsidR="00A25D77" w:rsidRDefault="00774DDB" w:rsidP="00C17932">
            <w:pPr>
              <w:pStyle w:val="Header"/>
              <w:rPr>
                <w:rFonts w:ascii="Calibri" w:hAnsi="Calibri"/>
                <w:bCs/>
                <w:szCs w:val="22"/>
              </w:rPr>
            </w:pPr>
            <w:r>
              <w:rPr>
                <w:rFonts w:ascii="Calibri" w:hAnsi="Calibri"/>
                <w:bCs/>
                <w:szCs w:val="22"/>
              </w:rPr>
              <w:t xml:space="preserve">Change of use </w:t>
            </w:r>
            <w:r w:rsidR="00A25D77">
              <w:rPr>
                <w:rFonts w:ascii="Calibri" w:hAnsi="Calibri"/>
                <w:bCs/>
                <w:szCs w:val="22"/>
              </w:rPr>
              <w:t xml:space="preserve">from a dwelling to a local history archive and </w:t>
            </w:r>
            <w:r w:rsidR="00FB1915">
              <w:rPr>
                <w:rFonts w:ascii="Calibri" w:hAnsi="Calibri"/>
                <w:bCs/>
                <w:szCs w:val="22"/>
              </w:rPr>
              <w:t>research room</w:t>
            </w:r>
            <w:r w:rsidR="00A25D77">
              <w:rPr>
                <w:rFonts w:ascii="Calibri" w:hAnsi="Calibri"/>
                <w:bCs/>
                <w:szCs w:val="22"/>
              </w:rPr>
              <w:t xml:space="preserve"> on the ground floor and a one bedroom flat at first floor. External alterations are also indicated on the plan/application form to include re-rendering of side and rear elevations, re-roofing of main building and garage, new windows and door to front elevation</w:t>
            </w:r>
            <w:r w:rsidR="002647B5">
              <w:rPr>
                <w:rFonts w:ascii="Calibri" w:hAnsi="Calibri"/>
                <w:bCs/>
                <w:szCs w:val="22"/>
              </w:rPr>
              <w:t xml:space="preserve"> (</w:t>
            </w:r>
            <w:r w:rsidR="00E16658">
              <w:rPr>
                <w:rFonts w:ascii="Calibri" w:hAnsi="Calibri"/>
                <w:bCs/>
                <w:szCs w:val="22"/>
              </w:rPr>
              <w:t xml:space="preserve">white painted </w:t>
            </w:r>
            <w:r w:rsidR="002647B5">
              <w:rPr>
                <w:rFonts w:ascii="Calibri" w:hAnsi="Calibri"/>
                <w:bCs/>
                <w:szCs w:val="22"/>
              </w:rPr>
              <w:t>timber, double glazed, four pane sash at the front)</w:t>
            </w:r>
            <w:r w:rsidR="00A25D77">
              <w:rPr>
                <w:rFonts w:ascii="Calibri" w:hAnsi="Calibri"/>
                <w:bCs/>
                <w:szCs w:val="22"/>
              </w:rPr>
              <w:t xml:space="preserve">. </w:t>
            </w:r>
          </w:p>
          <w:p w14:paraId="37C5AA59" w14:textId="77777777" w:rsidR="00A25D77" w:rsidRDefault="00A25D77" w:rsidP="00C17932">
            <w:pPr>
              <w:pStyle w:val="Header"/>
              <w:rPr>
                <w:rFonts w:ascii="Calibri" w:hAnsi="Calibri"/>
                <w:bCs/>
                <w:szCs w:val="22"/>
              </w:rPr>
            </w:pPr>
          </w:p>
          <w:p w14:paraId="1B20488F" w14:textId="6C387942" w:rsidR="00C17932" w:rsidRPr="00D54E67" w:rsidRDefault="00A25D77" w:rsidP="00A25D77">
            <w:pPr>
              <w:pStyle w:val="Header"/>
              <w:rPr>
                <w:rFonts w:ascii="Calibri" w:hAnsi="Calibri"/>
                <w:szCs w:val="22"/>
              </w:rPr>
            </w:pPr>
            <w:r>
              <w:rPr>
                <w:rFonts w:ascii="Calibri" w:hAnsi="Calibri"/>
                <w:bCs/>
                <w:szCs w:val="22"/>
              </w:rPr>
              <w:t xml:space="preserve">After concerns were raised about the absence of a bat survey the applicant </w:t>
            </w:r>
            <w:r w:rsidR="000B1598">
              <w:rPr>
                <w:rFonts w:ascii="Calibri" w:hAnsi="Calibri"/>
                <w:bCs/>
                <w:szCs w:val="22"/>
              </w:rPr>
              <w:t>agreed with the case officer</w:t>
            </w:r>
            <w:r>
              <w:rPr>
                <w:rFonts w:ascii="Calibri" w:hAnsi="Calibri"/>
                <w:bCs/>
                <w:szCs w:val="22"/>
              </w:rPr>
              <w:t xml:space="preserve"> that the maintenance works to the roof are to be omitted</w:t>
            </w:r>
            <w:r w:rsidR="000B1598">
              <w:rPr>
                <w:rFonts w:ascii="Calibri" w:hAnsi="Calibri"/>
                <w:bCs/>
                <w:szCs w:val="22"/>
              </w:rPr>
              <w:t xml:space="preserve"> from this application</w:t>
            </w:r>
            <w:r>
              <w:rPr>
                <w:rFonts w:ascii="Calibri" w:hAnsi="Calibri"/>
                <w:bCs/>
                <w:szCs w:val="22"/>
              </w:rPr>
              <w:t xml:space="preserve">. </w:t>
            </w:r>
            <w:r w:rsidR="00E16658">
              <w:rPr>
                <w:rFonts w:ascii="Calibri" w:hAnsi="Calibri"/>
                <w:bCs/>
                <w:szCs w:val="22"/>
              </w:rPr>
              <w:t>Re-rendering is also not being carried out as part of this application.</w:t>
            </w:r>
          </w:p>
        </w:tc>
      </w:tr>
      <w:tr w:rsidR="00B8307F" w:rsidRPr="00D2449B" w14:paraId="7AA4E370"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B63ADF" w14:textId="77777777" w:rsidR="00B8307F" w:rsidRPr="00B8307F" w:rsidRDefault="00B8307F" w:rsidP="00B8307F">
            <w:pPr>
              <w:pStyle w:val="Header"/>
              <w:rPr>
                <w:rFonts w:ascii="Calibri" w:hAnsi="Calibri"/>
                <w:b/>
                <w:szCs w:val="22"/>
              </w:rPr>
            </w:pPr>
            <w:r w:rsidRPr="00B8307F">
              <w:rPr>
                <w:rFonts w:ascii="Calibri" w:hAnsi="Calibri"/>
                <w:b/>
                <w:szCs w:val="22"/>
              </w:rPr>
              <w:t>Principle of Development:</w:t>
            </w:r>
          </w:p>
          <w:p w14:paraId="43FD482A" w14:textId="77777777" w:rsidR="00B8307F" w:rsidRPr="00B8307F" w:rsidRDefault="00B8307F" w:rsidP="00B8307F">
            <w:pPr>
              <w:pStyle w:val="Header"/>
              <w:rPr>
                <w:rFonts w:ascii="Calibri" w:hAnsi="Calibri"/>
                <w:b/>
                <w:szCs w:val="22"/>
              </w:rPr>
            </w:pPr>
          </w:p>
          <w:p w14:paraId="010C1CFB" w14:textId="16DAE3D4" w:rsidR="002647B5" w:rsidRDefault="002647B5" w:rsidP="002647B5">
            <w:pPr>
              <w:pStyle w:val="Header"/>
              <w:rPr>
                <w:rFonts w:ascii="Calibri" w:hAnsi="Calibri"/>
                <w:bCs/>
                <w:szCs w:val="22"/>
              </w:rPr>
            </w:pPr>
            <w:r>
              <w:rPr>
                <w:rFonts w:ascii="Calibri" w:hAnsi="Calibri"/>
                <w:bCs/>
                <w:szCs w:val="22"/>
              </w:rPr>
              <w:t xml:space="preserve">The development is considered to be a small scale use appropriate to a rural area and </w:t>
            </w:r>
            <w:r w:rsidR="00FB1915">
              <w:rPr>
                <w:rFonts w:ascii="Calibri" w:hAnsi="Calibri"/>
                <w:bCs/>
                <w:szCs w:val="22"/>
              </w:rPr>
              <w:t xml:space="preserve">would </w:t>
            </w:r>
            <w:r>
              <w:rPr>
                <w:rFonts w:ascii="Calibri" w:hAnsi="Calibri"/>
                <w:bCs/>
                <w:szCs w:val="22"/>
              </w:rPr>
              <w:t>provid</w:t>
            </w:r>
            <w:r w:rsidR="00FB1915">
              <w:rPr>
                <w:rFonts w:ascii="Calibri" w:hAnsi="Calibri"/>
                <w:bCs/>
                <w:szCs w:val="22"/>
              </w:rPr>
              <w:t>e</w:t>
            </w:r>
            <w:r>
              <w:rPr>
                <w:rFonts w:ascii="Calibri" w:hAnsi="Calibri"/>
                <w:bCs/>
                <w:szCs w:val="22"/>
              </w:rPr>
              <w:t xml:space="preserve"> a community benefit by </w:t>
            </w:r>
            <w:r w:rsidR="00FB1915">
              <w:rPr>
                <w:rFonts w:ascii="Calibri" w:hAnsi="Calibri"/>
                <w:bCs/>
                <w:szCs w:val="22"/>
              </w:rPr>
              <w:t>providing a facility for the Grindleton Historical Society. The proposal is considered to be</w:t>
            </w:r>
            <w:r>
              <w:rPr>
                <w:rFonts w:ascii="Calibri" w:hAnsi="Calibri"/>
                <w:bCs/>
                <w:szCs w:val="22"/>
              </w:rPr>
              <w:t xml:space="preserve"> low key and sympathetic to neighbouring land uses.</w:t>
            </w:r>
            <w:r w:rsidR="00FB1915">
              <w:rPr>
                <w:rFonts w:ascii="Calibri" w:hAnsi="Calibri"/>
                <w:bCs/>
                <w:szCs w:val="22"/>
              </w:rPr>
              <w:t xml:space="preserve"> As such policies DMG1 and DMG2 are satisfied in terms of the principle of development being acceptable. </w:t>
            </w:r>
            <w:r>
              <w:rPr>
                <w:rFonts w:ascii="Calibri" w:hAnsi="Calibri"/>
                <w:bCs/>
                <w:szCs w:val="22"/>
              </w:rPr>
              <w:t xml:space="preserve"> </w:t>
            </w:r>
          </w:p>
          <w:p w14:paraId="6006A997" w14:textId="73BCEB8A" w:rsidR="00FB1915" w:rsidRDefault="00FB1915" w:rsidP="00A25D77">
            <w:pPr>
              <w:pStyle w:val="Header"/>
              <w:jc w:val="both"/>
              <w:rPr>
                <w:rFonts w:ascii="Calibri" w:hAnsi="Calibri"/>
                <w:b/>
                <w:szCs w:val="22"/>
              </w:rPr>
            </w:pPr>
          </w:p>
        </w:tc>
      </w:tr>
      <w:tr w:rsidR="008542DE" w:rsidRPr="00D2449B" w14:paraId="2540EE5C"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0FB2E0" w14:textId="3D30A3D6" w:rsidR="009C3D71" w:rsidRDefault="009C3D71" w:rsidP="009C3D71">
            <w:pPr>
              <w:pStyle w:val="Header"/>
              <w:tabs>
                <w:tab w:val="left" w:pos="720"/>
              </w:tabs>
              <w:jc w:val="both"/>
              <w:rPr>
                <w:rFonts w:ascii="Calibri" w:hAnsi="Calibri"/>
                <w:b/>
                <w:szCs w:val="22"/>
              </w:rPr>
            </w:pPr>
            <w:r>
              <w:rPr>
                <w:rFonts w:ascii="Calibri" w:hAnsi="Calibri"/>
                <w:b/>
                <w:szCs w:val="22"/>
              </w:rPr>
              <w:t xml:space="preserve">Impact upon the special architectural and historic interest </w:t>
            </w:r>
            <w:r w:rsidR="00B805F1">
              <w:rPr>
                <w:rFonts w:ascii="Calibri" w:hAnsi="Calibri"/>
                <w:b/>
                <w:szCs w:val="22"/>
              </w:rPr>
              <w:t>o</w:t>
            </w:r>
            <w:r w:rsidR="00FB1915">
              <w:rPr>
                <w:rFonts w:ascii="Calibri" w:hAnsi="Calibri"/>
                <w:b/>
                <w:szCs w:val="22"/>
              </w:rPr>
              <w:t>f</w:t>
            </w:r>
            <w:r w:rsidR="00B805F1">
              <w:rPr>
                <w:rFonts w:ascii="Calibri" w:hAnsi="Calibri"/>
                <w:b/>
                <w:szCs w:val="22"/>
              </w:rPr>
              <w:t xml:space="preserve"> the conservation area and on nearby listed buildings</w:t>
            </w:r>
          </w:p>
          <w:p w14:paraId="644E1E81" w14:textId="77777777" w:rsidR="009C3D71" w:rsidRDefault="009C3D71" w:rsidP="009C3D71">
            <w:pPr>
              <w:pStyle w:val="Header"/>
              <w:tabs>
                <w:tab w:val="left" w:pos="720"/>
              </w:tabs>
              <w:jc w:val="both"/>
              <w:rPr>
                <w:rFonts w:ascii="Calibri" w:hAnsi="Calibri"/>
                <w:b/>
                <w:szCs w:val="22"/>
              </w:rPr>
            </w:pPr>
          </w:p>
          <w:p w14:paraId="31E78D96" w14:textId="77777777" w:rsidR="00A25D77" w:rsidRDefault="00A25D77" w:rsidP="00A25D77">
            <w:pPr>
              <w:pStyle w:val="Header"/>
              <w:rPr>
                <w:rFonts w:ascii="Calibri" w:hAnsi="Calibri"/>
                <w:bCs/>
                <w:szCs w:val="22"/>
              </w:rPr>
            </w:pPr>
            <w:r w:rsidRPr="00B8307F">
              <w:rPr>
                <w:rFonts w:ascii="Calibri" w:hAnsi="Calibri"/>
                <w:bCs/>
                <w:szCs w:val="22"/>
              </w:rPr>
              <w:t xml:space="preserve">The LPA must accord with their duties at sections 66 </w:t>
            </w:r>
            <w:r>
              <w:rPr>
                <w:rFonts w:ascii="Calibri" w:hAnsi="Calibri"/>
                <w:bCs/>
                <w:szCs w:val="22"/>
              </w:rPr>
              <w:t xml:space="preserve">and 72 </w:t>
            </w:r>
            <w:r w:rsidRPr="00B8307F">
              <w:rPr>
                <w:rFonts w:ascii="Calibri" w:hAnsi="Calibri"/>
                <w:bCs/>
                <w:szCs w:val="22"/>
              </w:rPr>
              <w:t>of the Planning (Listed Buildings and Conservation Areas) Act 1990 which state:</w:t>
            </w:r>
          </w:p>
          <w:p w14:paraId="1B2F87CA" w14:textId="77777777" w:rsidR="00A25D77" w:rsidRDefault="00A25D77" w:rsidP="00A25D77">
            <w:pPr>
              <w:pStyle w:val="Header"/>
              <w:rPr>
                <w:rFonts w:ascii="Calibri" w:hAnsi="Calibri"/>
                <w:bCs/>
                <w:szCs w:val="22"/>
              </w:rPr>
            </w:pPr>
          </w:p>
          <w:p w14:paraId="09791120" w14:textId="77777777" w:rsidR="00A25D77" w:rsidRDefault="00A25D77" w:rsidP="00A25D77">
            <w:pPr>
              <w:pStyle w:val="Header"/>
              <w:jc w:val="both"/>
              <w:rPr>
                <w:rFonts w:ascii="Calibri" w:hAnsi="Calibri"/>
                <w:szCs w:val="22"/>
              </w:rPr>
            </w:pPr>
            <w:r w:rsidRPr="00853983">
              <w:rPr>
                <w:rFonts w:ascii="Calibri" w:hAnsi="Calibri"/>
                <w:szCs w:val="22"/>
              </w:rPr>
              <w:t>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0492A9B5" w14:textId="77777777" w:rsidR="00A25D77" w:rsidRDefault="00A25D77" w:rsidP="00A25D77">
            <w:pPr>
              <w:pStyle w:val="Header"/>
              <w:jc w:val="both"/>
              <w:rPr>
                <w:rFonts w:ascii="Calibri" w:hAnsi="Calibri"/>
                <w:szCs w:val="22"/>
              </w:rPr>
            </w:pPr>
          </w:p>
          <w:p w14:paraId="09853742" w14:textId="77777777" w:rsidR="00A25D77" w:rsidRPr="00853983" w:rsidRDefault="00A25D77" w:rsidP="00A25D77">
            <w:pPr>
              <w:pStyle w:val="Header"/>
              <w:jc w:val="both"/>
              <w:rPr>
                <w:rFonts w:ascii="Calibri" w:hAnsi="Calibri"/>
                <w:szCs w:val="22"/>
              </w:rPr>
            </w:pPr>
            <w:r>
              <w:rPr>
                <w:rFonts w:ascii="Calibri" w:hAnsi="Calibri"/>
                <w:szCs w:val="22"/>
              </w:rPr>
              <w:t>72. W</w:t>
            </w:r>
            <w:r w:rsidRPr="00B805F1">
              <w:rPr>
                <w:rFonts w:ascii="Calibri" w:hAnsi="Calibri"/>
                <w:szCs w:val="22"/>
              </w:rPr>
              <w:t>ith respect to any buildings or other land in a conservation area, special attention shall be paid to the desirability of preserving or enhancing the character or appearance of that area.</w:t>
            </w:r>
          </w:p>
          <w:p w14:paraId="56A5A2C9" w14:textId="77777777" w:rsidR="00A25D77" w:rsidRPr="00F90458" w:rsidRDefault="00A25D77" w:rsidP="00A25D77">
            <w:pPr>
              <w:pStyle w:val="Header"/>
              <w:jc w:val="both"/>
              <w:rPr>
                <w:rFonts w:ascii="Calibri" w:hAnsi="Calibri"/>
                <w:szCs w:val="22"/>
                <w:highlight w:val="cyan"/>
              </w:rPr>
            </w:pPr>
          </w:p>
          <w:p w14:paraId="2B62E19F" w14:textId="77777777" w:rsidR="00A25D77" w:rsidRPr="00853983" w:rsidRDefault="00A25D77" w:rsidP="00A25D77">
            <w:pPr>
              <w:pStyle w:val="Header"/>
              <w:jc w:val="both"/>
              <w:rPr>
                <w:rFonts w:ascii="Calibri" w:hAnsi="Calibri"/>
                <w:szCs w:val="22"/>
              </w:rPr>
            </w:pPr>
            <w:r w:rsidRPr="00853983">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0B765A1F" w14:textId="77777777" w:rsidR="00A25D77" w:rsidRPr="00853983" w:rsidRDefault="00A25D77" w:rsidP="00A25D77">
            <w:pPr>
              <w:pStyle w:val="Header"/>
              <w:jc w:val="both"/>
              <w:rPr>
                <w:rFonts w:ascii="Calibri" w:hAnsi="Calibri"/>
                <w:szCs w:val="22"/>
              </w:rPr>
            </w:pPr>
          </w:p>
          <w:p w14:paraId="566C0411" w14:textId="77777777" w:rsidR="00A25D77" w:rsidRPr="00853983" w:rsidRDefault="00A25D77" w:rsidP="00A25D77">
            <w:pPr>
              <w:pStyle w:val="Header"/>
              <w:jc w:val="both"/>
              <w:rPr>
                <w:rFonts w:ascii="Calibri" w:hAnsi="Calibri"/>
                <w:szCs w:val="22"/>
              </w:rPr>
            </w:pPr>
            <w:r w:rsidRPr="00853983">
              <w:rPr>
                <w:rFonts w:ascii="Calibri" w:hAnsi="Calibri"/>
                <w:szCs w:val="22"/>
              </w:rPr>
              <w:t xml:space="preserve">The council should consider any loss of historic fabric to constitute harm, but to make an assessment as to the significance of the asset and apply weight to its conservation accordingly.  </w:t>
            </w:r>
          </w:p>
          <w:p w14:paraId="08E4F1D8" w14:textId="77777777" w:rsidR="00A25D77" w:rsidRPr="00853983" w:rsidRDefault="00A25D77" w:rsidP="00A25D77">
            <w:pPr>
              <w:pStyle w:val="Header"/>
              <w:jc w:val="both"/>
              <w:rPr>
                <w:rFonts w:ascii="Calibri" w:hAnsi="Calibri"/>
                <w:szCs w:val="22"/>
              </w:rPr>
            </w:pPr>
          </w:p>
          <w:p w14:paraId="47103E28" w14:textId="1D0E5B17" w:rsidR="00A25D77" w:rsidRPr="00853983" w:rsidRDefault="00A25D77" w:rsidP="00A25D77">
            <w:pPr>
              <w:pStyle w:val="Header"/>
              <w:jc w:val="both"/>
              <w:rPr>
                <w:rFonts w:ascii="Calibri" w:hAnsi="Calibri"/>
                <w:szCs w:val="22"/>
              </w:rPr>
            </w:pPr>
            <w:r w:rsidRPr="00853983">
              <w:rPr>
                <w:rFonts w:ascii="Calibri" w:hAnsi="Calibri"/>
                <w:szCs w:val="22"/>
              </w:rPr>
              <w:t xml:space="preserve">Para 202 of the NPPF </w:t>
            </w:r>
            <w:r w:rsidR="00FB1915">
              <w:rPr>
                <w:rFonts w:ascii="Calibri" w:hAnsi="Calibri"/>
                <w:szCs w:val="22"/>
              </w:rPr>
              <w:t>requires “</w:t>
            </w:r>
            <w:r w:rsidRPr="00853983">
              <w:rPr>
                <w:rFonts w:ascii="Calibri" w:hAnsi="Calibri"/>
                <w:szCs w:val="22"/>
              </w:rPr>
              <w:t>Where a development proposal will lead to less than substantial harm to the significance of a designated heritage asset, this harm should be weighed against the public benefits of the proposal including, where appropriate, securing its optimum viable use.</w:t>
            </w:r>
            <w:r w:rsidR="00FB1915">
              <w:rPr>
                <w:rFonts w:ascii="Calibri" w:hAnsi="Calibri"/>
                <w:szCs w:val="22"/>
              </w:rPr>
              <w:t>”</w:t>
            </w:r>
          </w:p>
          <w:p w14:paraId="72E5224D" w14:textId="77777777" w:rsidR="00A25D77" w:rsidRDefault="00A25D77" w:rsidP="009C3D71">
            <w:pPr>
              <w:pStyle w:val="Header"/>
              <w:tabs>
                <w:tab w:val="left" w:pos="720"/>
              </w:tabs>
              <w:jc w:val="both"/>
              <w:rPr>
                <w:rFonts w:ascii="Calibri" w:hAnsi="Calibri"/>
                <w:szCs w:val="22"/>
              </w:rPr>
            </w:pPr>
          </w:p>
          <w:p w14:paraId="53AC98FD" w14:textId="65A52A73" w:rsidR="00A25D77" w:rsidRDefault="00EB6D8A" w:rsidP="009C3D71">
            <w:pPr>
              <w:pStyle w:val="Header"/>
              <w:tabs>
                <w:tab w:val="left" w:pos="720"/>
              </w:tabs>
              <w:jc w:val="both"/>
              <w:rPr>
                <w:rFonts w:ascii="Calibri" w:hAnsi="Calibri"/>
                <w:szCs w:val="22"/>
              </w:rPr>
            </w:pPr>
            <w:r>
              <w:rPr>
                <w:rFonts w:ascii="Calibri" w:hAnsi="Calibri"/>
                <w:szCs w:val="22"/>
              </w:rPr>
              <w:t xml:space="preserve">The proposed windows and doors would be constructed in the existing apertures, with the windows being double glazed and constructed of </w:t>
            </w:r>
            <w:r w:rsidR="0075116C">
              <w:rPr>
                <w:rFonts w:ascii="Calibri" w:hAnsi="Calibri"/>
                <w:szCs w:val="22"/>
              </w:rPr>
              <w:t xml:space="preserve">white painted </w:t>
            </w:r>
            <w:r>
              <w:rPr>
                <w:rFonts w:ascii="Calibri" w:hAnsi="Calibri"/>
                <w:szCs w:val="22"/>
              </w:rPr>
              <w:t xml:space="preserve">timber in the style of four pane sash with slender frames </w:t>
            </w:r>
            <w:r>
              <w:rPr>
                <w:rFonts w:ascii="Calibri" w:hAnsi="Calibri"/>
                <w:szCs w:val="22"/>
              </w:rPr>
              <w:lastRenderedPageBreak/>
              <w:t xml:space="preserve">(an improvement to the existing windows and of similar appearance to the windows on neighbouring property No.2). </w:t>
            </w:r>
          </w:p>
          <w:p w14:paraId="0FFF3B9E" w14:textId="77777777" w:rsidR="00A25D77" w:rsidRDefault="00A25D77" w:rsidP="009C3D71">
            <w:pPr>
              <w:pStyle w:val="Header"/>
              <w:tabs>
                <w:tab w:val="left" w:pos="720"/>
              </w:tabs>
              <w:jc w:val="both"/>
              <w:rPr>
                <w:rFonts w:ascii="Calibri" w:hAnsi="Calibri"/>
                <w:szCs w:val="22"/>
              </w:rPr>
            </w:pPr>
          </w:p>
          <w:p w14:paraId="6314D977" w14:textId="18E225B1" w:rsidR="00A25D77" w:rsidRDefault="00EB6D8A" w:rsidP="009C3D71">
            <w:pPr>
              <w:pStyle w:val="Header"/>
              <w:tabs>
                <w:tab w:val="left" w:pos="720"/>
              </w:tabs>
              <w:jc w:val="both"/>
              <w:rPr>
                <w:rFonts w:ascii="Calibri" w:hAnsi="Calibri"/>
                <w:szCs w:val="22"/>
              </w:rPr>
            </w:pPr>
            <w:r>
              <w:rPr>
                <w:rFonts w:ascii="Calibri" w:hAnsi="Calibri"/>
                <w:szCs w:val="22"/>
              </w:rPr>
              <w:t xml:space="preserve">Visually the external alterations are considered to preserve the significance of the conservation area and nearby listed buildings and would not result in any harm to historic fabric. </w:t>
            </w:r>
          </w:p>
          <w:p w14:paraId="632BE018" w14:textId="3628561C" w:rsidR="0046548C" w:rsidRPr="00B8307F" w:rsidRDefault="0046548C" w:rsidP="00EB6D8A">
            <w:pPr>
              <w:pStyle w:val="Header"/>
              <w:tabs>
                <w:tab w:val="left" w:pos="720"/>
              </w:tabs>
              <w:jc w:val="both"/>
              <w:rPr>
                <w:rFonts w:ascii="Calibri" w:hAnsi="Calibri"/>
                <w:bCs/>
                <w:szCs w:val="22"/>
                <w:lang w:val="en-US"/>
              </w:rPr>
            </w:pPr>
          </w:p>
        </w:tc>
      </w:tr>
      <w:tr w:rsidR="00C0704D" w:rsidRPr="00D2449B" w14:paraId="617768F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F7125AD" w14:textId="332F3FF7" w:rsidR="00F03B3F" w:rsidRDefault="00EB6D8A" w:rsidP="00F03B3F">
            <w:pPr>
              <w:contextualSpacing/>
              <w:jc w:val="both"/>
              <w:rPr>
                <w:rFonts w:ascii="Calibri" w:hAnsi="Calibri"/>
                <w:szCs w:val="22"/>
              </w:rPr>
            </w:pPr>
            <w:r>
              <w:rPr>
                <w:rFonts w:ascii="Calibri" w:hAnsi="Calibri"/>
                <w:szCs w:val="22"/>
              </w:rPr>
              <w:t>The applicant has confirmed (email received 26/5/22</w:t>
            </w:r>
            <w:r w:rsidR="0075116C">
              <w:rPr>
                <w:rFonts w:ascii="Calibri" w:hAnsi="Calibri"/>
                <w:szCs w:val="22"/>
              </w:rPr>
              <w:t xml:space="preserve"> and amended plan received 23/1/23</w:t>
            </w:r>
            <w:r>
              <w:rPr>
                <w:rFonts w:ascii="Calibri" w:hAnsi="Calibri"/>
                <w:szCs w:val="22"/>
              </w:rPr>
              <w:t>) that the archive and space is not for meetings</w:t>
            </w:r>
            <w:r w:rsidR="001445CF">
              <w:rPr>
                <w:rFonts w:ascii="Calibri" w:hAnsi="Calibri"/>
                <w:szCs w:val="22"/>
              </w:rPr>
              <w:t>, which will continue to be held in the Grindleton Pavilion</w:t>
            </w:r>
            <w:r>
              <w:rPr>
                <w:rFonts w:ascii="Calibri" w:hAnsi="Calibri"/>
                <w:szCs w:val="22"/>
              </w:rPr>
              <w:t xml:space="preserve">, </w:t>
            </w:r>
            <w:r w:rsidR="001445CF">
              <w:rPr>
                <w:rFonts w:ascii="Calibri" w:hAnsi="Calibri"/>
                <w:szCs w:val="22"/>
              </w:rPr>
              <w:t>the proposal</w:t>
            </w:r>
            <w:r>
              <w:rPr>
                <w:rFonts w:ascii="Calibri" w:hAnsi="Calibri"/>
                <w:szCs w:val="22"/>
              </w:rPr>
              <w:t xml:space="preserve"> is strictly to allow the </w:t>
            </w:r>
            <w:r w:rsidR="001445CF">
              <w:rPr>
                <w:rFonts w:ascii="Calibri" w:hAnsi="Calibri"/>
                <w:szCs w:val="22"/>
              </w:rPr>
              <w:t xml:space="preserve">archive </w:t>
            </w:r>
            <w:r>
              <w:rPr>
                <w:rFonts w:ascii="Calibri" w:hAnsi="Calibri"/>
                <w:szCs w:val="22"/>
              </w:rPr>
              <w:t xml:space="preserve">material to be accessed for </w:t>
            </w:r>
            <w:r w:rsidR="001445CF">
              <w:rPr>
                <w:rFonts w:ascii="Calibri" w:hAnsi="Calibri"/>
                <w:szCs w:val="22"/>
              </w:rPr>
              <w:t xml:space="preserve">research purposes with capacity to accommodate up to four people. The nature and scale of activity </w:t>
            </w:r>
            <w:r w:rsidR="00111E4B">
              <w:rPr>
                <w:rFonts w:ascii="Calibri" w:hAnsi="Calibri"/>
                <w:szCs w:val="22"/>
              </w:rPr>
              <w:t>would be</w:t>
            </w:r>
            <w:r w:rsidR="001445CF">
              <w:rPr>
                <w:rFonts w:ascii="Calibri" w:hAnsi="Calibri"/>
                <w:szCs w:val="22"/>
              </w:rPr>
              <w:t xml:space="preserve"> </w:t>
            </w:r>
            <w:r w:rsidR="00111E4B">
              <w:rPr>
                <w:rFonts w:ascii="Calibri" w:hAnsi="Calibri"/>
                <w:szCs w:val="22"/>
              </w:rPr>
              <w:t xml:space="preserve">akin to a library and is not considered </w:t>
            </w:r>
            <w:r w:rsidR="001445CF">
              <w:rPr>
                <w:rFonts w:ascii="Calibri" w:hAnsi="Calibri"/>
                <w:szCs w:val="22"/>
              </w:rPr>
              <w:t xml:space="preserve">to result in unacceptable noise or disturbance either from use of the building or comings and goings to/from it. Any impact during construction on neighbouring properties will be short-term and temporary. There are no physical works proposed to the rear therefore light to neighbouring properties will not be impacted on. </w:t>
            </w:r>
            <w:r w:rsidR="00111E4B">
              <w:rPr>
                <w:rFonts w:ascii="Calibri" w:hAnsi="Calibri"/>
                <w:szCs w:val="22"/>
              </w:rPr>
              <w:t xml:space="preserve">No additional overlooking issues would arise from the first floor flat.  </w:t>
            </w:r>
            <w:r w:rsidR="001445CF">
              <w:rPr>
                <w:rFonts w:ascii="Calibri" w:hAnsi="Calibri"/>
                <w:szCs w:val="22"/>
              </w:rPr>
              <w:t>The grant of planning permission does not affect any access rights that neighbouring properties may benefit from across an application site. Overall the proposal would result in an acceptable impact on residential amenity in accordance with policy DMG1.</w:t>
            </w:r>
          </w:p>
          <w:p w14:paraId="0DB485A3" w14:textId="664D1E19" w:rsidR="00A43A57" w:rsidRPr="00C0704D" w:rsidRDefault="00A43A57" w:rsidP="00C0704D">
            <w:pPr>
              <w:contextualSpacing/>
              <w:rPr>
                <w:rFonts w:ascii="Calibri" w:hAnsi="Calibri"/>
                <w:szCs w:val="22"/>
              </w:rPr>
            </w:pPr>
          </w:p>
        </w:tc>
      </w:tr>
      <w:tr w:rsidR="00C0704D" w:rsidRPr="00D2449B" w14:paraId="6D877C31"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5000485"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6625FCC" w:rsidR="00C0704D" w:rsidRDefault="00C0704D" w:rsidP="00EA09F9">
            <w:pPr>
              <w:pStyle w:val="Header"/>
              <w:tabs>
                <w:tab w:val="clear" w:pos="4153"/>
                <w:tab w:val="clear" w:pos="8306"/>
              </w:tabs>
              <w:contextualSpacing/>
              <w:jc w:val="both"/>
              <w:rPr>
                <w:rFonts w:ascii="Calibri" w:hAnsi="Calibri"/>
                <w:b/>
                <w:szCs w:val="22"/>
              </w:rPr>
            </w:pPr>
          </w:p>
          <w:p w14:paraId="6701FF95" w14:textId="2C25BB99" w:rsidR="00320468" w:rsidRPr="005654A8" w:rsidRDefault="009022FB" w:rsidP="00EA09F9">
            <w:pPr>
              <w:pStyle w:val="Header"/>
              <w:tabs>
                <w:tab w:val="clear" w:pos="4153"/>
                <w:tab w:val="clear" w:pos="8306"/>
              </w:tabs>
              <w:contextualSpacing/>
              <w:jc w:val="both"/>
              <w:rPr>
                <w:rFonts w:ascii="Calibri" w:hAnsi="Calibri"/>
                <w:bCs/>
                <w:szCs w:val="22"/>
              </w:rPr>
            </w:pPr>
            <w:r>
              <w:rPr>
                <w:rFonts w:ascii="Calibri" w:hAnsi="Calibri"/>
                <w:bCs/>
                <w:szCs w:val="22"/>
              </w:rPr>
              <w:t>None identified</w:t>
            </w:r>
            <w:r w:rsidR="001445CF">
              <w:rPr>
                <w:rFonts w:ascii="Calibri" w:hAnsi="Calibri"/>
                <w:bCs/>
                <w:szCs w:val="22"/>
              </w:rPr>
              <w:t xml:space="preserve"> following confirmation that no roof works form part of this application.</w:t>
            </w:r>
            <w:r w:rsidR="0075116C">
              <w:rPr>
                <w:rFonts w:ascii="Calibri" w:hAnsi="Calibri"/>
                <w:bCs/>
                <w:szCs w:val="22"/>
              </w:rPr>
              <w:t xml:space="preserve"> The schedule of works provided suggest the roof alterations </w:t>
            </w:r>
            <w:r w:rsidR="00F47A11">
              <w:rPr>
                <w:rFonts w:ascii="Calibri" w:hAnsi="Calibri"/>
                <w:bCs/>
                <w:szCs w:val="22"/>
              </w:rPr>
              <w:t>c</w:t>
            </w:r>
            <w:r w:rsidR="0075116C">
              <w:rPr>
                <w:rFonts w:ascii="Calibri" w:hAnsi="Calibri"/>
                <w:bCs/>
                <w:szCs w:val="22"/>
              </w:rPr>
              <w:t xml:space="preserve">ould be carried out under permitted development. </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CEABE54" w:rsidR="00C0704D" w:rsidRDefault="00BC11CF"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C0704D">
              <w:rPr>
                <w:rFonts w:ascii="Calibri" w:hAnsi="Calibri"/>
                <w:b/>
                <w:szCs w:val="22"/>
              </w:rPr>
              <w:t>:</w:t>
            </w:r>
          </w:p>
          <w:p w14:paraId="7C5F9ADE" w14:textId="5494960C" w:rsidR="00C0704D" w:rsidRDefault="00C0704D" w:rsidP="00EA09F9">
            <w:pPr>
              <w:pStyle w:val="Header"/>
              <w:tabs>
                <w:tab w:val="clear" w:pos="4153"/>
                <w:tab w:val="clear" w:pos="8306"/>
              </w:tabs>
              <w:contextualSpacing/>
              <w:jc w:val="both"/>
              <w:rPr>
                <w:rFonts w:ascii="Calibri" w:hAnsi="Calibri"/>
                <w:b/>
                <w:szCs w:val="22"/>
              </w:rPr>
            </w:pPr>
          </w:p>
          <w:p w14:paraId="080C5EAC" w14:textId="66252DA0" w:rsidR="005654A8" w:rsidRPr="005654A8" w:rsidRDefault="00111E4B" w:rsidP="005654A8">
            <w:pPr>
              <w:pStyle w:val="Header"/>
              <w:tabs>
                <w:tab w:val="clear" w:pos="4153"/>
                <w:tab w:val="clear" w:pos="8306"/>
              </w:tabs>
              <w:contextualSpacing/>
              <w:jc w:val="both"/>
              <w:rPr>
                <w:rFonts w:ascii="Calibri" w:hAnsi="Calibri"/>
                <w:bCs/>
                <w:szCs w:val="22"/>
              </w:rPr>
            </w:pPr>
            <w:r>
              <w:rPr>
                <w:rFonts w:ascii="Calibri" w:hAnsi="Calibri"/>
                <w:bCs/>
                <w:szCs w:val="22"/>
              </w:rPr>
              <w:t xml:space="preserve">LCC advise that for the ground floor D1 use and First Floor C3 dwelling use a total of six parking spaces would strictly be required. Accounting for the garage space this leaves a shortfall of five spaces. </w:t>
            </w:r>
            <w:r w:rsidR="001445CF">
              <w:rPr>
                <w:rFonts w:ascii="Calibri" w:hAnsi="Calibri"/>
                <w:bCs/>
                <w:szCs w:val="22"/>
              </w:rPr>
              <w:t xml:space="preserve">The applicant has confirmed (email received 26/5/22) that </w:t>
            </w:r>
            <w:r>
              <w:rPr>
                <w:rFonts w:ascii="Calibri" w:hAnsi="Calibri"/>
                <w:bCs/>
                <w:szCs w:val="22"/>
              </w:rPr>
              <w:t xml:space="preserve">the site will not be used as a meeting room space but as a storage space, that </w:t>
            </w:r>
            <w:r w:rsidR="001445CF">
              <w:rPr>
                <w:rFonts w:ascii="Calibri" w:hAnsi="Calibri"/>
                <w:bCs/>
                <w:szCs w:val="22"/>
              </w:rPr>
              <w:t>most attendees live in the village will arrive on foot</w:t>
            </w:r>
            <w:r>
              <w:rPr>
                <w:rFonts w:ascii="Calibri" w:hAnsi="Calibri"/>
                <w:bCs/>
                <w:szCs w:val="22"/>
              </w:rPr>
              <w:t>, as they do when attending meetings at the Pavilion and a</w:t>
            </w:r>
            <w:r w:rsidR="001445CF">
              <w:rPr>
                <w:rFonts w:ascii="Calibri" w:hAnsi="Calibri"/>
                <w:bCs/>
                <w:szCs w:val="22"/>
              </w:rPr>
              <w:t xml:space="preserve">nyone outside the village will likely choose to park at the </w:t>
            </w:r>
            <w:r>
              <w:rPr>
                <w:rFonts w:ascii="Calibri" w:hAnsi="Calibri"/>
                <w:bCs/>
                <w:szCs w:val="22"/>
              </w:rPr>
              <w:t>P</w:t>
            </w:r>
            <w:r w:rsidR="001445CF">
              <w:rPr>
                <w:rFonts w:ascii="Calibri" w:hAnsi="Calibri"/>
                <w:bCs/>
                <w:szCs w:val="22"/>
              </w:rPr>
              <w:t xml:space="preserve">avilion </w:t>
            </w:r>
            <w:r>
              <w:rPr>
                <w:rFonts w:ascii="Calibri" w:hAnsi="Calibri"/>
                <w:bCs/>
                <w:szCs w:val="22"/>
              </w:rPr>
              <w:t xml:space="preserve">(approx. 260m away) </w:t>
            </w:r>
            <w:r w:rsidR="001445CF">
              <w:rPr>
                <w:rFonts w:ascii="Calibri" w:hAnsi="Calibri"/>
                <w:bCs/>
                <w:szCs w:val="22"/>
              </w:rPr>
              <w:t>and walk to the site.</w:t>
            </w:r>
            <w:r>
              <w:rPr>
                <w:rFonts w:ascii="Calibri" w:hAnsi="Calibri"/>
                <w:bCs/>
                <w:szCs w:val="22"/>
              </w:rPr>
              <w:t xml:space="preserve"> LCC Highways are satisfied that this operational statement </w:t>
            </w:r>
            <w:r w:rsidR="004B21B2">
              <w:rPr>
                <w:rFonts w:ascii="Calibri" w:hAnsi="Calibri"/>
                <w:bCs/>
                <w:szCs w:val="22"/>
              </w:rPr>
              <w:t xml:space="preserve">suggests the demand for parking will in reality be extremely low and so they can </w:t>
            </w:r>
            <w:r>
              <w:rPr>
                <w:rFonts w:ascii="Calibri" w:hAnsi="Calibri"/>
                <w:bCs/>
                <w:szCs w:val="22"/>
              </w:rPr>
              <w:t>accept the shortfall of parking</w:t>
            </w:r>
            <w:r w:rsidR="004B21B2">
              <w:rPr>
                <w:rFonts w:ascii="Calibri" w:hAnsi="Calibri"/>
                <w:bCs/>
                <w:szCs w:val="22"/>
              </w:rPr>
              <w:t xml:space="preserve"> in this case</w:t>
            </w:r>
            <w:r>
              <w:rPr>
                <w:rFonts w:ascii="Calibri" w:hAnsi="Calibri"/>
                <w:bCs/>
                <w:szCs w:val="22"/>
              </w:rPr>
              <w:t xml:space="preserve">.  </w:t>
            </w:r>
            <w:r w:rsidR="004B21B2">
              <w:rPr>
                <w:rFonts w:ascii="Calibri" w:hAnsi="Calibri"/>
                <w:szCs w:val="22"/>
              </w:rPr>
              <w:t>Overall the proposal would result in an acceptable impact on highway safety and parking in accordance with policy DMG1.</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6E4BCB6" w14:textId="7FBCBCC8" w:rsidR="005654A8" w:rsidRDefault="005654A8" w:rsidP="00DD62F6">
            <w:pPr>
              <w:pStyle w:val="Header"/>
              <w:tabs>
                <w:tab w:val="clear" w:pos="4153"/>
                <w:tab w:val="clear" w:pos="8306"/>
              </w:tabs>
              <w:contextualSpacing/>
              <w:jc w:val="both"/>
              <w:rPr>
                <w:rFonts w:ascii="Calibri" w:hAnsi="Calibri"/>
                <w:bCs/>
                <w:szCs w:val="22"/>
              </w:rPr>
            </w:pPr>
          </w:p>
          <w:p w14:paraId="728B1AE1" w14:textId="30517EF1" w:rsidR="00B92F2A" w:rsidRDefault="00B92F2A" w:rsidP="00B92F2A">
            <w:pPr>
              <w:jc w:val="both"/>
              <w:rPr>
                <w:rFonts w:ascii="Calibri" w:hAnsi="Calibri"/>
                <w:szCs w:val="22"/>
              </w:rPr>
            </w:pPr>
            <w:r>
              <w:rPr>
                <w:rFonts w:ascii="Calibri" w:hAnsi="Calibri"/>
                <w:szCs w:val="22"/>
              </w:rPr>
              <w:t>In giving considerable importance and weight to the duties at section 66</w:t>
            </w:r>
            <w:r w:rsidR="009022FB">
              <w:rPr>
                <w:rFonts w:ascii="Calibri" w:hAnsi="Calibri"/>
                <w:szCs w:val="22"/>
              </w:rPr>
              <w:t xml:space="preserve"> and 72</w:t>
            </w:r>
            <w:r>
              <w:rPr>
                <w:rFonts w:ascii="Calibri" w:hAnsi="Calibri"/>
                <w:szCs w:val="22"/>
              </w:rPr>
              <w:t xml:space="preserve"> of the Planning (Listed Buildings and Conservation Areas) Act 1990 and in consideration to NPPF and Key Statement EN5 and Policies DME4</w:t>
            </w:r>
            <w:r w:rsidR="004B21B2">
              <w:rPr>
                <w:rFonts w:ascii="Calibri" w:hAnsi="Calibri"/>
                <w:szCs w:val="22"/>
              </w:rPr>
              <w:t>,</w:t>
            </w:r>
            <w:r>
              <w:rPr>
                <w:rFonts w:ascii="Calibri" w:hAnsi="Calibri"/>
                <w:szCs w:val="22"/>
              </w:rPr>
              <w:t xml:space="preserve"> DMG1 </w:t>
            </w:r>
            <w:r w:rsidR="004B21B2">
              <w:rPr>
                <w:rFonts w:ascii="Calibri" w:hAnsi="Calibri"/>
                <w:szCs w:val="22"/>
              </w:rPr>
              <w:t xml:space="preserve">and DMG2 </w:t>
            </w:r>
            <w:r>
              <w:rPr>
                <w:rFonts w:ascii="Calibri" w:hAnsi="Calibri"/>
                <w:szCs w:val="22"/>
              </w:rPr>
              <w:t>of the Ribble Valley Core Strategy it is recommended that</w:t>
            </w:r>
            <w:r>
              <w:rPr>
                <w:rFonts w:ascii="Calibri" w:hAnsi="Calibri"/>
                <w:bCs/>
                <w:szCs w:val="22"/>
              </w:rPr>
              <w:t xml:space="preserve"> </w:t>
            </w:r>
            <w:r w:rsidR="004B21B2">
              <w:rPr>
                <w:rFonts w:ascii="Calibri" w:hAnsi="Calibri"/>
                <w:bCs/>
                <w:szCs w:val="22"/>
              </w:rPr>
              <w:t>planning permission</w:t>
            </w:r>
            <w:r>
              <w:rPr>
                <w:rFonts w:ascii="Calibri" w:hAnsi="Calibri"/>
                <w:bCs/>
                <w:szCs w:val="22"/>
              </w:rPr>
              <w:t xml:space="preserve"> be granted</w:t>
            </w:r>
            <w:r w:rsidR="004C68AB">
              <w:rPr>
                <w:rFonts w:ascii="Calibri" w:hAnsi="Calibri"/>
                <w:bCs/>
                <w:szCs w:val="22"/>
              </w:rPr>
              <w:t xml:space="preserve"> subject to conditions</w:t>
            </w:r>
            <w:r>
              <w:rPr>
                <w:rFonts w:ascii="Calibri" w:hAnsi="Calibri"/>
                <w:szCs w:val="22"/>
              </w:rPr>
              <w:t>.</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6AC8432" w:rsidR="00C0704D" w:rsidRPr="00D2449B" w:rsidRDefault="00AB58DC" w:rsidP="00CD2CEF">
            <w:pPr>
              <w:rPr>
                <w:rFonts w:ascii="Calibri" w:hAnsi="Calibri"/>
                <w:bCs/>
                <w:szCs w:val="22"/>
              </w:rPr>
            </w:pPr>
            <w:r w:rsidRPr="00144E3C">
              <w:rPr>
                <w:rFonts w:ascii="Calibri" w:hAnsi="Calibri"/>
                <w:bCs/>
                <w:szCs w:val="22"/>
              </w:rPr>
              <w:t xml:space="preserve">To </w:t>
            </w:r>
            <w:r w:rsidR="009022FB">
              <w:rPr>
                <w:rFonts w:ascii="Calibri" w:hAnsi="Calibri"/>
                <w:bCs/>
                <w:szCs w:val="22"/>
              </w:rPr>
              <w:t xml:space="preserve">grant </w:t>
            </w:r>
            <w:r w:rsidR="004B21B2">
              <w:rPr>
                <w:rFonts w:ascii="Calibri" w:hAnsi="Calibri"/>
                <w:bCs/>
                <w:szCs w:val="22"/>
              </w:rPr>
              <w:t>planning permission</w:t>
            </w:r>
            <w:r w:rsidRPr="00144E3C">
              <w:rPr>
                <w:rFonts w:ascii="Calibri" w:hAnsi="Calibri"/>
                <w:bCs/>
                <w:szCs w:val="22"/>
              </w:rPr>
              <w:t>.</w:t>
            </w:r>
          </w:p>
        </w:tc>
      </w:tr>
    </w:tbl>
    <w:p w14:paraId="513FB541" w14:textId="77777777" w:rsidR="0031197A" w:rsidRPr="00D2449B" w:rsidRDefault="00F31F2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03D"/>
    <w:rsid w:val="000B1598"/>
    <w:rsid w:val="000B5CB5"/>
    <w:rsid w:val="00111E4B"/>
    <w:rsid w:val="00130035"/>
    <w:rsid w:val="00131E7C"/>
    <w:rsid w:val="00142B0E"/>
    <w:rsid w:val="001445CF"/>
    <w:rsid w:val="00166153"/>
    <w:rsid w:val="00182234"/>
    <w:rsid w:val="001A15EE"/>
    <w:rsid w:val="001C46F8"/>
    <w:rsid w:val="001D1BBE"/>
    <w:rsid w:val="001D4F7A"/>
    <w:rsid w:val="00250879"/>
    <w:rsid w:val="002647B5"/>
    <w:rsid w:val="0029334A"/>
    <w:rsid w:val="002936F6"/>
    <w:rsid w:val="002A01CF"/>
    <w:rsid w:val="002C6277"/>
    <w:rsid w:val="002D038C"/>
    <w:rsid w:val="002F2580"/>
    <w:rsid w:val="00320468"/>
    <w:rsid w:val="00321B6E"/>
    <w:rsid w:val="0033264D"/>
    <w:rsid w:val="0033449A"/>
    <w:rsid w:val="00350874"/>
    <w:rsid w:val="003C2B2D"/>
    <w:rsid w:val="003F3B5B"/>
    <w:rsid w:val="00440CB6"/>
    <w:rsid w:val="00442A39"/>
    <w:rsid w:val="00452633"/>
    <w:rsid w:val="0046548C"/>
    <w:rsid w:val="004947BB"/>
    <w:rsid w:val="00496EBA"/>
    <w:rsid w:val="004A4785"/>
    <w:rsid w:val="004A5EA9"/>
    <w:rsid w:val="004B081C"/>
    <w:rsid w:val="004B21B2"/>
    <w:rsid w:val="004C2434"/>
    <w:rsid w:val="004C68AB"/>
    <w:rsid w:val="004F0649"/>
    <w:rsid w:val="00510FA2"/>
    <w:rsid w:val="005129D0"/>
    <w:rsid w:val="00556ECD"/>
    <w:rsid w:val="005654A8"/>
    <w:rsid w:val="00593B73"/>
    <w:rsid w:val="005B6E24"/>
    <w:rsid w:val="005E1C6C"/>
    <w:rsid w:val="005E65DF"/>
    <w:rsid w:val="00670A9D"/>
    <w:rsid w:val="00692B60"/>
    <w:rsid w:val="006A71AD"/>
    <w:rsid w:val="006B1EA0"/>
    <w:rsid w:val="006C2BFA"/>
    <w:rsid w:val="006C32B6"/>
    <w:rsid w:val="006F6849"/>
    <w:rsid w:val="0070054B"/>
    <w:rsid w:val="007461AE"/>
    <w:rsid w:val="0075116C"/>
    <w:rsid w:val="00774DDB"/>
    <w:rsid w:val="00776AE2"/>
    <w:rsid w:val="007C791C"/>
    <w:rsid w:val="007D7DF4"/>
    <w:rsid w:val="007E0D23"/>
    <w:rsid w:val="007F16D6"/>
    <w:rsid w:val="007F2BC0"/>
    <w:rsid w:val="00811771"/>
    <w:rsid w:val="008542DE"/>
    <w:rsid w:val="008652AA"/>
    <w:rsid w:val="008A28C8"/>
    <w:rsid w:val="008B48C9"/>
    <w:rsid w:val="008C0B83"/>
    <w:rsid w:val="008E49D6"/>
    <w:rsid w:val="008F5C18"/>
    <w:rsid w:val="009022FB"/>
    <w:rsid w:val="00951F07"/>
    <w:rsid w:val="009605C4"/>
    <w:rsid w:val="009C3D71"/>
    <w:rsid w:val="00A25D77"/>
    <w:rsid w:val="00A40973"/>
    <w:rsid w:val="00A42E82"/>
    <w:rsid w:val="00A43A57"/>
    <w:rsid w:val="00A574A3"/>
    <w:rsid w:val="00A579BB"/>
    <w:rsid w:val="00A63D55"/>
    <w:rsid w:val="00A83092"/>
    <w:rsid w:val="00A95D89"/>
    <w:rsid w:val="00AB58DC"/>
    <w:rsid w:val="00AE0C0C"/>
    <w:rsid w:val="00B569A9"/>
    <w:rsid w:val="00B617B9"/>
    <w:rsid w:val="00B74188"/>
    <w:rsid w:val="00B805F1"/>
    <w:rsid w:val="00B8307F"/>
    <w:rsid w:val="00B92F2A"/>
    <w:rsid w:val="00B93EB5"/>
    <w:rsid w:val="00BB024E"/>
    <w:rsid w:val="00BC11CF"/>
    <w:rsid w:val="00BD3F03"/>
    <w:rsid w:val="00BF18B5"/>
    <w:rsid w:val="00C0704D"/>
    <w:rsid w:val="00C11202"/>
    <w:rsid w:val="00C17932"/>
    <w:rsid w:val="00C25722"/>
    <w:rsid w:val="00C618DB"/>
    <w:rsid w:val="00D11007"/>
    <w:rsid w:val="00D17EB1"/>
    <w:rsid w:val="00D2449B"/>
    <w:rsid w:val="00D54E67"/>
    <w:rsid w:val="00D75581"/>
    <w:rsid w:val="00DD62F6"/>
    <w:rsid w:val="00E16658"/>
    <w:rsid w:val="00E432C1"/>
    <w:rsid w:val="00E46243"/>
    <w:rsid w:val="00E65737"/>
    <w:rsid w:val="00E66534"/>
    <w:rsid w:val="00E72F6C"/>
    <w:rsid w:val="00E97520"/>
    <w:rsid w:val="00EA09F9"/>
    <w:rsid w:val="00EB6D8A"/>
    <w:rsid w:val="00EC23C7"/>
    <w:rsid w:val="00ED00B7"/>
    <w:rsid w:val="00EF44E6"/>
    <w:rsid w:val="00F03B3F"/>
    <w:rsid w:val="00F31F2C"/>
    <w:rsid w:val="00F47A11"/>
    <w:rsid w:val="00F901C9"/>
    <w:rsid w:val="00FB16D9"/>
    <w:rsid w:val="00FB1915"/>
    <w:rsid w:val="00FB7C8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B7C8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9353">
      <w:bodyDiv w:val="1"/>
      <w:marLeft w:val="0"/>
      <w:marRight w:val="0"/>
      <w:marTop w:val="0"/>
      <w:marBottom w:val="0"/>
      <w:divBdr>
        <w:top w:val="none" w:sz="0" w:space="0" w:color="auto"/>
        <w:left w:val="none" w:sz="0" w:space="0" w:color="auto"/>
        <w:bottom w:val="none" w:sz="0" w:space="0" w:color="auto"/>
        <w:right w:val="none" w:sz="0" w:space="0" w:color="auto"/>
      </w:divBdr>
    </w:div>
    <w:div w:id="753816678">
      <w:bodyDiv w:val="1"/>
      <w:marLeft w:val="0"/>
      <w:marRight w:val="0"/>
      <w:marTop w:val="0"/>
      <w:marBottom w:val="0"/>
      <w:divBdr>
        <w:top w:val="none" w:sz="0" w:space="0" w:color="auto"/>
        <w:left w:val="none" w:sz="0" w:space="0" w:color="auto"/>
        <w:bottom w:val="none" w:sz="0" w:space="0" w:color="auto"/>
        <w:right w:val="none" w:sz="0" w:space="0" w:color="auto"/>
      </w:divBdr>
    </w:div>
    <w:div w:id="1571039391">
      <w:bodyDiv w:val="1"/>
      <w:marLeft w:val="0"/>
      <w:marRight w:val="0"/>
      <w:marTop w:val="0"/>
      <w:marBottom w:val="0"/>
      <w:divBdr>
        <w:top w:val="none" w:sz="0" w:space="0" w:color="auto"/>
        <w:left w:val="none" w:sz="0" w:space="0" w:color="auto"/>
        <w:bottom w:val="none" w:sz="0" w:space="0" w:color="auto"/>
        <w:right w:val="none" w:sz="0" w:space="0" w:color="auto"/>
      </w:divBdr>
    </w:div>
    <w:div w:id="1630697089">
      <w:bodyDiv w:val="1"/>
      <w:marLeft w:val="0"/>
      <w:marRight w:val="0"/>
      <w:marTop w:val="0"/>
      <w:marBottom w:val="0"/>
      <w:divBdr>
        <w:top w:val="none" w:sz="0" w:space="0" w:color="auto"/>
        <w:left w:val="none" w:sz="0" w:space="0" w:color="auto"/>
        <w:bottom w:val="none" w:sz="0" w:space="0" w:color="auto"/>
        <w:right w:val="none" w:sz="0" w:space="0" w:color="auto"/>
      </w:divBdr>
    </w:div>
    <w:div w:id="17032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2023-02-06T13:39:00Z</cp:lastPrinted>
  <dcterms:created xsi:type="dcterms:W3CDTF">2023-02-06T13:43:00Z</dcterms:created>
  <dcterms:modified xsi:type="dcterms:W3CDTF">2023-02-06T13:43:00Z</dcterms:modified>
</cp:coreProperties>
</file>