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61"/>
      </w:tblGrid>
      <w:tr w:rsidR="008C75E4" w:rsidRPr="008C75E4" w14:paraId="121FC375" w14:textId="77777777" w:rsidTr="003E15E3">
        <w:trPr>
          <w:jc w:val="center"/>
        </w:trPr>
        <w:tc>
          <w:tcPr>
            <w:tcW w:w="9600" w:type="dxa"/>
            <w:gridSpan w:val="14"/>
            <w:tcMar>
              <w:top w:w="57" w:type="dxa"/>
              <w:bottom w:w="57" w:type="dxa"/>
            </w:tcMar>
          </w:tcPr>
          <w:p w14:paraId="395BCEF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4C6C3E2" w14:textId="77777777" w:rsidTr="003E15E3">
        <w:trPr>
          <w:trHeight w:val="535"/>
          <w:jc w:val="center"/>
        </w:trPr>
        <w:tc>
          <w:tcPr>
            <w:tcW w:w="1296" w:type="dxa"/>
            <w:tcMar>
              <w:top w:w="57" w:type="dxa"/>
              <w:bottom w:w="57" w:type="dxa"/>
            </w:tcMar>
          </w:tcPr>
          <w:p w14:paraId="679A1E4B" w14:textId="77777777" w:rsidR="004936A6" w:rsidRDefault="004936A6" w:rsidP="00D2449B">
            <w:pPr>
              <w:jc w:val="center"/>
              <w:rPr>
                <w:rFonts w:ascii="Calibri" w:hAnsi="Calibri"/>
                <w:b/>
                <w:szCs w:val="22"/>
              </w:rPr>
            </w:pPr>
            <w:r w:rsidRPr="008C75E4">
              <w:rPr>
                <w:rFonts w:ascii="Calibri" w:hAnsi="Calibri"/>
                <w:b/>
                <w:szCs w:val="22"/>
              </w:rPr>
              <w:t>Signed:</w:t>
            </w:r>
          </w:p>
          <w:p w14:paraId="1E890554" w14:textId="77777777" w:rsidR="00454754" w:rsidRPr="008C75E4" w:rsidRDefault="00454754" w:rsidP="00D2449B">
            <w:pPr>
              <w:jc w:val="center"/>
              <w:rPr>
                <w:rFonts w:ascii="Calibri" w:hAnsi="Calibri"/>
                <w:b/>
                <w:szCs w:val="22"/>
              </w:rPr>
            </w:pPr>
          </w:p>
        </w:tc>
        <w:tc>
          <w:tcPr>
            <w:tcW w:w="900" w:type="dxa"/>
          </w:tcPr>
          <w:p w14:paraId="099E387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5E80120" w14:textId="77777777" w:rsidR="004936A6" w:rsidRPr="008C75E4" w:rsidRDefault="00B86779" w:rsidP="00D2449B">
            <w:pPr>
              <w:jc w:val="center"/>
              <w:rPr>
                <w:rFonts w:ascii="Calibri" w:hAnsi="Calibri"/>
                <w:b/>
                <w:szCs w:val="22"/>
              </w:rPr>
            </w:pPr>
            <w:r>
              <w:rPr>
                <w:rFonts w:ascii="Calibri" w:hAnsi="Calibri"/>
                <w:b/>
                <w:szCs w:val="22"/>
              </w:rPr>
              <w:t>LE</w:t>
            </w:r>
          </w:p>
        </w:tc>
        <w:tc>
          <w:tcPr>
            <w:tcW w:w="1030" w:type="dxa"/>
          </w:tcPr>
          <w:p w14:paraId="007FD35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75" w:type="dxa"/>
          </w:tcPr>
          <w:p w14:paraId="42DB5240" w14:textId="77777777" w:rsidR="004936A6" w:rsidRPr="008C75E4" w:rsidRDefault="00B86779" w:rsidP="00D2449B">
            <w:pPr>
              <w:jc w:val="center"/>
              <w:rPr>
                <w:rFonts w:ascii="Calibri" w:hAnsi="Calibri"/>
                <w:b/>
                <w:szCs w:val="22"/>
              </w:rPr>
            </w:pPr>
            <w:r>
              <w:rPr>
                <w:rFonts w:ascii="Calibri" w:hAnsi="Calibri"/>
                <w:b/>
                <w:szCs w:val="22"/>
              </w:rPr>
              <w:t>21/12/21</w:t>
            </w:r>
          </w:p>
        </w:tc>
        <w:tc>
          <w:tcPr>
            <w:tcW w:w="1098" w:type="dxa"/>
            <w:gridSpan w:val="2"/>
          </w:tcPr>
          <w:p w14:paraId="72EF2A1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C2E3BD9" w14:textId="77777777" w:rsidR="004936A6" w:rsidRPr="008C75E4" w:rsidRDefault="004936A6" w:rsidP="00D2449B">
            <w:pPr>
              <w:jc w:val="center"/>
              <w:rPr>
                <w:rFonts w:ascii="Calibri" w:hAnsi="Calibri"/>
                <w:b/>
                <w:szCs w:val="22"/>
              </w:rPr>
            </w:pPr>
          </w:p>
        </w:tc>
        <w:tc>
          <w:tcPr>
            <w:tcW w:w="1030" w:type="dxa"/>
          </w:tcPr>
          <w:p w14:paraId="74BAD3F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E62864B" w14:textId="77777777" w:rsidR="004936A6" w:rsidRPr="008C75E4" w:rsidRDefault="004936A6" w:rsidP="00D2449B">
            <w:pPr>
              <w:jc w:val="center"/>
              <w:rPr>
                <w:rFonts w:ascii="Calibri" w:hAnsi="Calibri"/>
                <w:b/>
                <w:szCs w:val="22"/>
              </w:rPr>
            </w:pPr>
          </w:p>
        </w:tc>
      </w:tr>
      <w:tr w:rsidR="00E06DFC" w:rsidRPr="008C75E4" w14:paraId="3E8024EC" w14:textId="77777777" w:rsidTr="003E15E3">
        <w:trPr>
          <w:trHeight w:val="586"/>
          <w:jc w:val="center"/>
        </w:trPr>
        <w:tc>
          <w:tcPr>
            <w:tcW w:w="1296" w:type="dxa"/>
            <w:tcBorders>
              <w:bottom w:val="single" w:sz="4" w:space="0" w:color="BFBFBF" w:themeColor="background1" w:themeShade="BF"/>
            </w:tcBorders>
            <w:tcMar>
              <w:top w:w="57" w:type="dxa"/>
              <w:bottom w:w="57" w:type="dxa"/>
            </w:tcMar>
          </w:tcPr>
          <w:p w14:paraId="3855B0B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A69EAE5" w14:textId="77777777" w:rsidR="00E06DFC" w:rsidRPr="008C75E4" w:rsidRDefault="00B86779" w:rsidP="00D2449B">
            <w:pPr>
              <w:jc w:val="center"/>
              <w:rPr>
                <w:rFonts w:ascii="Calibri" w:hAnsi="Calibri"/>
                <w:b/>
                <w:szCs w:val="22"/>
              </w:rPr>
            </w:pPr>
            <w:r>
              <w:rPr>
                <w:rFonts w:ascii="Calibri" w:hAnsi="Calibri"/>
                <w:b/>
                <w:szCs w:val="22"/>
              </w:rPr>
              <w:t>Yes</w:t>
            </w:r>
          </w:p>
        </w:tc>
        <w:tc>
          <w:tcPr>
            <w:tcW w:w="1080" w:type="dxa"/>
            <w:gridSpan w:val="4"/>
            <w:tcBorders>
              <w:bottom w:val="single" w:sz="4" w:space="0" w:color="BFBFBF" w:themeColor="background1" w:themeShade="BF"/>
            </w:tcBorders>
          </w:tcPr>
          <w:p w14:paraId="5C6541C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39999C2" w14:textId="77777777" w:rsidR="00E06DFC" w:rsidRPr="008C75E4" w:rsidRDefault="00B86779" w:rsidP="00D2449B">
            <w:pPr>
              <w:jc w:val="center"/>
              <w:rPr>
                <w:rFonts w:ascii="Calibri" w:hAnsi="Calibri"/>
                <w:b/>
                <w:szCs w:val="22"/>
              </w:rPr>
            </w:pPr>
            <w:r>
              <w:rPr>
                <w:rFonts w:ascii="Calibri" w:hAnsi="Calibri"/>
                <w:b/>
                <w:szCs w:val="22"/>
              </w:rPr>
              <w:t>Yes</w:t>
            </w:r>
          </w:p>
        </w:tc>
        <w:tc>
          <w:tcPr>
            <w:tcW w:w="5294" w:type="dxa"/>
            <w:gridSpan w:val="7"/>
            <w:tcBorders>
              <w:bottom w:val="single" w:sz="4" w:space="0" w:color="BFBFBF" w:themeColor="background1" w:themeShade="BF"/>
            </w:tcBorders>
          </w:tcPr>
          <w:p w14:paraId="26AC63DF" w14:textId="77777777" w:rsidR="00E06DFC" w:rsidRPr="008C75E4" w:rsidRDefault="00E06DFC" w:rsidP="00D2449B">
            <w:pPr>
              <w:jc w:val="center"/>
              <w:rPr>
                <w:rFonts w:ascii="Calibri" w:hAnsi="Calibri"/>
                <w:b/>
                <w:szCs w:val="22"/>
              </w:rPr>
            </w:pPr>
          </w:p>
        </w:tc>
      </w:tr>
      <w:tr w:rsidR="008C75E4" w:rsidRPr="008C75E4" w14:paraId="2E2EEA7F" w14:textId="77777777" w:rsidTr="003E15E3">
        <w:trPr>
          <w:jc w:val="center"/>
        </w:trPr>
        <w:tc>
          <w:tcPr>
            <w:tcW w:w="9600" w:type="dxa"/>
            <w:gridSpan w:val="14"/>
            <w:tcBorders>
              <w:left w:val="nil"/>
              <w:right w:val="nil"/>
            </w:tcBorders>
            <w:tcMar>
              <w:top w:w="57" w:type="dxa"/>
              <w:bottom w:w="57" w:type="dxa"/>
            </w:tcMar>
          </w:tcPr>
          <w:p w14:paraId="55155371" w14:textId="77777777" w:rsidR="004A5EA9" w:rsidRPr="008C75E4" w:rsidRDefault="004A5EA9" w:rsidP="004A5EA9">
            <w:pPr>
              <w:jc w:val="center"/>
              <w:rPr>
                <w:rFonts w:ascii="Calibri" w:hAnsi="Calibri"/>
                <w:b/>
                <w:szCs w:val="22"/>
              </w:rPr>
            </w:pPr>
          </w:p>
        </w:tc>
      </w:tr>
      <w:tr w:rsidR="008C75E4" w:rsidRPr="008C75E4" w14:paraId="286E5146" w14:textId="77777777" w:rsidTr="003E15E3">
        <w:trPr>
          <w:jc w:val="center"/>
        </w:trPr>
        <w:tc>
          <w:tcPr>
            <w:tcW w:w="2394" w:type="dxa"/>
            <w:gridSpan w:val="3"/>
            <w:tcMar>
              <w:top w:w="57" w:type="dxa"/>
              <w:bottom w:w="57" w:type="dxa"/>
            </w:tcMar>
          </w:tcPr>
          <w:p w14:paraId="58E6D8CF" w14:textId="77777777" w:rsidR="004A5EA9" w:rsidRPr="008C75E4" w:rsidRDefault="004A5EA9">
            <w:pPr>
              <w:rPr>
                <w:rFonts w:ascii="Calibri" w:hAnsi="Calibri"/>
                <w:b/>
                <w:szCs w:val="22"/>
              </w:rPr>
            </w:pPr>
            <w:r w:rsidRPr="008C75E4">
              <w:rPr>
                <w:rFonts w:ascii="Calibri" w:hAnsi="Calibri"/>
                <w:b/>
                <w:szCs w:val="22"/>
              </w:rPr>
              <w:t>Application Ref:</w:t>
            </w:r>
          </w:p>
        </w:tc>
        <w:tc>
          <w:tcPr>
            <w:tcW w:w="3506" w:type="dxa"/>
            <w:gridSpan w:val="6"/>
          </w:tcPr>
          <w:p w14:paraId="2B1872C3" w14:textId="77777777" w:rsidR="004A5EA9" w:rsidRPr="008C75E4" w:rsidRDefault="00B86779" w:rsidP="008F6B58">
            <w:pPr>
              <w:rPr>
                <w:rFonts w:ascii="Calibri" w:hAnsi="Calibri"/>
                <w:szCs w:val="22"/>
              </w:rPr>
            </w:pPr>
            <w:r>
              <w:rPr>
                <w:rFonts w:ascii="Calibri" w:hAnsi="Calibri"/>
                <w:szCs w:val="22"/>
              </w:rPr>
              <w:t>3/2021/1041</w:t>
            </w:r>
          </w:p>
        </w:tc>
        <w:tc>
          <w:tcPr>
            <w:tcW w:w="3700" w:type="dxa"/>
            <w:gridSpan w:val="5"/>
            <w:vMerge w:val="restart"/>
            <w:tcMar>
              <w:top w:w="57" w:type="dxa"/>
              <w:bottom w:w="57" w:type="dxa"/>
            </w:tcMar>
          </w:tcPr>
          <w:p w14:paraId="63F77C7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F29E849" wp14:editId="35C11D1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C1B615F" w14:textId="77777777" w:rsidTr="003E15E3">
        <w:trPr>
          <w:jc w:val="center"/>
        </w:trPr>
        <w:tc>
          <w:tcPr>
            <w:tcW w:w="2394" w:type="dxa"/>
            <w:gridSpan w:val="3"/>
            <w:tcMar>
              <w:top w:w="57" w:type="dxa"/>
              <w:bottom w:w="57" w:type="dxa"/>
            </w:tcMar>
          </w:tcPr>
          <w:p w14:paraId="2B30A9D2" w14:textId="77777777" w:rsidR="004A5EA9" w:rsidRPr="008C75E4" w:rsidRDefault="004A5EA9">
            <w:pPr>
              <w:rPr>
                <w:rFonts w:ascii="Calibri" w:hAnsi="Calibri"/>
                <w:b/>
                <w:szCs w:val="22"/>
              </w:rPr>
            </w:pPr>
            <w:r w:rsidRPr="008C75E4">
              <w:rPr>
                <w:rFonts w:ascii="Calibri" w:hAnsi="Calibri"/>
                <w:b/>
                <w:szCs w:val="22"/>
              </w:rPr>
              <w:t>Date Inspected:</w:t>
            </w:r>
          </w:p>
        </w:tc>
        <w:tc>
          <w:tcPr>
            <w:tcW w:w="3506" w:type="dxa"/>
            <w:gridSpan w:val="6"/>
          </w:tcPr>
          <w:p w14:paraId="04EFAA65" w14:textId="77777777" w:rsidR="004A5EA9" w:rsidRPr="008C75E4" w:rsidRDefault="00B86779" w:rsidP="002C6277">
            <w:pPr>
              <w:rPr>
                <w:rFonts w:ascii="Calibri" w:hAnsi="Calibri"/>
                <w:szCs w:val="22"/>
              </w:rPr>
            </w:pPr>
            <w:r>
              <w:rPr>
                <w:rFonts w:ascii="Calibri" w:hAnsi="Calibri"/>
                <w:szCs w:val="22"/>
              </w:rPr>
              <w:t>22/12/21</w:t>
            </w:r>
          </w:p>
        </w:tc>
        <w:tc>
          <w:tcPr>
            <w:tcW w:w="3700" w:type="dxa"/>
            <w:gridSpan w:val="5"/>
            <w:vMerge/>
            <w:tcMar>
              <w:top w:w="57" w:type="dxa"/>
              <w:bottom w:w="57" w:type="dxa"/>
            </w:tcMar>
          </w:tcPr>
          <w:p w14:paraId="796894A4" w14:textId="77777777" w:rsidR="004A5EA9" w:rsidRPr="008C75E4" w:rsidRDefault="004A5EA9">
            <w:pPr>
              <w:rPr>
                <w:rFonts w:ascii="Calibri" w:hAnsi="Calibri"/>
                <w:szCs w:val="22"/>
              </w:rPr>
            </w:pPr>
          </w:p>
        </w:tc>
      </w:tr>
      <w:tr w:rsidR="008C75E4" w:rsidRPr="008C75E4" w14:paraId="23B07BE1" w14:textId="77777777" w:rsidTr="003E15E3">
        <w:trPr>
          <w:jc w:val="center"/>
        </w:trPr>
        <w:tc>
          <w:tcPr>
            <w:tcW w:w="2394" w:type="dxa"/>
            <w:gridSpan w:val="3"/>
            <w:tcMar>
              <w:top w:w="57" w:type="dxa"/>
              <w:bottom w:w="57" w:type="dxa"/>
            </w:tcMar>
          </w:tcPr>
          <w:p w14:paraId="017354D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06" w:type="dxa"/>
            <w:gridSpan w:val="6"/>
          </w:tcPr>
          <w:p w14:paraId="408AF2C8" w14:textId="77777777" w:rsidR="004A5EA9" w:rsidRPr="00454754" w:rsidRDefault="004A5EA9" w:rsidP="00811771">
            <w:pPr>
              <w:rPr>
                <w:rFonts w:ascii="Calibri" w:hAnsi="Calibri"/>
                <w:b/>
                <w:szCs w:val="22"/>
              </w:rPr>
            </w:pPr>
          </w:p>
        </w:tc>
        <w:tc>
          <w:tcPr>
            <w:tcW w:w="3700" w:type="dxa"/>
            <w:gridSpan w:val="5"/>
            <w:vMerge/>
            <w:tcMar>
              <w:top w:w="57" w:type="dxa"/>
              <w:bottom w:w="57" w:type="dxa"/>
            </w:tcMar>
          </w:tcPr>
          <w:p w14:paraId="2D90B65B" w14:textId="77777777" w:rsidR="004A5EA9" w:rsidRPr="008C75E4" w:rsidRDefault="004A5EA9">
            <w:pPr>
              <w:rPr>
                <w:rFonts w:ascii="Calibri" w:hAnsi="Calibri"/>
                <w:szCs w:val="22"/>
              </w:rPr>
            </w:pPr>
          </w:p>
        </w:tc>
      </w:tr>
      <w:tr w:rsidR="00FD334A" w:rsidRPr="008C75E4" w14:paraId="797903DB" w14:textId="77777777" w:rsidTr="003E15E3">
        <w:trPr>
          <w:jc w:val="center"/>
        </w:trPr>
        <w:tc>
          <w:tcPr>
            <w:tcW w:w="5900" w:type="dxa"/>
            <w:gridSpan w:val="9"/>
            <w:tcBorders>
              <w:bottom w:val="single" w:sz="4" w:space="0" w:color="BFBFBF" w:themeColor="background1" w:themeShade="BF"/>
            </w:tcBorders>
            <w:tcMar>
              <w:top w:w="57" w:type="dxa"/>
              <w:bottom w:w="57" w:type="dxa"/>
            </w:tcMar>
          </w:tcPr>
          <w:p w14:paraId="448D30C4"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794BAB9"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FCC3E26" w14:textId="77777777" w:rsidR="00FD334A" w:rsidRPr="008C75E4" w:rsidRDefault="00B86779" w:rsidP="00FD334A">
            <w:pPr>
              <w:rPr>
                <w:rFonts w:ascii="Calibri" w:hAnsi="Calibri"/>
                <w:b/>
                <w:szCs w:val="22"/>
              </w:rPr>
            </w:pPr>
            <w:r>
              <w:rPr>
                <w:rFonts w:ascii="Calibri" w:hAnsi="Calibri"/>
                <w:b/>
                <w:szCs w:val="22"/>
              </w:rPr>
              <w:t>APPROVE</w:t>
            </w:r>
          </w:p>
        </w:tc>
      </w:tr>
      <w:tr w:rsidR="008C75E4" w:rsidRPr="008C75E4" w14:paraId="38691CB1" w14:textId="77777777" w:rsidTr="003E15E3">
        <w:trPr>
          <w:trHeight w:hRule="exact" w:val="144"/>
          <w:jc w:val="center"/>
        </w:trPr>
        <w:tc>
          <w:tcPr>
            <w:tcW w:w="9600" w:type="dxa"/>
            <w:gridSpan w:val="14"/>
            <w:tcBorders>
              <w:left w:val="nil"/>
              <w:right w:val="nil"/>
            </w:tcBorders>
            <w:tcMar>
              <w:top w:w="57" w:type="dxa"/>
              <w:bottom w:w="57" w:type="dxa"/>
            </w:tcMar>
          </w:tcPr>
          <w:p w14:paraId="3295D069" w14:textId="77777777" w:rsidR="004A5EA9" w:rsidRPr="00504440" w:rsidRDefault="004A5EA9" w:rsidP="007E0D23">
            <w:pPr>
              <w:tabs>
                <w:tab w:val="left" w:pos="4007"/>
              </w:tabs>
              <w:rPr>
                <w:rFonts w:ascii="Calibri" w:hAnsi="Calibri"/>
                <w:b/>
                <w:sz w:val="4"/>
                <w:szCs w:val="4"/>
              </w:rPr>
            </w:pPr>
          </w:p>
        </w:tc>
      </w:tr>
      <w:tr w:rsidR="008C75E4" w:rsidRPr="008C75E4" w14:paraId="1BA50062" w14:textId="77777777" w:rsidTr="003E15E3">
        <w:trPr>
          <w:jc w:val="center"/>
        </w:trPr>
        <w:tc>
          <w:tcPr>
            <w:tcW w:w="3075" w:type="dxa"/>
            <w:gridSpan w:val="5"/>
            <w:tcMar>
              <w:top w:w="57" w:type="dxa"/>
              <w:bottom w:w="57" w:type="dxa"/>
            </w:tcMar>
          </w:tcPr>
          <w:p w14:paraId="337E964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25" w:type="dxa"/>
            <w:gridSpan w:val="9"/>
          </w:tcPr>
          <w:p w14:paraId="1A57214B" w14:textId="77777777" w:rsidR="004A5EA9" w:rsidRPr="008C75E4" w:rsidRDefault="00B86779">
            <w:pPr>
              <w:rPr>
                <w:rFonts w:ascii="Calibri" w:hAnsi="Calibri"/>
                <w:szCs w:val="22"/>
              </w:rPr>
            </w:pPr>
            <w:r w:rsidRPr="00B86779">
              <w:rPr>
                <w:rFonts w:ascii="Calibri" w:hAnsi="Calibri"/>
                <w:szCs w:val="22"/>
              </w:rPr>
              <w:t>Fix thermal insulation to the interior face of the ground-floor rear external wall.</w:t>
            </w:r>
          </w:p>
        </w:tc>
      </w:tr>
      <w:tr w:rsidR="008C75E4" w:rsidRPr="008C75E4" w14:paraId="0AD36AB5" w14:textId="77777777" w:rsidTr="003E15E3">
        <w:trPr>
          <w:jc w:val="center"/>
        </w:trPr>
        <w:tc>
          <w:tcPr>
            <w:tcW w:w="3075" w:type="dxa"/>
            <w:gridSpan w:val="5"/>
            <w:tcBorders>
              <w:bottom w:val="single" w:sz="4" w:space="0" w:color="BFBFBF" w:themeColor="background1" w:themeShade="BF"/>
            </w:tcBorders>
            <w:tcMar>
              <w:top w:w="57" w:type="dxa"/>
              <w:bottom w:w="57" w:type="dxa"/>
            </w:tcMar>
          </w:tcPr>
          <w:p w14:paraId="240C63A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25" w:type="dxa"/>
            <w:gridSpan w:val="9"/>
            <w:tcBorders>
              <w:bottom w:val="single" w:sz="4" w:space="0" w:color="BFBFBF" w:themeColor="background1" w:themeShade="BF"/>
            </w:tcBorders>
          </w:tcPr>
          <w:p w14:paraId="0A58C6E8" w14:textId="77777777" w:rsidR="002A01CF" w:rsidRPr="008C75E4" w:rsidRDefault="00B86779" w:rsidP="00A42E82">
            <w:pPr>
              <w:rPr>
                <w:rFonts w:ascii="Calibri" w:hAnsi="Calibri"/>
                <w:szCs w:val="22"/>
              </w:rPr>
            </w:pPr>
            <w:r w:rsidRPr="00B86779">
              <w:rPr>
                <w:rFonts w:ascii="Calibri" w:hAnsi="Calibri"/>
                <w:szCs w:val="22"/>
              </w:rPr>
              <w:t>Flat 5 Hodder Court Knowles Brow Hurst Green BB7 9PP</w:t>
            </w:r>
          </w:p>
        </w:tc>
      </w:tr>
      <w:tr w:rsidR="008C75E4" w:rsidRPr="008C75E4" w14:paraId="0BD4F8FB" w14:textId="77777777" w:rsidTr="003E15E3">
        <w:trPr>
          <w:trHeight w:hRule="exact" w:val="144"/>
          <w:jc w:val="center"/>
        </w:trPr>
        <w:tc>
          <w:tcPr>
            <w:tcW w:w="9600" w:type="dxa"/>
            <w:gridSpan w:val="14"/>
            <w:tcBorders>
              <w:left w:val="nil"/>
              <w:right w:val="nil"/>
            </w:tcBorders>
            <w:tcMar>
              <w:top w:w="57" w:type="dxa"/>
              <w:bottom w:w="57" w:type="dxa"/>
            </w:tcMar>
          </w:tcPr>
          <w:p w14:paraId="6BB14C9C" w14:textId="77777777" w:rsidR="00A95D89" w:rsidRPr="00504440" w:rsidRDefault="00A95D89" w:rsidP="007E0D23">
            <w:pPr>
              <w:tabs>
                <w:tab w:val="left" w:pos="2667"/>
              </w:tabs>
              <w:rPr>
                <w:rFonts w:ascii="Calibri" w:hAnsi="Calibri"/>
                <w:b/>
                <w:sz w:val="4"/>
                <w:szCs w:val="4"/>
              </w:rPr>
            </w:pPr>
          </w:p>
        </w:tc>
      </w:tr>
      <w:tr w:rsidR="008C75E4" w:rsidRPr="008C75E4" w14:paraId="264B4B53" w14:textId="77777777" w:rsidTr="003E15E3">
        <w:trPr>
          <w:jc w:val="center"/>
        </w:trPr>
        <w:tc>
          <w:tcPr>
            <w:tcW w:w="3075" w:type="dxa"/>
            <w:gridSpan w:val="5"/>
            <w:tcMar>
              <w:top w:w="57" w:type="dxa"/>
              <w:bottom w:w="57" w:type="dxa"/>
            </w:tcMar>
          </w:tcPr>
          <w:p w14:paraId="046075D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25" w:type="dxa"/>
            <w:gridSpan w:val="9"/>
          </w:tcPr>
          <w:p w14:paraId="0395D64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D59D09D" w14:textId="77777777" w:rsidTr="003E15E3">
        <w:trPr>
          <w:jc w:val="center"/>
        </w:trPr>
        <w:tc>
          <w:tcPr>
            <w:tcW w:w="9600" w:type="dxa"/>
            <w:gridSpan w:val="14"/>
            <w:tcBorders>
              <w:bottom w:val="single" w:sz="4" w:space="0" w:color="BFBFBF" w:themeColor="background1" w:themeShade="BF"/>
            </w:tcBorders>
            <w:tcMar>
              <w:top w:w="57" w:type="dxa"/>
              <w:bottom w:w="57" w:type="dxa"/>
            </w:tcMar>
          </w:tcPr>
          <w:p w14:paraId="31957297" w14:textId="77777777" w:rsidR="003A4376" w:rsidRPr="009825FF" w:rsidRDefault="00B86779" w:rsidP="009825FF">
            <w:pPr>
              <w:jc w:val="both"/>
              <w:rPr>
                <w:rFonts w:ascii="Calibri" w:hAnsi="Calibri"/>
                <w:szCs w:val="22"/>
              </w:rPr>
            </w:pPr>
            <w:r>
              <w:rPr>
                <w:rFonts w:ascii="Calibri" w:hAnsi="Calibri"/>
                <w:szCs w:val="22"/>
              </w:rPr>
              <w:t xml:space="preserve">No comments received </w:t>
            </w:r>
          </w:p>
        </w:tc>
      </w:tr>
      <w:tr w:rsidR="008C75E4" w:rsidRPr="008C75E4" w14:paraId="1857ABF0" w14:textId="77777777" w:rsidTr="003E15E3">
        <w:trPr>
          <w:trHeight w:hRule="exact" w:val="144"/>
          <w:jc w:val="center"/>
        </w:trPr>
        <w:tc>
          <w:tcPr>
            <w:tcW w:w="9600" w:type="dxa"/>
            <w:gridSpan w:val="14"/>
            <w:tcBorders>
              <w:left w:val="nil"/>
              <w:right w:val="nil"/>
            </w:tcBorders>
            <w:tcMar>
              <w:top w:w="57" w:type="dxa"/>
              <w:bottom w:w="57" w:type="dxa"/>
            </w:tcMar>
          </w:tcPr>
          <w:p w14:paraId="09A4F500" w14:textId="77777777" w:rsidR="00C618DB" w:rsidRPr="00504440" w:rsidRDefault="00C618DB" w:rsidP="006126D1">
            <w:pPr>
              <w:jc w:val="both"/>
              <w:rPr>
                <w:rFonts w:ascii="Calibri" w:hAnsi="Calibri"/>
                <w:bCs/>
                <w:sz w:val="4"/>
                <w:szCs w:val="4"/>
              </w:rPr>
            </w:pPr>
          </w:p>
        </w:tc>
      </w:tr>
      <w:tr w:rsidR="008C75E4" w:rsidRPr="008C75E4" w14:paraId="55755AF1" w14:textId="77777777" w:rsidTr="003E15E3">
        <w:trPr>
          <w:jc w:val="center"/>
        </w:trPr>
        <w:tc>
          <w:tcPr>
            <w:tcW w:w="3075" w:type="dxa"/>
            <w:gridSpan w:val="5"/>
            <w:tcMar>
              <w:top w:w="57" w:type="dxa"/>
              <w:bottom w:w="57" w:type="dxa"/>
            </w:tcMar>
          </w:tcPr>
          <w:p w14:paraId="766BCCB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25" w:type="dxa"/>
            <w:gridSpan w:val="9"/>
          </w:tcPr>
          <w:p w14:paraId="209A2B2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E7786C0" w14:textId="77777777" w:rsidTr="003E15E3">
        <w:trPr>
          <w:jc w:val="center"/>
        </w:trPr>
        <w:tc>
          <w:tcPr>
            <w:tcW w:w="3075" w:type="dxa"/>
            <w:gridSpan w:val="5"/>
            <w:tcMar>
              <w:top w:w="57" w:type="dxa"/>
              <w:bottom w:w="57" w:type="dxa"/>
            </w:tcMar>
          </w:tcPr>
          <w:p w14:paraId="122EB41C" w14:textId="77777777" w:rsidR="002A01CF" w:rsidRPr="008C75E4" w:rsidRDefault="00802E8C" w:rsidP="006126D1">
            <w:pPr>
              <w:jc w:val="both"/>
              <w:rPr>
                <w:rFonts w:ascii="Calibri" w:hAnsi="Calibri"/>
                <w:b/>
                <w:szCs w:val="22"/>
              </w:rPr>
            </w:pPr>
            <w:r>
              <w:rPr>
                <w:rFonts w:ascii="Calibri" w:hAnsi="Calibri"/>
                <w:b/>
                <w:szCs w:val="22"/>
              </w:rPr>
              <w:t>RVBC Conservation Officer</w:t>
            </w:r>
          </w:p>
        </w:tc>
        <w:tc>
          <w:tcPr>
            <w:tcW w:w="6525" w:type="dxa"/>
            <w:gridSpan w:val="9"/>
          </w:tcPr>
          <w:p w14:paraId="24C04082" w14:textId="77777777" w:rsidR="002A01CF" w:rsidRPr="00802E8C" w:rsidRDefault="00802E8C" w:rsidP="006126D1">
            <w:pPr>
              <w:jc w:val="both"/>
              <w:rPr>
                <w:rFonts w:ascii="Calibri" w:hAnsi="Calibri"/>
                <w:szCs w:val="22"/>
              </w:rPr>
            </w:pPr>
            <w:r w:rsidRPr="00802E8C">
              <w:rPr>
                <w:rFonts w:ascii="Calibri" w:hAnsi="Calibri"/>
                <w:szCs w:val="22"/>
              </w:rPr>
              <w:t xml:space="preserve">Insulation in a building of traditional construction should be considered carefully. Refer to guidance from, SPAB, Historic England and IHBC. </w:t>
            </w:r>
          </w:p>
        </w:tc>
      </w:tr>
      <w:tr w:rsidR="008C75E4" w:rsidRPr="008C75E4" w14:paraId="30EC232E" w14:textId="77777777" w:rsidTr="003E15E3">
        <w:trPr>
          <w:jc w:val="center"/>
        </w:trPr>
        <w:tc>
          <w:tcPr>
            <w:tcW w:w="9600" w:type="dxa"/>
            <w:gridSpan w:val="14"/>
            <w:tcMar>
              <w:top w:w="57" w:type="dxa"/>
              <w:bottom w:w="57" w:type="dxa"/>
            </w:tcMar>
          </w:tcPr>
          <w:p w14:paraId="4A79778C" w14:textId="77777777" w:rsidR="00C0704D" w:rsidRPr="008C75E4" w:rsidRDefault="00C0704D" w:rsidP="00FC046F">
            <w:pPr>
              <w:jc w:val="both"/>
              <w:rPr>
                <w:rFonts w:ascii="Calibri" w:hAnsi="Calibri"/>
                <w:szCs w:val="22"/>
              </w:rPr>
            </w:pPr>
          </w:p>
        </w:tc>
      </w:tr>
      <w:tr w:rsidR="008C75E4" w:rsidRPr="008C75E4" w14:paraId="6517D6E3" w14:textId="77777777" w:rsidTr="003E15E3">
        <w:trPr>
          <w:jc w:val="center"/>
        </w:trPr>
        <w:tc>
          <w:tcPr>
            <w:tcW w:w="3075" w:type="dxa"/>
            <w:gridSpan w:val="5"/>
            <w:tcMar>
              <w:top w:w="57" w:type="dxa"/>
              <w:bottom w:w="57" w:type="dxa"/>
            </w:tcMar>
          </w:tcPr>
          <w:p w14:paraId="6E0E761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25" w:type="dxa"/>
            <w:gridSpan w:val="9"/>
          </w:tcPr>
          <w:p w14:paraId="3BD492F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83A4F4A" w14:textId="77777777" w:rsidTr="003E15E3">
        <w:trPr>
          <w:jc w:val="center"/>
        </w:trPr>
        <w:tc>
          <w:tcPr>
            <w:tcW w:w="9600" w:type="dxa"/>
            <w:gridSpan w:val="14"/>
            <w:tcBorders>
              <w:bottom w:val="single" w:sz="4" w:space="0" w:color="BFBFBF" w:themeColor="background1" w:themeShade="BF"/>
            </w:tcBorders>
            <w:tcMar>
              <w:top w:w="57" w:type="dxa"/>
              <w:bottom w:w="57" w:type="dxa"/>
            </w:tcMar>
          </w:tcPr>
          <w:p w14:paraId="5E9BC0A4" w14:textId="77777777" w:rsidR="005878FE" w:rsidRPr="00435FC9" w:rsidRDefault="005878FE" w:rsidP="00435FC9">
            <w:pPr>
              <w:jc w:val="both"/>
              <w:rPr>
                <w:rFonts w:ascii="Calibri" w:hAnsi="Calibri"/>
                <w:szCs w:val="22"/>
              </w:rPr>
            </w:pPr>
          </w:p>
        </w:tc>
      </w:tr>
      <w:tr w:rsidR="008C75E4" w:rsidRPr="008C75E4" w14:paraId="7D322B76" w14:textId="77777777" w:rsidTr="003E15E3">
        <w:trPr>
          <w:trHeight w:hRule="exact" w:val="144"/>
          <w:jc w:val="center"/>
        </w:trPr>
        <w:tc>
          <w:tcPr>
            <w:tcW w:w="9600" w:type="dxa"/>
            <w:gridSpan w:val="14"/>
            <w:tcBorders>
              <w:left w:val="nil"/>
              <w:right w:val="nil"/>
            </w:tcBorders>
            <w:tcMar>
              <w:top w:w="57" w:type="dxa"/>
              <w:bottom w:w="57" w:type="dxa"/>
            </w:tcMar>
          </w:tcPr>
          <w:p w14:paraId="10007917" w14:textId="77777777" w:rsidR="00C0704D" w:rsidRPr="00504440" w:rsidRDefault="00C0704D" w:rsidP="006126D1">
            <w:pPr>
              <w:jc w:val="both"/>
              <w:rPr>
                <w:rFonts w:ascii="Calibri" w:hAnsi="Calibri"/>
                <w:sz w:val="4"/>
                <w:szCs w:val="4"/>
              </w:rPr>
            </w:pPr>
          </w:p>
        </w:tc>
      </w:tr>
      <w:tr w:rsidR="008C75E4" w:rsidRPr="008C75E4" w14:paraId="6EF5B2D6" w14:textId="77777777" w:rsidTr="003E15E3">
        <w:trPr>
          <w:jc w:val="center"/>
        </w:trPr>
        <w:tc>
          <w:tcPr>
            <w:tcW w:w="9600" w:type="dxa"/>
            <w:gridSpan w:val="14"/>
            <w:tcMar>
              <w:top w:w="57" w:type="dxa"/>
              <w:bottom w:w="57" w:type="dxa"/>
            </w:tcMar>
          </w:tcPr>
          <w:p w14:paraId="08BA525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2AECFD2B" w14:textId="77777777" w:rsidTr="003E15E3">
        <w:trPr>
          <w:trHeight w:val="864"/>
          <w:jc w:val="center"/>
        </w:trPr>
        <w:tc>
          <w:tcPr>
            <w:tcW w:w="9600" w:type="dxa"/>
            <w:gridSpan w:val="14"/>
            <w:tcMar>
              <w:top w:w="57" w:type="dxa"/>
              <w:bottom w:w="57" w:type="dxa"/>
            </w:tcMar>
          </w:tcPr>
          <w:p w14:paraId="62DAB6C6"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1C8D44FF" w14:textId="77777777" w:rsidR="00A5696B" w:rsidRPr="00A5696B" w:rsidRDefault="00A5696B" w:rsidP="00A5696B">
            <w:pPr>
              <w:jc w:val="both"/>
              <w:rPr>
                <w:rFonts w:ascii="Calibri" w:hAnsi="Calibri"/>
                <w:bCs/>
                <w:szCs w:val="22"/>
              </w:rPr>
            </w:pPr>
            <w:r w:rsidRPr="00A5696B">
              <w:rPr>
                <w:rFonts w:ascii="Calibri" w:hAnsi="Calibri"/>
                <w:bCs/>
                <w:szCs w:val="22"/>
              </w:rPr>
              <w:t>Key Statement EN5 – Heritage Assets</w:t>
            </w:r>
          </w:p>
          <w:p w14:paraId="729CB8B6" w14:textId="77777777" w:rsidR="00A5696B" w:rsidRPr="00A5696B" w:rsidRDefault="00A5696B" w:rsidP="00A5696B">
            <w:pPr>
              <w:jc w:val="both"/>
              <w:rPr>
                <w:rFonts w:ascii="Calibri" w:hAnsi="Calibri"/>
                <w:bCs/>
                <w:szCs w:val="22"/>
              </w:rPr>
            </w:pPr>
            <w:r w:rsidRPr="00A5696B">
              <w:rPr>
                <w:rFonts w:ascii="Calibri" w:hAnsi="Calibri"/>
                <w:bCs/>
                <w:szCs w:val="22"/>
              </w:rPr>
              <w:t>Policy DME4 – Protecting Heritage Assets</w:t>
            </w:r>
          </w:p>
          <w:p w14:paraId="3C00860E" w14:textId="77777777" w:rsidR="00A5696B" w:rsidRDefault="00A5696B" w:rsidP="00A5696B">
            <w:pPr>
              <w:jc w:val="both"/>
              <w:rPr>
                <w:rFonts w:ascii="Calibri" w:hAnsi="Calibri"/>
                <w:bCs/>
                <w:szCs w:val="22"/>
              </w:rPr>
            </w:pPr>
            <w:r w:rsidRPr="00A5696B">
              <w:rPr>
                <w:rFonts w:ascii="Calibri" w:hAnsi="Calibri"/>
                <w:bCs/>
                <w:szCs w:val="22"/>
              </w:rPr>
              <w:t>Policy DMG1 – General Considerations</w:t>
            </w:r>
          </w:p>
          <w:p w14:paraId="5D0FCE93" w14:textId="77777777" w:rsidR="00A5696B" w:rsidRDefault="00A5696B" w:rsidP="00A5696B">
            <w:pPr>
              <w:jc w:val="both"/>
              <w:rPr>
                <w:rFonts w:ascii="Calibri" w:hAnsi="Calibri"/>
                <w:szCs w:val="22"/>
              </w:rPr>
            </w:pPr>
            <w:r w:rsidRPr="003E15E3">
              <w:rPr>
                <w:rFonts w:ascii="Calibri" w:hAnsi="Calibri"/>
                <w:szCs w:val="22"/>
              </w:rPr>
              <w:t>Planning (Listed Buildings and Conservation Areas) Act 1990</w:t>
            </w:r>
          </w:p>
          <w:p w14:paraId="7BA2ADA8" w14:textId="1908B25E" w:rsidR="00A5696B" w:rsidRPr="008C75E4" w:rsidRDefault="00A5696B" w:rsidP="00A5696B">
            <w:pPr>
              <w:jc w:val="both"/>
              <w:rPr>
                <w:rFonts w:ascii="Calibri" w:hAnsi="Calibri"/>
                <w:b/>
                <w:szCs w:val="22"/>
              </w:rPr>
            </w:pPr>
            <w:r>
              <w:rPr>
                <w:rFonts w:ascii="Calibri" w:hAnsi="Calibri"/>
                <w:szCs w:val="22"/>
              </w:rPr>
              <w:t xml:space="preserve">National Planning Policy Framework (NPPF) </w:t>
            </w:r>
          </w:p>
        </w:tc>
      </w:tr>
      <w:tr w:rsidR="008C75E4" w:rsidRPr="008C75E4" w14:paraId="1A9C2605" w14:textId="77777777" w:rsidTr="003E15E3">
        <w:trPr>
          <w:trHeight w:val="864"/>
          <w:jc w:val="center"/>
        </w:trPr>
        <w:tc>
          <w:tcPr>
            <w:tcW w:w="9600" w:type="dxa"/>
            <w:gridSpan w:val="14"/>
            <w:tcBorders>
              <w:bottom w:val="single" w:sz="4" w:space="0" w:color="BFBFBF" w:themeColor="background1" w:themeShade="BF"/>
            </w:tcBorders>
            <w:tcMar>
              <w:top w:w="57" w:type="dxa"/>
              <w:bottom w:w="57" w:type="dxa"/>
            </w:tcMar>
          </w:tcPr>
          <w:p w14:paraId="60B92D44"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B0A70F4" w14:textId="59F64CC6" w:rsidR="00101855" w:rsidRPr="001946E0" w:rsidRDefault="00A5696B" w:rsidP="00454754">
            <w:pPr>
              <w:pStyle w:val="PLANNING"/>
              <w:rPr>
                <w:rFonts w:ascii="Calibri" w:hAnsi="Calibri"/>
                <w:bCs/>
                <w:szCs w:val="22"/>
              </w:rPr>
            </w:pPr>
            <w:r>
              <w:rPr>
                <w:rFonts w:ascii="Calibri" w:hAnsi="Calibri"/>
                <w:bCs/>
                <w:szCs w:val="22"/>
              </w:rPr>
              <w:t xml:space="preserve">None </w:t>
            </w:r>
          </w:p>
        </w:tc>
      </w:tr>
      <w:tr w:rsidR="008C75E4" w:rsidRPr="008C75E4" w14:paraId="7912D99B" w14:textId="77777777" w:rsidTr="003E15E3">
        <w:trPr>
          <w:trHeight w:hRule="exact" w:val="144"/>
          <w:jc w:val="center"/>
        </w:trPr>
        <w:tc>
          <w:tcPr>
            <w:tcW w:w="9600" w:type="dxa"/>
            <w:gridSpan w:val="14"/>
            <w:tcBorders>
              <w:left w:val="nil"/>
              <w:right w:val="nil"/>
            </w:tcBorders>
            <w:tcMar>
              <w:top w:w="57" w:type="dxa"/>
              <w:bottom w:w="57" w:type="dxa"/>
            </w:tcMar>
          </w:tcPr>
          <w:p w14:paraId="736B5E70" w14:textId="77777777" w:rsidR="003F16AA" w:rsidRPr="00504440" w:rsidRDefault="003F16AA" w:rsidP="00504440">
            <w:pPr>
              <w:rPr>
                <w:sz w:val="4"/>
                <w:szCs w:val="4"/>
              </w:rPr>
            </w:pPr>
          </w:p>
        </w:tc>
      </w:tr>
      <w:tr w:rsidR="008C75E4" w:rsidRPr="008C75E4" w14:paraId="3A11D8E3" w14:textId="77777777" w:rsidTr="003E15E3">
        <w:trPr>
          <w:jc w:val="center"/>
        </w:trPr>
        <w:tc>
          <w:tcPr>
            <w:tcW w:w="9600" w:type="dxa"/>
            <w:gridSpan w:val="14"/>
            <w:tcMar>
              <w:top w:w="57" w:type="dxa"/>
              <w:bottom w:w="57" w:type="dxa"/>
            </w:tcMar>
          </w:tcPr>
          <w:p w14:paraId="6333174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44D4F03" w14:textId="77777777" w:rsidTr="003E15E3">
        <w:trPr>
          <w:trHeight w:val="1152"/>
          <w:jc w:val="center"/>
        </w:trPr>
        <w:tc>
          <w:tcPr>
            <w:tcW w:w="9600" w:type="dxa"/>
            <w:gridSpan w:val="14"/>
            <w:tcMar>
              <w:top w:w="57" w:type="dxa"/>
              <w:bottom w:w="57" w:type="dxa"/>
            </w:tcMar>
          </w:tcPr>
          <w:p w14:paraId="59BA563A"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C8AE023" w14:textId="77777777" w:rsidR="006532C4" w:rsidRDefault="006532C4" w:rsidP="00454754">
            <w:pPr>
              <w:pStyle w:val="Header"/>
              <w:tabs>
                <w:tab w:val="clear" w:pos="4153"/>
                <w:tab w:val="clear" w:pos="8306"/>
              </w:tabs>
              <w:contextualSpacing/>
              <w:jc w:val="both"/>
              <w:rPr>
                <w:rFonts w:ascii="Calibri" w:hAnsi="Calibri"/>
                <w:szCs w:val="22"/>
              </w:rPr>
            </w:pPr>
            <w:r w:rsidRPr="006532C4">
              <w:rPr>
                <w:rFonts w:ascii="Calibri" w:hAnsi="Calibri"/>
                <w:szCs w:val="22"/>
              </w:rPr>
              <w:t>The application property is a ground floor apartment within Hodder Court which is in residential use as apartments and dwellings. The building is a U shape which forms an enclosed courtyard.</w:t>
            </w:r>
          </w:p>
          <w:p w14:paraId="56C57C39" w14:textId="77777777" w:rsidR="006532C4" w:rsidRDefault="006532C4" w:rsidP="00454754">
            <w:pPr>
              <w:pStyle w:val="Header"/>
              <w:tabs>
                <w:tab w:val="clear" w:pos="4153"/>
                <w:tab w:val="clear" w:pos="8306"/>
              </w:tabs>
              <w:contextualSpacing/>
              <w:jc w:val="both"/>
              <w:rPr>
                <w:rFonts w:ascii="Calibri" w:hAnsi="Calibri"/>
                <w:szCs w:val="22"/>
              </w:rPr>
            </w:pPr>
          </w:p>
          <w:p w14:paraId="713B8AEB" w14:textId="513278EE" w:rsidR="006532C4" w:rsidRPr="006532C4" w:rsidRDefault="006532C4"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building was formerly associated with </w:t>
            </w:r>
            <w:proofErr w:type="spellStart"/>
            <w:r>
              <w:rPr>
                <w:rFonts w:ascii="Calibri" w:hAnsi="Calibri"/>
                <w:szCs w:val="22"/>
              </w:rPr>
              <w:t>Stoneyhurst</w:t>
            </w:r>
            <w:proofErr w:type="spellEnd"/>
            <w:r>
              <w:rPr>
                <w:rFonts w:ascii="Calibri" w:hAnsi="Calibri"/>
                <w:szCs w:val="22"/>
              </w:rPr>
              <w:t xml:space="preserve"> </w:t>
            </w:r>
            <w:r w:rsidR="00A5696B">
              <w:rPr>
                <w:rFonts w:ascii="Calibri" w:hAnsi="Calibri"/>
                <w:szCs w:val="22"/>
              </w:rPr>
              <w:t>C</w:t>
            </w:r>
            <w:r>
              <w:rPr>
                <w:rFonts w:ascii="Calibri" w:hAnsi="Calibri"/>
                <w:szCs w:val="22"/>
              </w:rPr>
              <w:t xml:space="preserve">ollege and is located at the end of an unadopted private drove off Knowles Brow. It has previously been used as </w:t>
            </w:r>
          </w:p>
        </w:tc>
      </w:tr>
      <w:tr w:rsidR="008C75E4" w:rsidRPr="008C75E4" w14:paraId="35257EF5" w14:textId="77777777" w:rsidTr="003E15E3">
        <w:trPr>
          <w:trHeight w:val="1152"/>
          <w:jc w:val="center"/>
        </w:trPr>
        <w:tc>
          <w:tcPr>
            <w:tcW w:w="9600" w:type="dxa"/>
            <w:gridSpan w:val="14"/>
            <w:tcMar>
              <w:top w:w="57" w:type="dxa"/>
              <w:bottom w:w="57" w:type="dxa"/>
            </w:tcMar>
          </w:tcPr>
          <w:p w14:paraId="74DCE07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89BD573" w14:textId="77777777" w:rsidR="00454754" w:rsidRDefault="006532C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listed building consent for the fitting of internal insulation to the North facing </w:t>
            </w:r>
            <w:proofErr w:type="gramStart"/>
            <w:r>
              <w:rPr>
                <w:rFonts w:ascii="Calibri" w:hAnsi="Calibri"/>
                <w:szCs w:val="22"/>
              </w:rPr>
              <w:t>wall  of</w:t>
            </w:r>
            <w:proofErr w:type="gramEnd"/>
            <w:r>
              <w:rPr>
                <w:rFonts w:ascii="Calibri" w:hAnsi="Calibri"/>
                <w:szCs w:val="22"/>
              </w:rPr>
              <w:t xml:space="preserve"> the ground floor apartment. </w:t>
            </w:r>
          </w:p>
          <w:p w14:paraId="6D587ACF" w14:textId="77777777" w:rsidR="006532C4" w:rsidRDefault="006532C4" w:rsidP="00454754">
            <w:pPr>
              <w:pStyle w:val="Header"/>
              <w:tabs>
                <w:tab w:val="clear" w:pos="4153"/>
                <w:tab w:val="clear" w:pos="8306"/>
              </w:tabs>
              <w:jc w:val="both"/>
              <w:rPr>
                <w:rFonts w:ascii="Calibri" w:hAnsi="Calibri"/>
                <w:szCs w:val="22"/>
              </w:rPr>
            </w:pPr>
          </w:p>
          <w:p w14:paraId="766C55D3" w14:textId="77777777" w:rsidR="006532C4" w:rsidRPr="00F012FA" w:rsidRDefault="006532C4" w:rsidP="00454754">
            <w:pPr>
              <w:pStyle w:val="Header"/>
              <w:tabs>
                <w:tab w:val="clear" w:pos="4153"/>
                <w:tab w:val="clear" w:pos="8306"/>
              </w:tabs>
              <w:jc w:val="both"/>
              <w:rPr>
                <w:rFonts w:ascii="Calibri" w:hAnsi="Calibri"/>
                <w:szCs w:val="22"/>
              </w:rPr>
            </w:pPr>
            <w:r>
              <w:rPr>
                <w:rFonts w:ascii="Calibri" w:hAnsi="Calibri"/>
                <w:szCs w:val="22"/>
              </w:rPr>
              <w:t xml:space="preserve">The building is Grade II listed and parts of </w:t>
            </w:r>
            <w:proofErr w:type="gramStart"/>
            <w:r>
              <w:rPr>
                <w:rFonts w:ascii="Calibri" w:hAnsi="Calibri"/>
                <w:szCs w:val="22"/>
              </w:rPr>
              <w:t>it</w:t>
            </w:r>
            <w:proofErr w:type="gramEnd"/>
            <w:r>
              <w:rPr>
                <w:rFonts w:ascii="Calibri" w:hAnsi="Calibri"/>
                <w:szCs w:val="22"/>
              </w:rPr>
              <w:t xml:space="preserve"> date from the 18</w:t>
            </w:r>
            <w:r w:rsidRPr="006532C4">
              <w:rPr>
                <w:rFonts w:ascii="Calibri" w:hAnsi="Calibri"/>
                <w:szCs w:val="22"/>
                <w:vertAlign w:val="superscript"/>
              </w:rPr>
              <w:t>th</w:t>
            </w:r>
            <w:r>
              <w:rPr>
                <w:rFonts w:ascii="Calibri" w:hAnsi="Calibri"/>
                <w:szCs w:val="22"/>
                <w:vertAlign w:val="superscript"/>
              </w:rPr>
              <w:t xml:space="preserve"> </w:t>
            </w:r>
            <w:r>
              <w:rPr>
                <w:rFonts w:ascii="Calibri" w:hAnsi="Calibri"/>
                <w:szCs w:val="22"/>
              </w:rPr>
              <w:t>and 19</w:t>
            </w:r>
            <w:r w:rsidRPr="006532C4">
              <w:rPr>
                <w:rFonts w:ascii="Calibri" w:hAnsi="Calibri"/>
                <w:szCs w:val="22"/>
                <w:vertAlign w:val="superscript"/>
              </w:rPr>
              <w:t>t</w:t>
            </w:r>
            <w:r>
              <w:rPr>
                <w:rFonts w:ascii="Calibri" w:hAnsi="Calibri"/>
                <w:szCs w:val="22"/>
                <w:vertAlign w:val="superscript"/>
              </w:rPr>
              <w:t xml:space="preserve">h </w:t>
            </w:r>
            <w:r>
              <w:rPr>
                <w:rFonts w:ascii="Calibri" w:hAnsi="Calibri"/>
                <w:szCs w:val="22"/>
              </w:rPr>
              <w:t>and 20</w:t>
            </w:r>
            <w:r w:rsidRPr="006532C4">
              <w:rPr>
                <w:rFonts w:ascii="Calibri" w:hAnsi="Calibri"/>
                <w:szCs w:val="22"/>
                <w:vertAlign w:val="superscript"/>
              </w:rPr>
              <w:t>th</w:t>
            </w:r>
            <w:r>
              <w:rPr>
                <w:rFonts w:ascii="Calibri" w:hAnsi="Calibri"/>
                <w:szCs w:val="22"/>
              </w:rPr>
              <w:t xml:space="preserve"> centur</w:t>
            </w:r>
            <w:r w:rsidR="003E15E3">
              <w:rPr>
                <w:rFonts w:ascii="Calibri" w:hAnsi="Calibri"/>
                <w:szCs w:val="22"/>
              </w:rPr>
              <w:t>ies</w:t>
            </w:r>
            <w:r>
              <w:rPr>
                <w:rFonts w:ascii="Calibri" w:hAnsi="Calibri"/>
                <w:szCs w:val="22"/>
              </w:rPr>
              <w:t xml:space="preserve">. It has been a private dwelling, a school, a noviciate </w:t>
            </w:r>
            <w:proofErr w:type="gramStart"/>
            <w:r>
              <w:rPr>
                <w:rFonts w:ascii="Calibri" w:hAnsi="Calibri"/>
                <w:szCs w:val="22"/>
              </w:rPr>
              <w:t>and also</w:t>
            </w:r>
            <w:proofErr w:type="gramEnd"/>
            <w:r>
              <w:rPr>
                <w:rFonts w:ascii="Calibri" w:hAnsi="Calibri"/>
                <w:szCs w:val="22"/>
              </w:rPr>
              <w:t xml:space="preserve"> suffered a period of dereliction before being converted to apartments</w:t>
            </w:r>
            <w:r w:rsidR="003E15E3">
              <w:rPr>
                <w:rFonts w:ascii="Calibri" w:hAnsi="Calibri"/>
                <w:szCs w:val="22"/>
              </w:rPr>
              <w:t xml:space="preserve"> in the 1970s or 80s. It was Grade II listed in 1983. </w:t>
            </w:r>
          </w:p>
        </w:tc>
      </w:tr>
      <w:tr w:rsidR="00C214A6" w:rsidRPr="008C75E4" w14:paraId="08ADC209" w14:textId="77777777" w:rsidTr="003E15E3">
        <w:trPr>
          <w:trHeight w:val="864"/>
          <w:jc w:val="center"/>
        </w:trPr>
        <w:tc>
          <w:tcPr>
            <w:tcW w:w="9600" w:type="dxa"/>
            <w:gridSpan w:val="14"/>
            <w:tcMar>
              <w:top w:w="57" w:type="dxa"/>
              <w:bottom w:w="57" w:type="dxa"/>
            </w:tcMar>
          </w:tcPr>
          <w:p w14:paraId="7A8447DB"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3FC58802" w14:textId="77777777" w:rsidR="003E15E3" w:rsidRPr="003E15E3" w:rsidRDefault="003E15E3" w:rsidP="003E15E3">
            <w:pPr>
              <w:pStyle w:val="Header"/>
              <w:jc w:val="both"/>
              <w:rPr>
                <w:rFonts w:ascii="Calibri" w:hAnsi="Calibri"/>
                <w:szCs w:val="22"/>
              </w:rPr>
            </w:pPr>
            <w:r w:rsidRPr="003E15E3">
              <w:rPr>
                <w:rFonts w:ascii="Calibri" w:hAnsi="Calibri"/>
                <w:szCs w:val="22"/>
              </w:rPr>
              <w:t>The LPA must accord with their duties at sections 16, 66 and 72 of the Planning (Listed Buildings and Conservation Areas) Act 1990 which state:</w:t>
            </w:r>
          </w:p>
          <w:p w14:paraId="17FF7A7D" w14:textId="77777777" w:rsidR="003E15E3" w:rsidRPr="003E15E3" w:rsidRDefault="003E15E3" w:rsidP="003E15E3">
            <w:pPr>
              <w:pStyle w:val="Header"/>
              <w:jc w:val="both"/>
              <w:rPr>
                <w:rFonts w:ascii="Calibri" w:hAnsi="Calibri"/>
                <w:szCs w:val="22"/>
              </w:rPr>
            </w:pPr>
          </w:p>
          <w:p w14:paraId="3F0AC502" w14:textId="77777777" w:rsidR="00D102D9" w:rsidRDefault="003E15E3" w:rsidP="003E15E3">
            <w:pPr>
              <w:pStyle w:val="Header"/>
              <w:jc w:val="both"/>
              <w:rPr>
                <w:rFonts w:ascii="Calibri" w:hAnsi="Calibri"/>
                <w:i/>
                <w:szCs w:val="22"/>
              </w:rPr>
            </w:pPr>
            <w:r w:rsidRPr="003E15E3">
              <w:rPr>
                <w:rFonts w:ascii="Calibri" w:hAnsi="Calibri"/>
                <w:i/>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1B34AF07" w14:textId="77777777" w:rsidR="003E15E3" w:rsidRDefault="003E15E3" w:rsidP="003E15E3">
            <w:pPr>
              <w:pStyle w:val="Header"/>
              <w:jc w:val="both"/>
              <w:rPr>
                <w:rFonts w:ascii="Calibri" w:hAnsi="Calibri"/>
                <w:i/>
                <w:szCs w:val="22"/>
              </w:rPr>
            </w:pPr>
          </w:p>
          <w:p w14:paraId="4F2B5617" w14:textId="77777777" w:rsidR="003E15E3" w:rsidRPr="003E15E3" w:rsidRDefault="003E15E3" w:rsidP="003E15E3">
            <w:pPr>
              <w:tabs>
                <w:tab w:val="center" w:pos="4153"/>
                <w:tab w:val="right" w:pos="8306"/>
              </w:tabs>
              <w:spacing w:after="160" w:line="259" w:lineRule="auto"/>
              <w:jc w:val="both"/>
              <w:rPr>
                <w:rFonts w:ascii="Calibri" w:hAnsi="Calibri" w:cs="Calibri"/>
              </w:rPr>
            </w:pPr>
            <w:r w:rsidRPr="003E15E3">
              <w:rPr>
                <w:rFonts w:ascii="Calibri" w:hAnsi="Calibri" w:cs="Calibri"/>
                <w:szCs w:val="22"/>
              </w:rPr>
              <w:t xml:space="preserve">The NPPF at paragraph 16 sets out expectations with regards to </w:t>
            </w:r>
            <w:r w:rsidRPr="003E15E3">
              <w:rPr>
                <w:rFonts w:ascii="Calibri" w:hAnsi="Calibri" w:cs="Calibri"/>
              </w:rPr>
              <w:t>conserving and enhancing the historic environment. Applicants are required to describe the significance of any heritage assets affected, including any contribution made by their setting.</w:t>
            </w:r>
          </w:p>
          <w:p w14:paraId="4C92932F" w14:textId="77777777" w:rsidR="003E15E3" w:rsidRPr="003E15E3" w:rsidRDefault="003E15E3" w:rsidP="003E15E3">
            <w:pPr>
              <w:spacing w:after="160" w:line="259" w:lineRule="auto"/>
              <w:jc w:val="both"/>
              <w:rPr>
                <w:rFonts w:ascii="Calibri" w:hAnsi="Calibri"/>
                <w:szCs w:val="22"/>
              </w:rPr>
            </w:pPr>
          </w:p>
          <w:p w14:paraId="2E256251" w14:textId="77777777" w:rsidR="003E15E3" w:rsidRPr="003E15E3" w:rsidRDefault="003E15E3" w:rsidP="003E15E3">
            <w:pPr>
              <w:spacing w:after="160" w:line="259" w:lineRule="auto"/>
              <w:jc w:val="both"/>
              <w:rPr>
                <w:rFonts w:ascii="Calibri" w:hAnsi="Calibri"/>
                <w:szCs w:val="22"/>
              </w:rPr>
            </w:pPr>
            <w:r w:rsidRPr="003E15E3">
              <w:rPr>
                <w:rFonts w:ascii="Calibri" w:hAnsi="Calibri"/>
                <w:szCs w:val="22"/>
              </w:rPr>
              <w:t xml:space="preserve">The council should consider any loss of historic fabric to constitute harm, but to make an assessment as to the significance of the asset and apply weight to its conservation accordingly.  </w:t>
            </w:r>
          </w:p>
          <w:p w14:paraId="6B399B02" w14:textId="77777777" w:rsidR="003E15E3" w:rsidRPr="003E15E3" w:rsidRDefault="003E15E3" w:rsidP="003E15E3">
            <w:pPr>
              <w:spacing w:after="160" w:line="259" w:lineRule="auto"/>
              <w:jc w:val="both"/>
              <w:rPr>
                <w:rFonts w:ascii="Calibri" w:hAnsi="Calibri"/>
                <w:i/>
                <w:szCs w:val="22"/>
              </w:rPr>
            </w:pPr>
          </w:p>
          <w:p w14:paraId="1BFC96E9" w14:textId="77777777" w:rsidR="003E15E3" w:rsidRPr="003E15E3" w:rsidRDefault="003E15E3" w:rsidP="003E15E3">
            <w:pPr>
              <w:tabs>
                <w:tab w:val="center" w:pos="4153"/>
                <w:tab w:val="right" w:pos="8306"/>
              </w:tabs>
              <w:spacing w:after="160" w:line="259" w:lineRule="auto"/>
              <w:jc w:val="both"/>
              <w:rPr>
                <w:rFonts w:ascii="Calibri" w:hAnsi="Calibri"/>
                <w:szCs w:val="22"/>
              </w:rPr>
            </w:pPr>
            <w:r w:rsidRPr="003E15E3">
              <w:rPr>
                <w:rFonts w:ascii="Calibri" w:hAnsi="Calibri"/>
                <w:szCs w:val="22"/>
              </w:rPr>
              <w:t xml:space="preserve">Para 202 of the NPPF States  </w:t>
            </w:r>
          </w:p>
          <w:p w14:paraId="443633CC" w14:textId="77777777" w:rsidR="003E15E3" w:rsidRPr="003E15E3" w:rsidRDefault="003E15E3" w:rsidP="003E15E3">
            <w:pPr>
              <w:tabs>
                <w:tab w:val="center" w:pos="4153"/>
                <w:tab w:val="right" w:pos="8306"/>
              </w:tabs>
              <w:spacing w:after="160" w:line="259" w:lineRule="auto"/>
              <w:jc w:val="both"/>
              <w:rPr>
                <w:rFonts w:ascii="Calibri" w:hAnsi="Calibri"/>
                <w:i/>
                <w:szCs w:val="22"/>
              </w:rPr>
            </w:pPr>
          </w:p>
          <w:p w14:paraId="6E6DFA10" w14:textId="77777777" w:rsidR="003E15E3" w:rsidRPr="003E15E3" w:rsidRDefault="003E15E3" w:rsidP="003E15E3">
            <w:pPr>
              <w:spacing w:after="160" w:line="259" w:lineRule="auto"/>
              <w:jc w:val="both"/>
              <w:rPr>
                <w:rFonts w:ascii="Calibri" w:hAnsi="Calibri"/>
                <w:i/>
                <w:szCs w:val="22"/>
              </w:rPr>
            </w:pPr>
            <w:r w:rsidRPr="003E15E3">
              <w:rPr>
                <w:rFonts w:ascii="Calibri" w:hAnsi="Calibri"/>
                <w:i/>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0C1F39AB" w14:textId="77777777" w:rsidR="003E15E3" w:rsidRPr="003E15E3" w:rsidRDefault="003E15E3" w:rsidP="003E15E3">
            <w:pPr>
              <w:spacing w:after="160" w:line="259" w:lineRule="auto"/>
              <w:jc w:val="both"/>
              <w:rPr>
                <w:rFonts w:ascii="Calibri" w:hAnsi="Calibri"/>
                <w:szCs w:val="22"/>
              </w:rPr>
            </w:pPr>
          </w:p>
          <w:p w14:paraId="24F4005B" w14:textId="77777777" w:rsidR="003E15E3" w:rsidRPr="003E15E3" w:rsidRDefault="003E15E3" w:rsidP="003E15E3">
            <w:pPr>
              <w:spacing w:after="160" w:line="259" w:lineRule="auto"/>
              <w:jc w:val="both"/>
              <w:rPr>
                <w:rFonts w:ascii="Calibri" w:hAnsi="Calibri"/>
                <w:szCs w:val="22"/>
              </w:rPr>
            </w:pPr>
            <w:r w:rsidRPr="003E15E3">
              <w:rPr>
                <w:rFonts w:ascii="Calibri" w:hAnsi="Calibri"/>
                <w:szCs w:val="22"/>
              </w:rPr>
              <w:t xml:space="preserve">In principle the </w:t>
            </w:r>
            <w:r>
              <w:rPr>
                <w:rFonts w:ascii="Calibri" w:hAnsi="Calibri"/>
                <w:szCs w:val="22"/>
              </w:rPr>
              <w:t>works</w:t>
            </w:r>
            <w:r w:rsidRPr="003E15E3">
              <w:rPr>
                <w:rFonts w:ascii="Calibri" w:hAnsi="Calibri"/>
                <w:szCs w:val="22"/>
              </w:rPr>
              <w:t xml:space="preserve"> to the listed building would be acceptable subject to careful consideration with respect to the duties above and the other material considerations. </w:t>
            </w:r>
          </w:p>
          <w:p w14:paraId="3FBE757B" w14:textId="77777777" w:rsidR="003E15E3" w:rsidRPr="003E15E3" w:rsidRDefault="003E15E3" w:rsidP="003E15E3">
            <w:pPr>
              <w:pStyle w:val="Header"/>
              <w:jc w:val="both"/>
              <w:rPr>
                <w:rFonts w:ascii="Calibri" w:hAnsi="Calibri"/>
                <w:i/>
                <w:szCs w:val="22"/>
              </w:rPr>
            </w:pPr>
          </w:p>
        </w:tc>
      </w:tr>
      <w:tr w:rsidR="008C75E4" w:rsidRPr="008C75E4" w14:paraId="4AABCDEA" w14:textId="77777777" w:rsidTr="003E15E3">
        <w:trPr>
          <w:trHeight w:val="864"/>
          <w:jc w:val="center"/>
        </w:trPr>
        <w:tc>
          <w:tcPr>
            <w:tcW w:w="9600" w:type="dxa"/>
            <w:gridSpan w:val="14"/>
            <w:tcMar>
              <w:top w:w="57" w:type="dxa"/>
              <w:bottom w:w="57" w:type="dxa"/>
            </w:tcMar>
          </w:tcPr>
          <w:p w14:paraId="0CF9784A" w14:textId="77777777" w:rsidR="00C0704D" w:rsidRDefault="003E15E3" w:rsidP="006126D1">
            <w:pPr>
              <w:contextualSpacing/>
              <w:jc w:val="both"/>
              <w:rPr>
                <w:rFonts w:ascii="Calibri" w:hAnsi="Calibri"/>
                <w:b/>
                <w:szCs w:val="22"/>
              </w:rPr>
            </w:pPr>
            <w:r>
              <w:rPr>
                <w:rFonts w:ascii="Calibri" w:hAnsi="Calibri"/>
                <w:b/>
                <w:szCs w:val="22"/>
              </w:rPr>
              <w:t xml:space="preserve">Impact on the significance of the listed building: </w:t>
            </w:r>
          </w:p>
          <w:p w14:paraId="59885804" w14:textId="77777777" w:rsidR="003E15E3" w:rsidRPr="003E15E3" w:rsidRDefault="003E15E3" w:rsidP="003E15E3">
            <w:pPr>
              <w:contextualSpacing/>
              <w:jc w:val="both"/>
              <w:rPr>
                <w:rFonts w:ascii="Calibri" w:hAnsi="Calibri"/>
                <w:i/>
                <w:szCs w:val="22"/>
              </w:rPr>
            </w:pPr>
            <w:r w:rsidRPr="003E15E3">
              <w:rPr>
                <w:rFonts w:ascii="Calibri" w:hAnsi="Calibri"/>
                <w:szCs w:val="22"/>
              </w:rPr>
              <w:t>The supporting information explains that</w:t>
            </w:r>
            <w:r w:rsidRPr="003E15E3">
              <w:rPr>
                <w:rFonts w:ascii="Calibri" w:hAnsi="Calibri"/>
                <w:i/>
                <w:szCs w:val="22"/>
              </w:rPr>
              <w:t xml:space="preserve"> </w:t>
            </w:r>
            <w:r>
              <w:rPr>
                <w:rFonts w:ascii="Calibri" w:hAnsi="Calibri"/>
                <w:i/>
                <w:szCs w:val="22"/>
              </w:rPr>
              <w:t>“</w:t>
            </w:r>
            <w:r w:rsidRPr="003E15E3">
              <w:rPr>
                <w:rFonts w:ascii="Calibri" w:hAnsi="Calibri"/>
                <w:i/>
                <w:szCs w:val="22"/>
              </w:rPr>
              <w:t>the north wall was fully re-constructed as part of the conversion of the former preparatory school into flats and residences. The construction of the wall is typical for the 1970s or 80s period. It consists of an external roughcast render over a medium density concrete block</w:t>
            </w:r>
          </w:p>
          <w:p w14:paraId="5EA586F0" w14:textId="77777777" w:rsidR="00C50517" w:rsidRDefault="003E15E3" w:rsidP="003E15E3">
            <w:pPr>
              <w:contextualSpacing/>
              <w:jc w:val="both"/>
              <w:rPr>
                <w:rFonts w:ascii="Calibri" w:hAnsi="Calibri"/>
                <w:i/>
                <w:szCs w:val="22"/>
              </w:rPr>
            </w:pPr>
            <w:r w:rsidRPr="003E15E3">
              <w:rPr>
                <w:rFonts w:ascii="Calibri" w:hAnsi="Calibri"/>
                <w:i/>
                <w:szCs w:val="22"/>
              </w:rPr>
              <w:t xml:space="preserve">external skin, a clear cavity, and a thermalite type block internal skin overlain with 2 coat plaster/skim. A plain </w:t>
            </w:r>
            <w:proofErr w:type="spellStart"/>
            <w:r w:rsidRPr="003E15E3">
              <w:rPr>
                <w:rFonts w:ascii="Calibri" w:hAnsi="Calibri"/>
                <w:i/>
                <w:szCs w:val="22"/>
              </w:rPr>
              <w:t>gyproc</w:t>
            </w:r>
            <w:proofErr w:type="spellEnd"/>
            <w:r w:rsidRPr="003E15E3">
              <w:rPr>
                <w:rFonts w:ascii="Calibri" w:hAnsi="Calibri"/>
                <w:i/>
                <w:szCs w:val="22"/>
              </w:rPr>
              <w:t xml:space="preserve"> 90mm type C section coving is applied. This construction is not original and has little, if any, significance to the listed status of the property.</w:t>
            </w:r>
            <w:r>
              <w:rPr>
                <w:rFonts w:ascii="Calibri" w:hAnsi="Calibri"/>
                <w:i/>
                <w:szCs w:val="22"/>
              </w:rPr>
              <w:t>”</w:t>
            </w:r>
          </w:p>
          <w:p w14:paraId="0F369E33" w14:textId="77777777" w:rsidR="003E15E3" w:rsidRDefault="003E15E3" w:rsidP="003E15E3">
            <w:pPr>
              <w:contextualSpacing/>
              <w:jc w:val="both"/>
              <w:rPr>
                <w:rFonts w:ascii="Calibri" w:hAnsi="Calibri"/>
                <w:szCs w:val="22"/>
              </w:rPr>
            </w:pPr>
          </w:p>
          <w:p w14:paraId="3D5FCB6A" w14:textId="7F1C4EDF" w:rsidR="00730BA7" w:rsidRDefault="003E15E3" w:rsidP="003E15E3">
            <w:pPr>
              <w:contextualSpacing/>
              <w:jc w:val="both"/>
              <w:rPr>
                <w:rFonts w:ascii="Calibri" w:hAnsi="Calibri"/>
                <w:szCs w:val="22"/>
              </w:rPr>
            </w:pPr>
            <w:r>
              <w:rPr>
                <w:rFonts w:ascii="Calibri" w:hAnsi="Calibri"/>
                <w:szCs w:val="22"/>
              </w:rPr>
              <w:t>It is apparent from an external inspection and the supplied internal photographs that this wall is modern and that generally speaking much intervention has occurred to keep the building in a viable use. This elevation faces onto the courtyard</w:t>
            </w:r>
            <w:r w:rsidR="00CE03FB">
              <w:rPr>
                <w:rFonts w:ascii="Calibri" w:hAnsi="Calibri"/>
                <w:szCs w:val="22"/>
              </w:rPr>
              <w:t xml:space="preserve"> and each dwelling has its own private yard which is fenced. </w:t>
            </w:r>
            <w:r>
              <w:rPr>
                <w:rFonts w:ascii="Calibri" w:hAnsi="Calibri"/>
                <w:szCs w:val="22"/>
              </w:rPr>
              <w:t xml:space="preserve"> </w:t>
            </w:r>
            <w:r w:rsidR="00CE03FB">
              <w:rPr>
                <w:rFonts w:ascii="Calibri" w:hAnsi="Calibri"/>
                <w:szCs w:val="22"/>
              </w:rPr>
              <w:t>B</w:t>
            </w:r>
            <w:r>
              <w:rPr>
                <w:rFonts w:ascii="Calibri" w:hAnsi="Calibri"/>
                <w:szCs w:val="22"/>
              </w:rPr>
              <w:t xml:space="preserve">eing north facing </w:t>
            </w:r>
            <w:r w:rsidR="00CE03FB">
              <w:rPr>
                <w:rFonts w:ascii="Calibri" w:hAnsi="Calibri"/>
                <w:szCs w:val="22"/>
              </w:rPr>
              <w:t xml:space="preserve">and enclosed on 3 sides, this wall </w:t>
            </w:r>
            <w:r>
              <w:rPr>
                <w:rFonts w:ascii="Calibri" w:hAnsi="Calibri"/>
                <w:szCs w:val="22"/>
              </w:rPr>
              <w:t xml:space="preserve">will be subject to less sunlight. The proposal will not have any impact on historic fabric and will bring </w:t>
            </w:r>
            <w:r w:rsidR="00CE03FB">
              <w:rPr>
                <w:rFonts w:ascii="Calibri" w:hAnsi="Calibri"/>
                <w:szCs w:val="22"/>
              </w:rPr>
              <w:t>benefits</w:t>
            </w:r>
            <w:r>
              <w:rPr>
                <w:rFonts w:ascii="Calibri" w:hAnsi="Calibri"/>
                <w:szCs w:val="22"/>
              </w:rPr>
              <w:t xml:space="preserve"> through improved insulation and energy efficiency which will help it to function as a desirable modern dwelling and protect the fabric from cold and damp. </w:t>
            </w:r>
          </w:p>
          <w:p w14:paraId="1F0B86E3" w14:textId="77777777" w:rsidR="00730BA7" w:rsidRDefault="00730BA7" w:rsidP="003E15E3">
            <w:pPr>
              <w:contextualSpacing/>
              <w:jc w:val="both"/>
              <w:rPr>
                <w:rFonts w:ascii="Calibri" w:hAnsi="Calibri"/>
                <w:szCs w:val="22"/>
              </w:rPr>
            </w:pPr>
          </w:p>
          <w:p w14:paraId="18428317" w14:textId="77777777" w:rsidR="003E15E3" w:rsidRPr="00545D8C" w:rsidRDefault="00730BA7" w:rsidP="003E15E3">
            <w:pPr>
              <w:contextualSpacing/>
              <w:jc w:val="both"/>
              <w:rPr>
                <w:rFonts w:ascii="Calibri" w:hAnsi="Calibri"/>
                <w:szCs w:val="22"/>
              </w:rPr>
            </w:pPr>
            <w:r>
              <w:rPr>
                <w:rFonts w:ascii="Calibri" w:hAnsi="Calibri"/>
                <w:szCs w:val="22"/>
              </w:rPr>
              <w:lastRenderedPageBreak/>
              <w:t>The insulation is in the form of a plasterboard</w:t>
            </w:r>
            <w:r w:rsidR="00923149">
              <w:rPr>
                <w:rFonts w:ascii="Calibri" w:hAnsi="Calibri"/>
                <w:szCs w:val="22"/>
              </w:rPr>
              <w:t xml:space="preserve">. The </w:t>
            </w:r>
            <w:r w:rsidR="00590298">
              <w:rPr>
                <w:rFonts w:ascii="Calibri" w:hAnsi="Calibri"/>
                <w:szCs w:val="22"/>
              </w:rPr>
              <w:t>existing</w:t>
            </w:r>
            <w:r w:rsidR="00923149">
              <w:rPr>
                <w:rFonts w:ascii="Calibri" w:hAnsi="Calibri"/>
                <w:szCs w:val="22"/>
              </w:rPr>
              <w:t xml:space="preserve"> plaster and coving will be </w:t>
            </w:r>
            <w:proofErr w:type="gramStart"/>
            <w:r w:rsidR="00923149">
              <w:rPr>
                <w:rFonts w:ascii="Calibri" w:hAnsi="Calibri"/>
                <w:szCs w:val="22"/>
              </w:rPr>
              <w:t>removed</w:t>
            </w:r>
            <w:proofErr w:type="gramEnd"/>
            <w:r>
              <w:rPr>
                <w:rFonts w:ascii="Calibri" w:hAnsi="Calibri"/>
                <w:szCs w:val="22"/>
              </w:rPr>
              <w:t xml:space="preserve"> and</w:t>
            </w:r>
            <w:r w:rsidR="00923149">
              <w:rPr>
                <w:rFonts w:ascii="Calibri" w:hAnsi="Calibri"/>
                <w:szCs w:val="22"/>
              </w:rPr>
              <w:t xml:space="preserve"> the new board</w:t>
            </w:r>
            <w:r>
              <w:rPr>
                <w:rFonts w:ascii="Calibri" w:hAnsi="Calibri"/>
                <w:szCs w:val="22"/>
              </w:rPr>
              <w:t xml:space="preserve"> will be fixed with adhesive, secondary fittings and then skimmed with plaster. It is considered that the finished result will not be noticeably different to the existing plastered wall. The minimal harm of modern </w:t>
            </w:r>
            <w:proofErr w:type="gramStart"/>
            <w:r>
              <w:rPr>
                <w:rFonts w:ascii="Calibri" w:hAnsi="Calibri"/>
                <w:szCs w:val="22"/>
              </w:rPr>
              <w:t>fabric</w:t>
            </w:r>
            <w:proofErr w:type="gramEnd"/>
            <w:r>
              <w:rPr>
                <w:rFonts w:ascii="Calibri" w:hAnsi="Calibri"/>
                <w:szCs w:val="22"/>
              </w:rPr>
              <w:t xml:space="preserve"> which is understood to have been installed prelisting, is less than substantial and would be outweighed by the public benefit of the improved living conditions and helping to secure the long term optimum viable use of the building. </w:t>
            </w:r>
          </w:p>
        </w:tc>
      </w:tr>
      <w:tr w:rsidR="008C75E4" w:rsidRPr="008C75E4" w14:paraId="0694C1FF" w14:textId="77777777" w:rsidTr="003E15E3">
        <w:trPr>
          <w:trHeight w:val="864"/>
          <w:jc w:val="center"/>
        </w:trPr>
        <w:tc>
          <w:tcPr>
            <w:tcW w:w="9600" w:type="dxa"/>
            <w:gridSpan w:val="14"/>
            <w:tcMar>
              <w:top w:w="57" w:type="dxa"/>
              <w:bottom w:w="57" w:type="dxa"/>
            </w:tcMar>
          </w:tcPr>
          <w:p w14:paraId="3C076B9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3B66030" w14:textId="77777777" w:rsidR="00C44E40" w:rsidRPr="00BA2247" w:rsidRDefault="00730BA7"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given considerable weight to the duties within the </w:t>
            </w:r>
            <w:r w:rsidRPr="00730BA7">
              <w:rPr>
                <w:rFonts w:ascii="Calibri" w:hAnsi="Calibri"/>
                <w:szCs w:val="22"/>
              </w:rPr>
              <w:t xml:space="preserve">Planning (Listed Buildings and Conservation Areas) Act 1990 </w:t>
            </w:r>
            <w:r>
              <w:rPr>
                <w:rFonts w:ascii="Calibri" w:hAnsi="Calibri"/>
                <w:szCs w:val="22"/>
              </w:rPr>
              <w:t xml:space="preserve">and other material considerations, it is recommended accordingly. </w:t>
            </w:r>
          </w:p>
        </w:tc>
      </w:tr>
      <w:tr w:rsidR="00C0704D" w:rsidRPr="008C75E4" w14:paraId="7529AC42" w14:textId="77777777" w:rsidTr="003E15E3">
        <w:trPr>
          <w:jc w:val="center"/>
        </w:trPr>
        <w:tc>
          <w:tcPr>
            <w:tcW w:w="2837" w:type="dxa"/>
            <w:gridSpan w:val="4"/>
            <w:tcMar>
              <w:top w:w="57" w:type="dxa"/>
              <w:bottom w:w="57" w:type="dxa"/>
            </w:tcMar>
          </w:tcPr>
          <w:p w14:paraId="13E2FBBA"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63" w:type="dxa"/>
            <w:gridSpan w:val="10"/>
          </w:tcPr>
          <w:p w14:paraId="05DFC8DE" w14:textId="77777777" w:rsidR="00C0704D" w:rsidRPr="008C75E4" w:rsidRDefault="00730BA7" w:rsidP="006126D1">
            <w:pPr>
              <w:jc w:val="both"/>
              <w:rPr>
                <w:rFonts w:ascii="Calibri" w:hAnsi="Calibri"/>
                <w:bCs/>
                <w:szCs w:val="22"/>
              </w:rPr>
            </w:pPr>
            <w:r>
              <w:rPr>
                <w:rFonts w:ascii="Calibri" w:hAnsi="Calibri"/>
                <w:bCs/>
                <w:szCs w:val="22"/>
              </w:rPr>
              <w:t xml:space="preserve">That listed building consent is granted. </w:t>
            </w:r>
          </w:p>
        </w:tc>
      </w:tr>
    </w:tbl>
    <w:p w14:paraId="5AC26858" w14:textId="77777777" w:rsidR="0031197A" w:rsidRPr="008C75E4" w:rsidRDefault="005314E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9289" w14:textId="77777777" w:rsidR="00D80310" w:rsidRDefault="00D80310" w:rsidP="006D0B5F">
      <w:r>
        <w:separator/>
      </w:r>
    </w:p>
  </w:endnote>
  <w:endnote w:type="continuationSeparator" w:id="0">
    <w:p w14:paraId="255C2B44"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32C0" w14:textId="77777777" w:rsidR="00D80310" w:rsidRDefault="00D80310" w:rsidP="006D0B5F">
      <w:r>
        <w:separator/>
      </w:r>
    </w:p>
  </w:footnote>
  <w:footnote w:type="continuationSeparator" w:id="0">
    <w:p w14:paraId="5F4C182C"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15E3"/>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14EC"/>
    <w:rsid w:val="00534611"/>
    <w:rsid w:val="00545D8C"/>
    <w:rsid w:val="00556ECD"/>
    <w:rsid w:val="005631B3"/>
    <w:rsid w:val="005633B0"/>
    <w:rsid w:val="005635FF"/>
    <w:rsid w:val="00573B90"/>
    <w:rsid w:val="005878FE"/>
    <w:rsid w:val="00590298"/>
    <w:rsid w:val="00593040"/>
    <w:rsid w:val="005B0A0E"/>
    <w:rsid w:val="005D3432"/>
    <w:rsid w:val="005E1C6C"/>
    <w:rsid w:val="005E65DF"/>
    <w:rsid w:val="006126D1"/>
    <w:rsid w:val="006326A2"/>
    <w:rsid w:val="006532C4"/>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30BA7"/>
    <w:rsid w:val="007430C8"/>
    <w:rsid w:val="00755FCC"/>
    <w:rsid w:val="00776AE2"/>
    <w:rsid w:val="007921CD"/>
    <w:rsid w:val="007C5713"/>
    <w:rsid w:val="007C791C"/>
    <w:rsid w:val="007D6D02"/>
    <w:rsid w:val="007D7DF4"/>
    <w:rsid w:val="007E0D23"/>
    <w:rsid w:val="007F196D"/>
    <w:rsid w:val="00802E8C"/>
    <w:rsid w:val="00805895"/>
    <w:rsid w:val="008075CB"/>
    <w:rsid w:val="00811771"/>
    <w:rsid w:val="008154DD"/>
    <w:rsid w:val="008542DE"/>
    <w:rsid w:val="008638DE"/>
    <w:rsid w:val="00891182"/>
    <w:rsid w:val="008A28C8"/>
    <w:rsid w:val="008C75E4"/>
    <w:rsid w:val="008F6B58"/>
    <w:rsid w:val="0090282C"/>
    <w:rsid w:val="00906D0C"/>
    <w:rsid w:val="00923149"/>
    <w:rsid w:val="00934B34"/>
    <w:rsid w:val="009565F5"/>
    <w:rsid w:val="009825FF"/>
    <w:rsid w:val="00985097"/>
    <w:rsid w:val="00994EF1"/>
    <w:rsid w:val="009C4BCF"/>
    <w:rsid w:val="009C7F61"/>
    <w:rsid w:val="009E6A8B"/>
    <w:rsid w:val="00A04A96"/>
    <w:rsid w:val="00A40070"/>
    <w:rsid w:val="00A42E82"/>
    <w:rsid w:val="00A46EE9"/>
    <w:rsid w:val="00A55E83"/>
    <w:rsid w:val="00A5696B"/>
    <w:rsid w:val="00A579BB"/>
    <w:rsid w:val="00A63D55"/>
    <w:rsid w:val="00A8441B"/>
    <w:rsid w:val="00A9088C"/>
    <w:rsid w:val="00A9168C"/>
    <w:rsid w:val="00A95D89"/>
    <w:rsid w:val="00AB3243"/>
    <w:rsid w:val="00AB5232"/>
    <w:rsid w:val="00B14DDC"/>
    <w:rsid w:val="00B30A5E"/>
    <w:rsid w:val="00B31505"/>
    <w:rsid w:val="00B6269C"/>
    <w:rsid w:val="00B669AC"/>
    <w:rsid w:val="00B74C73"/>
    <w:rsid w:val="00B86779"/>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CE03FB"/>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BD3C"/>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31859-3FAD-48A7-B10C-4EF4DC8D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2021-12-22T16:42:00Z</cp:lastPrinted>
  <dcterms:created xsi:type="dcterms:W3CDTF">2021-12-22T16:46:00Z</dcterms:created>
  <dcterms:modified xsi:type="dcterms:W3CDTF">2021-12-22T16:46:00Z</dcterms:modified>
</cp:coreProperties>
</file>