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353CC922"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9F8B4CC" w14:textId="77777777" w:rsidR="004A5EA9" w:rsidRPr="0068376C" w:rsidRDefault="00D2449B" w:rsidP="0068376C">
            <w:pPr>
              <w:jc w:val="center"/>
              <w:rPr>
                <w:rFonts w:ascii="Calibri" w:hAnsi="Calibri"/>
                <w:b/>
                <w:szCs w:val="22"/>
              </w:rPr>
            </w:pPr>
            <w:r w:rsidRPr="0068376C">
              <w:rPr>
                <w:rFonts w:ascii="Calibri" w:hAnsi="Calibri"/>
                <w:b/>
                <w:szCs w:val="22"/>
              </w:rPr>
              <w:t>R</w:t>
            </w:r>
            <w:r w:rsidR="004A5EA9" w:rsidRPr="0068376C">
              <w:rPr>
                <w:rFonts w:ascii="Calibri" w:hAnsi="Calibri"/>
                <w:b/>
                <w:szCs w:val="22"/>
              </w:rPr>
              <w:t>eport to be read in conjunction with the Decision Notice.</w:t>
            </w:r>
          </w:p>
        </w:tc>
      </w:tr>
      <w:tr w:rsidR="00327DBC" w:rsidRPr="008C75E4" w14:paraId="5AD8A22D" w14:textId="77777777" w:rsidTr="0068376C">
        <w:trPr>
          <w:jc w:val="center"/>
        </w:trPr>
        <w:tc>
          <w:tcPr>
            <w:tcW w:w="103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7FCDAB7" w14:textId="77777777" w:rsidR="004936A6" w:rsidRPr="0068376C" w:rsidRDefault="004936A6" w:rsidP="0068376C">
            <w:pPr>
              <w:jc w:val="center"/>
              <w:rPr>
                <w:rFonts w:ascii="Calibri" w:hAnsi="Calibri"/>
                <w:b/>
                <w:szCs w:val="22"/>
              </w:rPr>
            </w:pPr>
            <w:r w:rsidRPr="0068376C">
              <w:rPr>
                <w:rFonts w:ascii="Calibri" w:hAnsi="Calibri"/>
                <w:b/>
                <w:szCs w:val="22"/>
              </w:rPr>
              <w:t>Signed:</w:t>
            </w: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3A5F959E" w14:textId="77777777" w:rsidR="004936A6" w:rsidRPr="0068376C" w:rsidRDefault="004936A6" w:rsidP="0068376C">
            <w:pPr>
              <w:jc w:val="center"/>
              <w:rPr>
                <w:rFonts w:ascii="Calibri" w:hAnsi="Calibri"/>
                <w:b/>
                <w:szCs w:val="22"/>
              </w:rPr>
            </w:pPr>
            <w:r w:rsidRPr="0068376C">
              <w:rPr>
                <w:rFonts w:ascii="Calibri" w:hAnsi="Calibri"/>
                <w:b/>
                <w:szCs w:val="22"/>
              </w:rPr>
              <w:t>Officer:</w:t>
            </w:r>
          </w:p>
        </w:tc>
        <w:tc>
          <w:tcPr>
            <w:tcW w:w="1030" w:type="dxa"/>
            <w:gridSpan w:val="4"/>
            <w:tcBorders>
              <w:top w:val="single" w:sz="4" w:space="0" w:color="A6A6A6"/>
              <w:left w:val="single" w:sz="4" w:space="0" w:color="A6A6A6"/>
              <w:bottom w:val="single" w:sz="4" w:space="0" w:color="A6A6A6"/>
              <w:right w:val="single" w:sz="4" w:space="0" w:color="A6A6A6"/>
            </w:tcBorders>
            <w:shd w:val="clear" w:color="auto" w:fill="auto"/>
          </w:tcPr>
          <w:p w14:paraId="7FFBA10A" w14:textId="77777777" w:rsidR="004936A6" w:rsidRPr="0068376C" w:rsidRDefault="004936A6" w:rsidP="0068376C">
            <w:pPr>
              <w:jc w:val="center"/>
              <w:rPr>
                <w:rFonts w:ascii="Calibri" w:hAnsi="Calibri"/>
                <w:b/>
                <w:szCs w:val="22"/>
              </w:rPr>
            </w:pP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735E0A3F" w14:textId="77777777" w:rsidR="004936A6" w:rsidRPr="0068376C" w:rsidRDefault="004936A6" w:rsidP="0068376C">
            <w:pPr>
              <w:jc w:val="center"/>
              <w:rPr>
                <w:rFonts w:ascii="Calibri" w:hAnsi="Calibri"/>
                <w:b/>
                <w:szCs w:val="22"/>
              </w:rPr>
            </w:pPr>
            <w:r w:rsidRPr="0068376C">
              <w:rPr>
                <w:rFonts w:ascii="Calibri" w:hAnsi="Calibri"/>
                <w:b/>
                <w:szCs w:val="22"/>
              </w:rPr>
              <w:t>Date:</w:t>
            </w: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79BBF869" w14:textId="77777777" w:rsidR="004936A6" w:rsidRPr="0068376C" w:rsidRDefault="004936A6" w:rsidP="0068376C">
            <w:pPr>
              <w:jc w:val="center"/>
              <w:rPr>
                <w:rFonts w:ascii="Calibri" w:hAnsi="Calibri"/>
                <w:b/>
                <w:szCs w:val="22"/>
              </w:rPr>
            </w:pP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3B35D925" w14:textId="77777777" w:rsidR="004936A6" w:rsidRPr="0068376C" w:rsidRDefault="004936A6" w:rsidP="0068376C">
            <w:pPr>
              <w:jc w:val="center"/>
              <w:rPr>
                <w:rFonts w:ascii="Calibri" w:hAnsi="Calibri"/>
                <w:b/>
                <w:szCs w:val="22"/>
              </w:rPr>
            </w:pPr>
            <w:r w:rsidRPr="0068376C">
              <w:rPr>
                <w:rFonts w:ascii="Calibri" w:hAnsi="Calibri"/>
                <w:b/>
                <w:szCs w:val="22"/>
              </w:rPr>
              <w:t>Manager:</w:t>
            </w: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1BD823CE" w14:textId="77777777" w:rsidR="004936A6" w:rsidRPr="0068376C" w:rsidRDefault="004936A6" w:rsidP="0068376C">
            <w:pPr>
              <w:jc w:val="center"/>
              <w:rPr>
                <w:rFonts w:ascii="Calibri" w:hAnsi="Calibri"/>
                <w:b/>
                <w:szCs w:val="22"/>
              </w:rPr>
            </w:pP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4DE254A0" w14:textId="77777777" w:rsidR="004936A6" w:rsidRPr="0068376C" w:rsidRDefault="004936A6" w:rsidP="0068376C">
            <w:pPr>
              <w:jc w:val="center"/>
              <w:rPr>
                <w:rFonts w:ascii="Calibri" w:hAnsi="Calibri"/>
                <w:b/>
                <w:szCs w:val="22"/>
              </w:rPr>
            </w:pPr>
            <w:r w:rsidRPr="0068376C">
              <w:rPr>
                <w:rFonts w:ascii="Calibri" w:hAnsi="Calibri"/>
                <w:b/>
                <w:szCs w:val="22"/>
              </w:rPr>
              <w:t>Date:</w:t>
            </w:r>
          </w:p>
        </w:tc>
        <w:tc>
          <w:tcPr>
            <w:tcW w:w="1031" w:type="dxa"/>
            <w:tcBorders>
              <w:top w:val="single" w:sz="4" w:space="0" w:color="A6A6A6"/>
              <w:left w:val="single" w:sz="4" w:space="0" w:color="A6A6A6"/>
              <w:bottom w:val="single" w:sz="4" w:space="0" w:color="A6A6A6"/>
              <w:right w:val="single" w:sz="4" w:space="0" w:color="A6A6A6"/>
            </w:tcBorders>
            <w:shd w:val="clear" w:color="auto" w:fill="auto"/>
          </w:tcPr>
          <w:p w14:paraId="7ED56034" w14:textId="77777777" w:rsidR="004936A6" w:rsidRPr="0068376C" w:rsidRDefault="004936A6" w:rsidP="0068376C">
            <w:pPr>
              <w:jc w:val="center"/>
              <w:rPr>
                <w:rFonts w:ascii="Calibri" w:hAnsi="Calibri"/>
                <w:b/>
                <w:szCs w:val="22"/>
              </w:rPr>
            </w:pPr>
          </w:p>
        </w:tc>
      </w:tr>
      <w:tr w:rsidR="00327DBC" w:rsidRPr="008C75E4" w14:paraId="7C7061BA" w14:textId="77777777" w:rsidTr="0068376C">
        <w:trPr>
          <w:jc w:val="center"/>
        </w:trPr>
        <w:tc>
          <w:tcPr>
            <w:tcW w:w="9339" w:type="dxa"/>
            <w:gridSpan w:val="13"/>
            <w:tcBorders>
              <w:top w:val="single" w:sz="4" w:space="0" w:color="A6A6A6"/>
              <w:left w:val="nil"/>
              <w:bottom w:val="single" w:sz="4" w:space="0" w:color="A6A6A6"/>
              <w:right w:val="nil"/>
            </w:tcBorders>
            <w:shd w:val="clear" w:color="auto" w:fill="auto"/>
            <w:tcMar>
              <w:top w:w="57" w:type="dxa"/>
              <w:bottom w:w="57" w:type="dxa"/>
            </w:tcMar>
          </w:tcPr>
          <w:p w14:paraId="43D278C8" w14:textId="77777777" w:rsidR="004A5EA9" w:rsidRPr="0068376C" w:rsidRDefault="004A5EA9" w:rsidP="0068376C">
            <w:pPr>
              <w:jc w:val="center"/>
              <w:rPr>
                <w:rFonts w:ascii="Calibri" w:hAnsi="Calibri"/>
                <w:b/>
                <w:szCs w:val="22"/>
              </w:rPr>
            </w:pPr>
          </w:p>
        </w:tc>
      </w:tr>
      <w:tr w:rsidR="00327DBC" w:rsidRPr="008C75E4" w14:paraId="511B34F8" w14:textId="77777777" w:rsidTr="0068376C">
        <w:trPr>
          <w:jc w:val="center"/>
        </w:trPr>
        <w:tc>
          <w:tcPr>
            <w:tcW w:w="223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620AF0" w14:textId="77777777" w:rsidR="004A5EA9" w:rsidRPr="0068376C" w:rsidRDefault="004A5EA9">
            <w:pPr>
              <w:rPr>
                <w:rFonts w:ascii="Calibri" w:hAnsi="Calibri"/>
                <w:b/>
                <w:szCs w:val="22"/>
              </w:rPr>
            </w:pPr>
            <w:r w:rsidRPr="0068376C">
              <w:rPr>
                <w:rFonts w:ascii="Calibri" w:hAnsi="Calibri"/>
                <w:b/>
                <w:szCs w:val="22"/>
              </w:rPr>
              <w:t>Application Ref:</w:t>
            </w:r>
          </w:p>
        </w:tc>
        <w:tc>
          <w:tcPr>
            <w:tcW w:w="3434" w:type="dxa"/>
            <w:gridSpan w:val="6"/>
            <w:tcBorders>
              <w:top w:val="single" w:sz="4" w:space="0" w:color="A6A6A6"/>
              <w:left w:val="single" w:sz="4" w:space="0" w:color="A6A6A6"/>
              <w:bottom w:val="single" w:sz="4" w:space="0" w:color="A6A6A6"/>
              <w:right w:val="single" w:sz="4" w:space="0" w:color="A6A6A6"/>
            </w:tcBorders>
            <w:shd w:val="clear" w:color="auto" w:fill="auto"/>
          </w:tcPr>
          <w:p w14:paraId="124A8876" w14:textId="0CA509A0" w:rsidR="00AE1E74" w:rsidRPr="0068376C" w:rsidRDefault="004A5EA9" w:rsidP="00A54D10">
            <w:pPr>
              <w:rPr>
                <w:rFonts w:ascii="Calibri" w:hAnsi="Calibri"/>
                <w:szCs w:val="22"/>
              </w:rPr>
            </w:pPr>
            <w:r w:rsidRPr="0068376C">
              <w:rPr>
                <w:rFonts w:ascii="Calibri" w:hAnsi="Calibri"/>
                <w:szCs w:val="22"/>
              </w:rPr>
              <w:t>3/20</w:t>
            </w:r>
            <w:r w:rsidR="00AE1E74">
              <w:rPr>
                <w:rFonts w:ascii="Calibri" w:hAnsi="Calibri"/>
                <w:szCs w:val="22"/>
              </w:rPr>
              <w:t>21</w:t>
            </w:r>
            <w:r w:rsidR="00C0704D" w:rsidRPr="0068376C">
              <w:rPr>
                <w:rFonts w:ascii="Calibri" w:hAnsi="Calibri"/>
                <w:szCs w:val="22"/>
              </w:rPr>
              <w:t>/</w:t>
            </w:r>
            <w:r w:rsidR="00AE1E74">
              <w:rPr>
                <w:rFonts w:ascii="Calibri" w:hAnsi="Calibri"/>
                <w:szCs w:val="22"/>
              </w:rPr>
              <w:t>1045</w:t>
            </w:r>
          </w:p>
        </w:tc>
        <w:tc>
          <w:tcPr>
            <w:tcW w:w="3670"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061C04D" w14:textId="77777777" w:rsidR="004A5EA9" w:rsidRPr="0068376C" w:rsidRDefault="00223779">
            <w:pPr>
              <w:rPr>
                <w:rFonts w:ascii="Calibri" w:hAnsi="Calibri"/>
                <w:szCs w:val="22"/>
              </w:rPr>
            </w:pPr>
            <w:r>
              <w:rPr>
                <w:noProof/>
                <w:lang w:eastAsia="en-GB"/>
              </w:rPr>
              <w:drawing>
                <wp:anchor distT="0" distB="0" distL="114300" distR="114300" simplePos="0" relativeHeight="251657728" behindDoc="0" locked="0" layoutInCell="1" allowOverlap="1" wp14:anchorId="16F3FDB1" wp14:editId="29582C25">
                  <wp:simplePos x="0" y="0"/>
                  <wp:positionH relativeFrom="column">
                    <wp:posOffset>17780</wp:posOffset>
                  </wp:positionH>
                  <wp:positionV relativeFrom="paragraph">
                    <wp:posOffset>10160</wp:posOffset>
                  </wp:positionV>
                  <wp:extent cx="2156460" cy="6502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27DBC" w:rsidRPr="008C75E4" w14:paraId="12C5E317" w14:textId="77777777" w:rsidTr="0068376C">
        <w:trPr>
          <w:jc w:val="center"/>
        </w:trPr>
        <w:tc>
          <w:tcPr>
            <w:tcW w:w="223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BCBF69F" w14:textId="77777777" w:rsidR="004A5EA9" w:rsidRPr="0068376C" w:rsidRDefault="004A5EA9">
            <w:pPr>
              <w:rPr>
                <w:rFonts w:ascii="Calibri" w:hAnsi="Calibri"/>
                <w:b/>
                <w:szCs w:val="22"/>
              </w:rPr>
            </w:pPr>
            <w:r w:rsidRPr="0068376C">
              <w:rPr>
                <w:rFonts w:ascii="Calibri" w:hAnsi="Calibri"/>
                <w:b/>
                <w:szCs w:val="22"/>
              </w:rPr>
              <w:t>Date Inspected:</w:t>
            </w:r>
          </w:p>
        </w:tc>
        <w:tc>
          <w:tcPr>
            <w:tcW w:w="3434" w:type="dxa"/>
            <w:gridSpan w:val="6"/>
            <w:tcBorders>
              <w:top w:val="single" w:sz="4" w:space="0" w:color="A6A6A6"/>
              <w:left w:val="single" w:sz="4" w:space="0" w:color="A6A6A6"/>
              <w:bottom w:val="single" w:sz="4" w:space="0" w:color="A6A6A6"/>
              <w:right w:val="single" w:sz="4" w:space="0" w:color="A6A6A6"/>
            </w:tcBorders>
            <w:shd w:val="clear" w:color="auto" w:fill="auto"/>
          </w:tcPr>
          <w:p w14:paraId="7AC0F425" w14:textId="77777777" w:rsidR="004A5EA9" w:rsidRPr="0068376C" w:rsidRDefault="00A54D10" w:rsidP="002C6277">
            <w:pPr>
              <w:rPr>
                <w:rFonts w:ascii="Calibri" w:hAnsi="Calibri"/>
                <w:szCs w:val="22"/>
              </w:rPr>
            </w:pPr>
            <w:r>
              <w:rPr>
                <w:rFonts w:ascii="Calibri" w:hAnsi="Calibri"/>
                <w:szCs w:val="22"/>
              </w:rPr>
              <w:t>N/A</w:t>
            </w:r>
          </w:p>
        </w:tc>
        <w:tc>
          <w:tcPr>
            <w:tcW w:w="3670"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7632D18" w14:textId="77777777" w:rsidR="004A5EA9" w:rsidRPr="0068376C" w:rsidRDefault="004A5EA9">
            <w:pPr>
              <w:rPr>
                <w:rFonts w:ascii="Calibri" w:hAnsi="Calibri"/>
                <w:szCs w:val="22"/>
              </w:rPr>
            </w:pPr>
          </w:p>
        </w:tc>
      </w:tr>
      <w:tr w:rsidR="00327DBC" w:rsidRPr="008C75E4" w14:paraId="4B5E314F" w14:textId="77777777" w:rsidTr="0068376C">
        <w:trPr>
          <w:jc w:val="center"/>
        </w:trPr>
        <w:tc>
          <w:tcPr>
            <w:tcW w:w="223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CA59603" w14:textId="77777777" w:rsidR="004A5EA9" w:rsidRPr="0068376C" w:rsidRDefault="00D2449B">
            <w:pPr>
              <w:rPr>
                <w:rFonts w:ascii="Calibri" w:hAnsi="Calibri"/>
                <w:b/>
                <w:szCs w:val="22"/>
              </w:rPr>
            </w:pPr>
            <w:r w:rsidRPr="0068376C">
              <w:rPr>
                <w:rFonts w:ascii="Calibri" w:hAnsi="Calibri"/>
                <w:b/>
                <w:szCs w:val="22"/>
              </w:rPr>
              <w:t>Officer</w:t>
            </w:r>
            <w:r w:rsidR="004A5EA9" w:rsidRPr="0068376C">
              <w:rPr>
                <w:rFonts w:ascii="Calibri" w:hAnsi="Calibri"/>
                <w:b/>
                <w:szCs w:val="22"/>
              </w:rPr>
              <w:t>:</w:t>
            </w:r>
          </w:p>
        </w:tc>
        <w:tc>
          <w:tcPr>
            <w:tcW w:w="3434" w:type="dxa"/>
            <w:gridSpan w:val="6"/>
            <w:tcBorders>
              <w:top w:val="single" w:sz="4" w:space="0" w:color="A6A6A6"/>
              <w:left w:val="single" w:sz="4" w:space="0" w:color="A6A6A6"/>
              <w:bottom w:val="single" w:sz="4" w:space="0" w:color="A6A6A6"/>
              <w:right w:val="single" w:sz="4" w:space="0" w:color="A6A6A6"/>
            </w:tcBorders>
            <w:shd w:val="clear" w:color="auto" w:fill="auto"/>
          </w:tcPr>
          <w:p w14:paraId="0778D4D3" w14:textId="77777777" w:rsidR="004A5EA9" w:rsidRPr="0068376C" w:rsidRDefault="008C75E4" w:rsidP="00811771">
            <w:pPr>
              <w:rPr>
                <w:rFonts w:ascii="Calibri" w:hAnsi="Calibri"/>
                <w:szCs w:val="22"/>
              </w:rPr>
            </w:pPr>
            <w:r w:rsidRPr="0068376C">
              <w:rPr>
                <w:rFonts w:ascii="Calibri" w:hAnsi="Calibri"/>
                <w:szCs w:val="22"/>
              </w:rPr>
              <w:t>HM</w:t>
            </w:r>
          </w:p>
        </w:tc>
        <w:tc>
          <w:tcPr>
            <w:tcW w:w="3670"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1894D10" w14:textId="77777777" w:rsidR="004A5EA9" w:rsidRPr="0068376C" w:rsidRDefault="004A5EA9">
            <w:pPr>
              <w:rPr>
                <w:rFonts w:ascii="Calibri" w:hAnsi="Calibri"/>
                <w:szCs w:val="22"/>
              </w:rPr>
            </w:pPr>
          </w:p>
        </w:tc>
      </w:tr>
      <w:tr w:rsidR="00327DBC" w:rsidRPr="008C75E4" w14:paraId="2DB51B11" w14:textId="77777777" w:rsidTr="0068376C">
        <w:trPr>
          <w:jc w:val="center"/>
        </w:trPr>
        <w:tc>
          <w:tcPr>
            <w:tcW w:w="5669"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7967D03" w14:textId="77777777" w:rsidR="004A5EA9" w:rsidRPr="0068376C" w:rsidRDefault="004A5EA9" w:rsidP="004A5EA9">
            <w:pPr>
              <w:rPr>
                <w:rFonts w:ascii="Calibri" w:hAnsi="Calibri"/>
                <w:b/>
                <w:szCs w:val="22"/>
              </w:rPr>
            </w:pPr>
            <w:r w:rsidRPr="0068376C">
              <w:rPr>
                <w:rFonts w:ascii="Calibri" w:hAnsi="Calibri"/>
                <w:b/>
                <w:szCs w:val="22"/>
              </w:rPr>
              <w:t xml:space="preserve">DELEGATED ITEM FILE REPORT: </w:t>
            </w:r>
          </w:p>
        </w:tc>
        <w:tc>
          <w:tcPr>
            <w:tcW w:w="3670" w:type="dxa"/>
            <w:gridSpan w:val="4"/>
            <w:tcBorders>
              <w:top w:val="single" w:sz="4" w:space="0" w:color="A6A6A6"/>
              <w:left w:val="single" w:sz="4" w:space="0" w:color="A6A6A6"/>
              <w:bottom w:val="single" w:sz="4" w:space="0" w:color="A6A6A6"/>
              <w:right w:val="single" w:sz="4" w:space="0" w:color="A6A6A6"/>
            </w:tcBorders>
            <w:shd w:val="clear" w:color="auto" w:fill="auto"/>
          </w:tcPr>
          <w:p w14:paraId="6346C9B5" w14:textId="77777777" w:rsidR="004A5EA9" w:rsidRPr="0068376C" w:rsidRDefault="00832FC8" w:rsidP="0068376C">
            <w:pPr>
              <w:jc w:val="center"/>
              <w:rPr>
                <w:rFonts w:ascii="Calibri" w:hAnsi="Calibri"/>
                <w:b/>
                <w:szCs w:val="22"/>
              </w:rPr>
            </w:pPr>
            <w:r>
              <w:rPr>
                <w:rFonts w:ascii="Calibri" w:hAnsi="Calibri"/>
                <w:b/>
                <w:szCs w:val="22"/>
              </w:rPr>
              <w:t>APPROVAL</w:t>
            </w:r>
          </w:p>
        </w:tc>
      </w:tr>
      <w:tr w:rsidR="00327DBC" w:rsidRPr="008C75E4" w14:paraId="74D3D8AB" w14:textId="77777777" w:rsidTr="0068376C">
        <w:trPr>
          <w:trHeight w:hRule="exact" w:val="170"/>
          <w:jc w:val="center"/>
        </w:trPr>
        <w:tc>
          <w:tcPr>
            <w:tcW w:w="9339" w:type="dxa"/>
            <w:gridSpan w:val="13"/>
            <w:tcBorders>
              <w:top w:val="single" w:sz="4" w:space="0" w:color="A6A6A6"/>
              <w:left w:val="nil"/>
              <w:bottom w:val="single" w:sz="4" w:space="0" w:color="A6A6A6"/>
              <w:right w:val="nil"/>
            </w:tcBorders>
            <w:shd w:val="clear" w:color="auto" w:fill="auto"/>
            <w:tcMar>
              <w:top w:w="57" w:type="dxa"/>
              <w:bottom w:w="57" w:type="dxa"/>
            </w:tcMar>
          </w:tcPr>
          <w:p w14:paraId="17DC2DC0" w14:textId="77777777" w:rsidR="004A5EA9" w:rsidRPr="0068376C" w:rsidRDefault="007E0D23" w:rsidP="0068376C">
            <w:pPr>
              <w:tabs>
                <w:tab w:val="left" w:pos="4007"/>
              </w:tabs>
              <w:rPr>
                <w:rFonts w:ascii="Calibri" w:hAnsi="Calibri"/>
                <w:b/>
                <w:szCs w:val="22"/>
              </w:rPr>
            </w:pPr>
            <w:r w:rsidRPr="0068376C">
              <w:rPr>
                <w:rFonts w:ascii="Calibri" w:hAnsi="Calibri"/>
                <w:b/>
                <w:szCs w:val="22"/>
              </w:rPr>
              <w:tab/>
            </w:r>
          </w:p>
        </w:tc>
      </w:tr>
      <w:tr w:rsidR="00327DBC" w:rsidRPr="008C75E4" w14:paraId="33FE983F" w14:textId="77777777" w:rsidTr="0068376C">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2C019E" w14:textId="77777777" w:rsidR="004A5EA9" w:rsidRPr="0068376C" w:rsidRDefault="004A5EA9" w:rsidP="00A95D89">
            <w:pPr>
              <w:rPr>
                <w:rFonts w:ascii="Calibri" w:hAnsi="Calibri"/>
                <w:b/>
                <w:szCs w:val="22"/>
              </w:rPr>
            </w:pPr>
            <w:r w:rsidRPr="0068376C">
              <w:rPr>
                <w:rFonts w:ascii="Calibri" w:hAnsi="Calibri"/>
                <w:b/>
                <w:szCs w:val="22"/>
              </w:rPr>
              <w:t xml:space="preserve">Development </w:t>
            </w:r>
            <w:r w:rsidR="00A95D89" w:rsidRPr="0068376C">
              <w:rPr>
                <w:rFonts w:ascii="Calibri" w:hAnsi="Calibri"/>
                <w:b/>
                <w:szCs w:val="22"/>
              </w:rPr>
              <w:t>Description</w:t>
            </w:r>
            <w:r w:rsidRPr="0068376C">
              <w:rPr>
                <w:rFonts w:ascii="Calibri" w:hAnsi="Calibri"/>
                <w:b/>
                <w:szCs w:val="22"/>
              </w:rPr>
              <w:t>:</w:t>
            </w:r>
          </w:p>
        </w:tc>
        <w:tc>
          <w:tcPr>
            <w:tcW w:w="6446" w:type="dxa"/>
            <w:gridSpan w:val="8"/>
            <w:tcBorders>
              <w:top w:val="single" w:sz="4" w:space="0" w:color="A6A6A6"/>
              <w:left w:val="single" w:sz="4" w:space="0" w:color="A6A6A6"/>
              <w:bottom w:val="single" w:sz="4" w:space="0" w:color="A6A6A6"/>
              <w:right w:val="single" w:sz="4" w:space="0" w:color="A6A6A6"/>
            </w:tcBorders>
            <w:shd w:val="clear" w:color="auto" w:fill="auto"/>
          </w:tcPr>
          <w:p w14:paraId="79470102" w14:textId="471C35DC" w:rsidR="004A5EA9" w:rsidRPr="0068376C" w:rsidRDefault="00AE1E74" w:rsidP="00AE1E74">
            <w:pPr>
              <w:jc w:val="both"/>
              <w:rPr>
                <w:rFonts w:ascii="Calibri" w:hAnsi="Calibri"/>
                <w:szCs w:val="22"/>
              </w:rPr>
            </w:pPr>
            <w:r w:rsidRPr="00AE1E74">
              <w:rPr>
                <w:rFonts w:ascii="Calibri" w:hAnsi="Calibri"/>
                <w:szCs w:val="22"/>
              </w:rPr>
              <w:t>Application for Lawful Development Certificate for the continued use of the existing vehicular access from the highway onto agricultural land.</w:t>
            </w:r>
          </w:p>
        </w:tc>
      </w:tr>
      <w:tr w:rsidR="00327DBC" w:rsidRPr="008C75E4" w14:paraId="69FEF749" w14:textId="77777777" w:rsidTr="0068376C">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9237FBA" w14:textId="77777777" w:rsidR="002A01CF" w:rsidRPr="0068376C" w:rsidRDefault="002A01CF">
            <w:pPr>
              <w:rPr>
                <w:rFonts w:ascii="Calibri" w:hAnsi="Calibri"/>
                <w:b/>
                <w:szCs w:val="22"/>
              </w:rPr>
            </w:pPr>
            <w:r w:rsidRPr="0068376C">
              <w:rPr>
                <w:rFonts w:ascii="Calibri" w:hAnsi="Calibri"/>
                <w:b/>
                <w:szCs w:val="22"/>
              </w:rPr>
              <w:t>Site Address</w:t>
            </w:r>
            <w:r w:rsidR="00A95D89" w:rsidRPr="0068376C">
              <w:rPr>
                <w:rFonts w:ascii="Calibri" w:hAnsi="Calibri"/>
                <w:b/>
                <w:szCs w:val="22"/>
              </w:rPr>
              <w:t>/Location</w:t>
            </w:r>
            <w:r w:rsidRPr="0068376C">
              <w:rPr>
                <w:rFonts w:ascii="Calibri" w:hAnsi="Calibri"/>
                <w:b/>
                <w:szCs w:val="22"/>
              </w:rPr>
              <w:t>:</w:t>
            </w:r>
          </w:p>
        </w:tc>
        <w:tc>
          <w:tcPr>
            <w:tcW w:w="6446" w:type="dxa"/>
            <w:gridSpan w:val="8"/>
            <w:tcBorders>
              <w:top w:val="single" w:sz="4" w:space="0" w:color="A6A6A6"/>
              <w:left w:val="single" w:sz="4" w:space="0" w:color="A6A6A6"/>
              <w:bottom w:val="single" w:sz="4" w:space="0" w:color="A6A6A6"/>
              <w:right w:val="single" w:sz="4" w:space="0" w:color="A6A6A6"/>
            </w:tcBorders>
            <w:shd w:val="clear" w:color="auto" w:fill="auto"/>
          </w:tcPr>
          <w:p w14:paraId="71E7F06A" w14:textId="3791D0E5" w:rsidR="002A01CF" w:rsidRPr="0068376C" w:rsidRDefault="00AE1E74" w:rsidP="00A42E82">
            <w:pPr>
              <w:rPr>
                <w:rFonts w:ascii="Calibri" w:hAnsi="Calibri"/>
                <w:szCs w:val="22"/>
              </w:rPr>
            </w:pPr>
            <w:r w:rsidRPr="00AE1E74">
              <w:rPr>
                <w:rFonts w:ascii="Calibri" w:hAnsi="Calibri"/>
                <w:szCs w:val="22"/>
              </w:rPr>
              <w:t xml:space="preserve">Lower Edge Farm </w:t>
            </w:r>
            <w:proofErr w:type="spellStart"/>
            <w:r w:rsidRPr="00AE1E74">
              <w:rPr>
                <w:rFonts w:ascii="Calibri" w:hAnsi="Calibri"/>
                <w:szCs w:val="22"/>
              </w:rPr>
              <w:t>Tinklers</w:t>
            </w:r>
            <w:proofErr w:type="spellEnd"/>
            <w:r w:rsidRPr="00AE1E74">
              <w:rPr>
                <w:rFonts w:ascii="Calibri" w:hAnsi="Calibri"/>
                <w:szCs w:val="22"/>
              </w:rPr>
              <w:t xml:space="preserve"> Lane Slaidburn Lancashire BB7 4TP</w:t>
            </w:r>
          </w:p>
        </w:tc>
      </w:tr>
      <w:tr w:rsidR="00327DBC" w:rsidRPr="008C75E4" w14:paraId="3B0C17A9" w14:textId="77777777" w:rsidTr="0068376C">
        <w:trPr>
          <w:trHeight w:hRule="exact" w:val="170"/>
          <w:jc w:val="center"/>
        </w:trPr>
        <w:tc>
          <w:tcPr>
            <w:tcW w:w="9339" w:type="dxa"/>
            <w:gridSpan w:val="13"/>
            <w:tcBorders>
              <w:top w:val="single" w:sz="4" w:space="0" w:color="A6A6A6"/>
              <w:left w:val="nil"/>
              <w:bottom w:val="single" w:sz="4" w:space="0" w:color="A6A6A6"/>
              <w:right w:val="nil"/>
            </w:tcBorders>
            <w:shd w:val="clear" w:color="auto" w:fill="auto"/>
            <w:tcMar>
              <w:top w:w="57" w:type="dxa"/>
              <w:bottom w:w="57" w:type="dxa"/>
            </w:tcMar>
          </w:tcPr>
          <w:p w14:paraId="75619132" w14:textId="77777777" w:rsidR="00A95D89" w:rsidRPr="0068376C" w:rsidRDefault="007E0D23" w:rsidP="0068376C">
            <w:pPr>
              <w:tabs>
                <w:tab w:val="left" w:pos="2667"/>
              </w:tabs>
              <w:rPr>
                <w:rFonts w:ascii="Calibri" w:hAnsi="Calibri"/>
                <w:b/>
                <w:szCs w:val="22"/>
              </w:rPr>
            </w:pPr>
            <w:r w:rsidRPr="0068376C">
              <w:rPr>
                <w:rFonts w:ascii="Calibri" w:hAnsi="Calibri"/>
                <w:b/>
                <w:szCs w:val="22"/>
              </w:rPr>
              <w:tab/>
            </w:r>
          </w:p>
        </w:tc>
      </w:tr>
      <w:tr w:rsidR="00327DBC" w:rsidRPr="008C75E4" w14:paraId="425F1F1C" w14:textId="77777777" w:rsidTr="0068376C">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9F488D5" w14:textId="77777777" w:rsidR="00C618DB" w:rsidRPr="0068376C" w:rsidRDefault="00C618DB">
            <w:pPr>
              <w:rPr>
                <w:rFonts w:ascii="Calibri" w:hAnsi="Calibri"/>
                <w:b/>
                <w:szCs w:val="22"/>
              </w:rPr>
            </w:pPr>
            <w:r w:rsidRPr="0068376C">
              <w:rPr>
                <w:rFonts w:ascii="Calibri" w:hAnsi="Calibri"/>
                <w:b/>
                <w:szCs w:val="22"/>
              </w:rPr>
              <w:t xml:space="preserve">CONSULTATIONS: </w:t>
            </w:r>
          </w:p>
        </w:tc>
        <w:tc>
          <w:tcPr>
            <w:tcW w:w="6446" w:type="dxa"/>
            <w:gridSpan w:val="8"/>
            <w:tcBorders>
              <w:top w:val="single" w:sz="4" w:space="0" w:color="A6A6A6"/>
              <w:left w:val="single" w:sz="4" w:space="0" w:color="A6A6A6"/>
              <w:bottom w:val="single" w:sz="4" w:space="0" w:color="A6A6A6"/>
              <w:right w:val="single" w:sz="4" w:space="0" w:color="A6A6A6"/>
            </w:tcBorders>
            <w:shd w:val="clear" w:color="auto" w:fill="auto"/>
          </w:tcPr>
          <w:p w14:paraId="15323670" w14:textId="77777777" w:rsidR="00C618DB" w:rsidRPr="0068376C" w:rsidRDefault="00C618DB">
            <w:pPr>
              <w:rPr>
                <w:rFonts w:ascii="Calibri" w:hAnsi="Calibri"/>
                <w:b/>
                <w:szCs w:val="22"/>
              </w:rPr>
            </w:pPr>
            <w:r w:rsidRPr="0068376C">
              <w:rPr>
                <w:rFonts w:ascii="Calibri" w:hAnsi="Calibri"/>
                <w:b/>
                <w:szCs w:val="22"/>
              </w:rPr>
              <w:t>Parish/Town Council</w:t>
            </w:r>
          </w:p>
        </w:tc>
      </w:tr>
      <w:tr w:rsidR="008C75E4" w:rsidRPr="008C75E4" w14:paraId="6E4E66A2"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6394665" w14:textId="77777777" w:rsidR="003A4376" w:rsidRPr="0068376C" w:rsidRDefault="008A7190" w:rsidP="0068376C">
            <w:pPr>
              <w:jc w:val="both"/>
              <w:rPr>
                <w:rFonts w:ascii="Calibri" w:hAnsi="Calibri"/>
                <w:szCs w:val="22"/>
              </w:rPr>
            </w:pPr>
            <w:r w:rsidRPr="0068376C">
              <w:rPr>
                <w:rFonts w:ascii="Calibri" w:hAnsi="Calibri"/>
                <w:szCs w:val="22"/>
              </w:rPr>
              <w:t>No representations have been received in respect of this development.</w:t>
            </w:r>
          </w:p>
        </w:tc>
      </w:tr>
      <w:tr w:rsidR="00327DBC" w:rsidRPr="008C75E4" w14:paraId="1337177E" w14:textId="77777777" w:rsidTr="0068376C">
        <w:trPr>
          <w:trHeight w:hRule="exact" w:val="170"/>
          <w:jc w:val="center"/>
        </w:trPr>
        <w:tc>
          <w:tcPr>
            <w:tcW w:w="9339" w:type="dxa"/>
            <w:gridSpan w:val="13"/>
            <w:tcBorders>
              <w:top w:val="single" w:sz="4" w:space="0" w:color="A6A6A6"/>
              <w:left w:val="nil"/>
              <w:bottom w:val="single" w:sz="4" w:space="0" w:color="A6A6A6"/>
              <w:right w:val="nil"/>
            </w:tcBorders>
            <w:shd w:val="clear" w:color="auto" w:fill="auto"/>
            <w:tcMar>
              <w:top w:w="57" w:type="dxa"/>
              <w:bottom w:w="57" w:type="dxa"/>
            </w:tcMar>
          </w:tcPr>
          <w:p w14:paraId="50C43BCD" w14:textId="77777777" w:rsidR="00C618DB" w:rsidRPr="0068376C" w:rsidRDefault="00C618DB" w:rsidP="0068376C">
            <w:pPr>
              <w:jc w:val="both"/>
              <w:rPr>
                <w:rFonts w:ascii="Calibri" w:hAnsi="Calibri"/>
                <w:bCs/>
                <w:szCs w:val="22"/>
              </w:rPr>
            </w:pPr>
          </w:p>
        </w:tc>
      </w:tr>
      <w:tr w:rsidR="00327DBC" w:rsidRPr="008C75E4" w14:paraId="54737E2E" w14:textId="77777777" w:rsidTr="0068376C">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38D0574" w14:textId="77777777" w:rsidR="00C0704D" w:rsidRPr="0068376C" w:rsidRDefault="00C0704D" w:rsidP="0068376C">
            <w:pPr>
              <w:jc w:val="both"/>
              <w:rPr>
                <w:rFonts w:ascii="Calibri" w:hAnsi="Calibri"/>
                <w:b/>
                <w:szCs w:val="22"/>
              </w:rPr>
            </w:pPr>
            <w:r w:rsidRPr="0068376C">
              <w:rPr>
                <w:rFonts w:ascii="Calibri" w:hAnsi="Calibri"/>
                <w:b/>
                <w:szCs w:val="22"/>
              </w:rPr>
              <w:t xml:space="preserve">CONSULTATIONS: </w:t>
            </w:r>
          </w:p>
        </w:tc>
        <w:tc>
          <w:tcPr>
            <w:tcW w:w="6446" w:type="dxa"/>
            <w:gridSpan w:val="8"/>
            <w:tcBorders>
              <w:top w:val="single" w:sz="4" w:space="0" w:color="A6A6A6"/>
              <w:left w:val="single" w:sz="4" w:space="0" w:color="A6A6A6"/>
              <w:bottom w:val="single" w:sz="4" w:space="0" w:color="A6A6A6"/>
              <w:right w:val="single" w:sz="4" w:space="0" w:color="A6A6A6"/>
            </w:tcBorders>
            <w:shd w:val="clear" w:color="auto" w:fill="auto"/>
          </w:tcPr>
          <w:p w14:paraId="14171453" w14:textId="77777777" w:rsidR="00C0704D" w:rsidRPr="0068376C" w:rsidRDefault="00C0704D" w:rsidP="0068376C">
            <w:pPr>
              <w:jc w:val="both"/>
              <w:rPr>
                <w:rFonts w:ascii="Calibri" w:hAnsi="Calibri"/>
                <w:b/>
                <w:szCs w:val="22"/>
              </w:rPr>
            </w:pPr>
            <w:r w:rsidRPr="0068376C">
              <w:rPr>
                <w:rFonts w:ascii="Calibri" w:hAnsi="Calibri"/>
                <w:b/>
                <w:szCs w:val="22"/>
              </w:rPr>
              <w:t>Additional Representations.</w:t>
            </w:r>
          </w:p>
        </w:tc>
      </w:tr>
      <w:tr w:rsidR="008C75E4" w:rsidRPr="008C75E4" w14:paraId="76DC485F"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DBC963B" w14:textId="77777777" w:rsidR="00805895" w:rsidRPr="0068376C" w:rsidRDefault="008A7190" w:rsidP="0068376C">
            <w:pPr>
              <w:jc w:val="both"/>
              <w:rPr>
                <w:rFonts w:ascii="Calibri" w:hAnsi="Calibri"/>
                <w:szCs w:val="22"/>
              </w:rPr>
            </w:pPr>
            <w:r w:rsidRPr="0068376C">
              <w:rPr>
                <w:rFonts w:ascii="Calibri" w:hAnsi="Calibri"/>
                <w:szCs w:val="22"/>
              </w:rPr>
              <w:t>No additional representations have been received.</w:t>
            </w:r>
          </w:p>
        </w:tc>
      </w:tr>
      <w:tr w:rsidR="00327DBC" w:rsidRPr="008C75E4" w14:paraId="2900AA06" w14:textId="77777777" w:rsidTr="0068376C">
        <w:trPr>
          <w:trHeight w:hRule="exact" w:val="170"/>
          <w:jc w:val="center"/>
        </w:trPr>
        <w:tc>
          <w:tcPr>
            <w:tcW w:w="9339" w:type="dxa"/>
            <w:gridSpan w:val="13"/>
            <w:tcBorders>
              <w:top w:val="single" w:sz="4" w:space="0" w:color="A6A6A6"/>
              <w:left w:val="nil"/>
              <w:bottom w:val="single" w:sz="4" w:space="0" w:color="A6A6A6"/>
              <w:right w:val="nil"/>
            </w:tcBorders>
            <w:shd w:val="clear" w:color="auto" w:fill="auto"/>
            <w:tcMar>
              <w:top w:w="57" w:type="dxa"/>
              <w:bottom w:w="57" w:type="dxa"/>
            </w:tcMar>
          </w:tcPr>
          <w:p w14:paraId="7BD156ED" w14:textId="77777777" w:rsidR="00C0704D" w:rsidRPr="0068376C" w:rsidRDefault="00C0704D" w:rsidP="0068376C">
            <w:pPr>
              <w:jc w:val="both"/>
              <w:rPr>
                <w:rFonts w:ascii="Calibri" w:hAnsi="Calibri"/>
                <w:szCs w:val="22"/>
              </w:rPr>
            </w:pPr>
          </w:p>
        </w:tc>
      </w:tr>
      <w:tr w:rsidR="008C75E4" w:rsidRPr="008C75E4" w14:paraId="7E37CFA0"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9877FA0" w14:textId="77777777" w:rsidR="00C0704D" w:rsidRPr="0068376C" w:rsidRDefault="00C0704D" w:rsidP="0068376C">
            <w:pPr>
              <w:jc w:val="both"/>
              <w:rPr>
                <w:rFonts w:ascii="Calibri" w:hAnsi="Calibri"/>
                <w:b/>
                <w:szCs w:val="22"/>
              </w:rPr>
            </w:pPr>
            <w:r w:rsidRPr="0068376C">
              <w:rPr>
                <w:rFonts w:ascii="Calibri" w:hAnsi="Calibri"/>
                <w:b/>
                <w:szCs w:val="22"/>
              </w:rPr>
              <w:t>RELEVANT POLICIES AND SITE PLANNING HISTORY:</w:t>
            </w:r>
          </w:p>
        </w:tc>
      </w:tr>
      <w:tr w:rsidR="008C75E4" w:rsidRPr="008C75E4" w14:paraId="092F0C86"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E25174D" w14:textId="77777777" w:rsidR="0000583F" w:rsidRPr="0068376C" w:rsidRDefault="0000583F" w:rsidP="0068376C">
            <w:pPr>
              <w:jc w:val="both"/>
              <w:rPr>
                <w:rFonts w:ascii="Calibri" w:hAnsi="Calibri"/>
                <w:b/>
                <w:szCs w:val="22"/>
              </w:rPr>
            </w:pPr>
          </w:p>
          <w:p w14:paraId="454644AA" w14:textId="77777777" w:rsidR="00691BCD" w:rsidRPr="00D35440" w:rsidRDefault="00691BCD" w:rsidP="00691BCD">
            <w:pPr>
              <w:jc w:val="both"/>
              <w:rPr>
                <w:rFonts w:ascii="Calibri" w:hAnsi="Calibri"/>
                <w:szCs w:val="22"/>
              </w:rPr>
            </w:pPr>
            <w:r w:rsidRPr="00D35440">
              <w:rPr>
                <w:rFonts w:ascii="Calibri" w:hAnsi="Calibri"/>
                <w:szCs w:val="22"/>
              </w:rPr>
              <w:t>Section 171(B) of the Town and Country Planning Act 1990.</w:t>
            </w:r>
          </w:p>
          <w:p w14:paraId="644D6BD7" w14:textId="006B4937" w:rsidR="00691BCD" w:rsidRPr="00691BCD" w:rsidRDefault="00691BCD" w:rsidP="00D35440">
            <w:pPr>
              <w:jc w:val="both"/>
              <w:rPr>
                <w:rFonts w:ascii="Calibri" w:hAnsi="Calibri"/>
                <w:color w:val="FF0000"/>
                <w:szCs w:val="22"/>
              </w:rPr>
            </w:pPr>
          </w:p>
        </w:tc>
      </w:tr>
      <w:tr w:rsidR="008C75E4" w:rsidRPr="008C75E4" w14:paraId="5110D9EE"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D0015FE" w14:textId="77777777" w:rsidR="00C0704D" w:rsidRPr="0068376C" w:rsidRDefault="00C0704D" w:rsidP="006126D1">
            <w:pPr>
              <w:pStyle w:val="PLANNING"/>
              <w:rPr>
                <w:rFonts w:ascii="Calibri" w:hAnsi="Calibri"/>
                <w:b/>
                <w:bCs/>
                <w:szCs w:val="22"/>
              </w:rPr>
            </w:pPr>
            <w:r w:rsidRPr="0068376C">
              <w:rPr>
                <w:rFonts w:ascii="Calibri" w:hAnsi="Calibri"/>
                <w:b/>
                <w:bCs/>
                <w:szCs w:val="22"/>
              </w:rPr>
              <w:t>Relevant Planning History:</w:t>
            </w:r>
          </w:p>
          <w:p w14:paraId="37589CA6" w14:textId="77777777" w:rsidR="00C0704D" w:rsidRPr="0068376C" w:rsidRDefault="00C0704D" w:rsidP="006126D1">
            <w:pPr>
              <w:pStyle w:val="PLANNING"/>
              <w:rPr>
                <w:rFonts w:ascii="Calibri" w:hAnsi="Calibri"/>
                <w:b/>
                <w:bCs/>
                <w:szCs w:val="22"/>
              </w:rPr>
            </w:pPr>
          </w:p>
          <w:p w14:paraId="5D7E4B05" w14:textId="721979C1" w:rsidR="001946E0" w:rsidRPr="0068376C" w:rsidRDefault="008A7190" w:rsidP="006126D1">
            <w:pPr>
              <w:pStyle w:val="PLANNING"/>
              <w:rPr>
                <w:rFonts w:ascii="Calibri" w:hAnsi="Calibri"/>
                <w:bCs/>
                <w:szCs w:val="22"/>
              </w:rPr>
            </w:pPr>
            <w:r w:rsidRPr="0068376C">
              <w:rPr>
                <w:rFonts w:ascii="Calibri" w:hAnsi="Calibri"/>
                <w:bCs/>
                <w:szCs w:val="22"/>
              </w:rPr>
              <w:t xml:space="preserve">No </w:t>
            </w:r>
            <w:r w:rsidR="00AE1E74">
              <w:rPr>
                <w:rFonts w:ascii="Calibri" w:hAnsi="Calibri"/>
                <w:bCs/>
                <w:szCs w:val="22"/>
              </w:rPr>
              <w:t>planning history relevant to the determination of the current application.</w:t>
            </w:r>
          </w:p>
        </w:tc>
      </w:tr>
      <w:tr w:rsidR="00327DBC" w:rsidRPr="008C75E4" w14:paraId="2C07B8EC" w14:textId="77777777" w:rsidTr="0068376C">
        <w:trPr>
          <w:trHeight w:hRule="exact" w:val="170"/>
          <w:jc w:val="center"/>
        </w:trPr>
        <w:tc>
          <w:tcPr>
            <w:tcW w:w="9339" w:type="dxa"/>
            <w:gridSpan w:val="13"/>
            <w:tcBorders>
              <w:top w:val="single" w:sz="4" w:space="0" w:color="A6A6A6"/>
              <w:left w:val="nil"/>
              <w:bottom w:val="single" w:sz="4" w:space="0" w:color="A6A6A6"/>
              <w:right w:val="nil"/>
            </w:tcBorders>
            <w:shd w:val="clear" w:color="auto" w:fill="auto"/>
            <w:tcMar>
              <w:top w:w="57" w:type="dxa"/>
              <w:bottom w:w="57" w:type="dxa"/>
            </w:tcMar>
          </w:tcPr>
          <w:p w14:paraId="0E855482" w14:textId="77777777" w:rsidR="00C0704D" w:rsidRPr="0068376C" w:rsidRDefault="00C0704D" w:rsidP="006126D1">
            <w:pPr>
              <w:pStyle w:val="PLANNING"/>
              <w:rPr>
                <w:rFonts w:ascii="Calibri" w:hAnsi="Calibri"/>
                <w:b/>
                <w:bCs/>
                <w:szCs w:val="22"/>
              </w:rPr>
            </w:pPr>
          </w:p>
        </w:tc>
      </w:tr>
      <w:tr w:rsidR="008C75E4" w:rsidRPr="008C75E4" w14:paraId="2FEF1521"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F4E0A54" w14:textId="77777777" w:rsidR="00C0704D" w:rsidRPr="0068376C" w:rsidRDefault="00C0704D" w:rsidP="0068376C">
            <w:pPr>
              <w:jc w:val="both"/>
              <w:rPr>
                <w:rFonts w:ascii="Calibri" w:hAnsi="Calibri"/>
                <w:b/>
                <w:szCs w:val="22"/>
              </w:rPr>
            </w:pPr>
            <w:r w:rsidRPr="0068376C">
              <w:rPr>
                <w:rFonts w:ascii="Calibri" w:hAnsi="Calibri"/>
                <w:b/>
                <w:bCs/>
                <w:szCs w:val="22"/>
              </w:rPr>
              <w:t>ASSESSMENT OF PROPOSED DEVELOPMENT:</w:t>
            </w:r>
          </w:p>
        </w:tc>
      </w:tr>
      <w:tr w:rsidR="008C75E4" w:rsidRPr="008C75E4" w14:paraId="0BC55A2B"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20A59F3" w14:textId="77777777" w:rsidR="00C0704D" w:rsidRPr="0068376C" w:rsidRDefault="00C0704D" w:rsidP="0068376C">
            <w:pPr>
              <w:pStyle w:val="Header"/>
              <w:tabs>
                <w:tab w:val="clear" w:pos="4153"/>
                <w:tab w:val="clear" w:pos="8306"/>
              </w:tabs>
              <w:jc w:val="both"/>
              <w:rPr>
                <w:rFonts w:ascii="Calibri" w:hAnsi="Calibri"/>
                <w:b/>
                <w:szCs w:val="22"/>
              </w:rPr>
            </w:pPr>
            <w:r w:rsidRPr="0068376C">
              <w:rPr>
                <w:rFonts w:ascii="Calibri" w:hAnsi="Calibri"/>
                <w:b/>
                <w:szCs w:val="22"/>
              </w:rPr>
              <w:t>Proposed Development for which consent is sought:</w:t>
            </w:r>
          </w:p>
          <w:p w14:paraId="62297347" w14:textId="77777777" w:rsidR="00C0704D" w:rsidRPr="0068376C" w:rsidRDefault="00C0704D" w:rsidP="0068376C">
            <w:pPr>
              <w:pStyle w:val="Header"/>
              <w:tabs>
                <w:tab w:val="clear" w:pos="4153"/>
                <w:tab w:val="clear" w:pos="8306"/>
              </w:tabs>
              <w:jc w:val="both"/>
              <w:rPr>
                <w:rFonts w:ascii="Calibri" w:hAnsi="Calibri"/>
                <w:b/>
                <w:szCs w:val="22"/>
              </w:rPr>
            </w:pPr>
          </w:p>
          <w:p w14:paraId="3D341560" w14:textId="524E9DEA" w:rsidR="00AE1E74" w:rsidRDefault="00D721C5" w:rsidP="00AE1E74">
            <w:pPr>
              <w:jc w:val="both"/>
              <w:rPr>
                <w:rFonts w:ascii="Calibri" w:hAnsi="Calibri"/>
                <w:szCs w:val="22"/>
              </w:rPr>
            </w:pPr>
            <w:r w:rsidRPr="0068376C">
              <w:rPr>
                <w:rFonts w:ascii="Calibri" w:hAnsi="Calibri"/>
                <w:szCs w:val="22"/>
              </w:rPr>
              <w:t>The propos</w:t>
            </w:r>
            <w:r w:rsidR="00AE1E74">
              <w:rPr>
                <w:rFonts w:ascii="Calibri" w:hAnsi="Calibri"/>
                <w:szCs w:val="22"/>
              </w:rPr>
              <w:t xml:space="preserve">ed certificate of lawfulness seeks to establish the lawful use of an existing vehicular access on the northern extents of </w:t>
            </w:r>
            <w:proofErr w:type="spellStart"/>
            <w:r w:rsidR="00AE1E74">
              <w:rPr>
                <w:rFonts w:ascii="Calibri" w:hAnsi="Calibri"/>
                <w:szCs w:val="22"/>
              </w:rPr>
              <w:t>Tinklers</w:t>
            </w:r>
            <w:proofErr w:type="spellEnd"/>
            <w:r w:rsidR="00AE1E74">
              <w:rPr>
                <w:rFonts w:ascii="Calibri" w:hAnsi="Calibri"/>
                <w:szCs w:val="22"/>
              </w:rPr>
              <w:t xml:space="preserve"> Lane, Slaidburn.  The submitted details also propose that the current access will be altered, as such the certificate of lawfulness seeks to clarify not only the lawful use of the access, but also that the </w:t>
            </w:r>
            <w:r w:rsidR="007B7151">
              <w:rPr>
                <w:rFonts w:ascii="Calibri" w:hAnsi="Calibri"/>
                <w:szCs w:val="22"/>
              </w:rPr>
              <w:t>resultant access arrangement would not constitute operational development for which planning permission is required.</w:t>
            </w:r>
          </w:p>
          <w:p w14:paraId="2ED06527" w14:textId="1FB0A1CB" w:rsidR="00D05FEF" w:rsidRPr="0068376C" w:rsidRDefault="00D05FEF" w:rsidP="00AE1E74">
            <w:pPr>
              <w:jc w:val="both"/>
              <w:rPr>
                <w:rFonts w:ascii="Calibri" w:hAnsi="Calibri"/>
                <w:szCs w:val="22"/>
              </w:rPr>
            </w:pPr>
          </w:p>
        </w:tc>
      </w:tr>
      <w:tr w:rsidR="008C75E4" w:rsidRPr="008C75E4" w14:paraId="0BD5EA1A" w14:textId="77777777" w:rsidTr="0068376C">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D20E4A9" w14:textId="77777777" w:rsidR="00C0704D" w:rsidRPr="0068376C" w:rsidRDefault="00C0704D" w:rsidP="0068376C">
            <w:pPr>
              <w:contextualSpacing/>
              <w:jc w:val="both"/>
              <w:rPr>
                <w:rFonts w:ascii="Calibri" w:hAnsi="Calibri"/>
                <w:b/>
                <w:bCs/>
                <w:szCs w:val="22"/>
              </w:rPr>
            </w:pPr>
            <w:r w:rsidRPr="0068376C">
              <w:rPr>
                <w:rFonts w:ascii="Calibri" w:hAnsi="Calibri"/>
                <w:b/>
                <w:bCs/>
                <w:szCs w:val="22"/>
              </w:rPr>
              <w:t>Observations/Consideration of Matters Raised/Conclusion:</w:t>
            </w:r>
          </w:p>
          <w:p w14:paraId="61F0F458" w14:textId="24D10C4B" w:rsidR="00C0704D" w:rsidRDefault="00C0704D" w:rsidP="0068376C">
            <w:pPr>
              <w:contextualSpacing/>
              <w:jc w:val="both"/>
              <w:rPr>
                <w:rFonts w:ascii="Calibri" w:hAnsi="Calibri"/>
                <w:b/>
                <w:bCs/>
                <w:szCs w:val="22"/>
              </w:rPr>
            </w:pPr>
          </w:p>
          <w:p w14:paraId="09AAAC28" w14:textId="77777777" w:rsidR="00691BCD" w:rsidRPr="00B0194F" w:rsidRDefault="00691BCD" w:rsidP="00691BCD">
            <w:pPr>
              <w:contextualSpacing/>
              <w:jc w:val="both"/>
              <w:rPr>
                <w:rFonts w:ascii="Calibri" w:hAnsi="Calibri"/>
                <w:bCs/>
                <w:szCs w:val="22"/>
              </w:rPr>
            </w:pPr>
            <w:r w:rsidRPr="00B0194F">
              <w:rPr>
                <w:rFonts w:ascii="Calibri" w:hAnsi="Calibri"/>
                <w:bCs/>
                <w:szCs w:val="22"/>
              </w:rPr>
              <w:t xml:space="preserve">Section </w:t>
            </w:r>
            <w:r>
              <w:rPr>
                <w:rFonts w:ascii="Calibri" w:hAnsi="Calibri"/>
                <w:bCs/>
                <w:szCs w:val="22"/>
              </w:rPr>
              <w:t>171(B)</w:t>
            </w:r>
            <w:r w:rsidRPr="00B0194F">
              <w:rPr>
                <w:rFonts w:ascii="Calibri" w:hAnsi="Calibri"/>
                <w:bCs/>
                <w:szCs w:val="22"/>
              </w:rPr>
              <w:t xml:space="preserve"> of The Act </w:t>
            </w:r>
            <w:r>
              <w:rPr>
                <w:rFonts w:ascii="Calibri" w:hAnsi="Calibri"/>
                <w:bCs/>
                <w:szCs w:val="22"/>
              </w:rPr>
              <w:t xml:space="preserve">provides timescales whereby unauthorised development becomes immune from enforcement action and as such becomes lawful </w:t>
            </w:r>
            <w:r w:rsidRPr="00B0194F">
              <w:rPr>
                <w:rFonts w:ascii="Calibri" w:hAnsi="Calibri"/>
                <w:bCs/>
                <w:szCs w:val="22"/>
              </w:rPr>
              <w:t>as follows:</w:t>
            </w:r>
          </w:p>
          <w:p w14:paraId="739B3067" w14:textId="77777777" w:rsidR="00691BCD" w:rsidRPr="00B0194F" w:rsidRDefault="00691BCD" w:rsidP="00691BCD">
            <w:pPr>
              <w:contextualSpacing/>
              <w:jc w:val="both"/>
              <w:rPr>
                <w:rFonts w:ascii="Calibri" w:hAnsi="Calibri"/>
                <w:bCs/>
                <w:szCs w:val="22"/>
              </w:rPr>
            </w:pPr>
          </w:p>
          <w:p w14:paraId="239CD043" w14:textId="77777777" w:rsidR="00691BCD" w:rsidRPr="00386DA0" w:rsidRDefault="00691BCD" w:rsidP="00691BCD">
            <w:pPr>
              <w:pStyle w:val="ListParagraph"/>
              <w:numPr>
                <w:ilvl w:val="0"/>
                <w:numId w:val="6"/>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 xml:space="preserve">Where there has been a breach of planning control consisting in the carrying out without planning permission of building, engineering, </w:t>
            </w:r>
            <w:proofErr w:type="gramStart"/>
            <w:r w:rsidRPr="00386DA0">
              <w:rPr>
                <w:rFonts w:ascii="Calibri" w:hAnsi="Calibri" w:cs="Arial"/>
                <w:i/>
                <w:color w:val="000000"/>
                <w:szCs w:val="22"/>
                <w:lang w:val="en" w:eastAsia="en-GB"/>
              </w:rPr>
              <w:t>mining</w:t>
            </w:r>
            <w:proofErr w:type="gramEnd"/>
            <w:r w:rsidRPr="00386DA0">
              <w:rPr>
                <w:rFonts w:ascii="Calibri" w:hAnsi="Calibri" w:cs="Arial"/>
                <w:i/>
                <w:color w:val="000000"/>
                <w:szCs w:val="22"/>
                <w:lang w:val="en" w:eastAsia="en-GB"/>
              </w:rPr>
              <w:t xml:space="preserve"> or other operations in, on, over or under land, no enforcement action may be taken after the end of the period of four years beginning with the date on which the operations were substantially completed.</w:t>
            </w:r>
          </w:p>
          <w:p w14:paraId="51EE6318" w14:textId="77777777" w:rsidR="00691BCD" w:rsidRPr="00386DA0" w:rsidRDefault="00691BCD" w:rsidP="00691BCD">
            <w:pPr>
              <w:pStyle w:val="ListParagraph"/>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p>
          <w:p w14:paraId="415C77DF" w14:textId="77777777" w:rsidR="00691BCD" w:rsidRPr="00386DA0" w:rsidRDefault="00691BCD" w:rsidP="00691BCD">
            <w:pPr>
              <w:pStyle w:val="ListParagraph"/>
              <w:numPr>
                <w:ilvl w:val="0"/>
                <w:numId w:val="6"/>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Where there has been a breach of planning control consisting in the change of use of any building to use as a single dwellinghouse, no enforcement action may be taken after the end of the period of four years beginning with the date of the breach.</w:t>
            </w:r>
          </w:p>
          <w:p w14:paraId="136F6BEC" w14:textId="77777777" w:rsidR="00691BCD" w:rsidRPr="00386DA0" w:rsidRDefault="00691BCD" w:rsidP="00691BCD">
            <w:pPr>
              <w:pStyle w:val="ListParagraph"/>
              <w:rPr>
                <w:rFonts w:ascii="Calibri" w:hAnsi="Calibri" w:cs="Arial"/>
                <w:i/>
                <w:color w:val="000000"/>
                <w:szCs w:val="22"/>
                <w:lang w:val="en" w:eastAsia="en-GB"/>
              </w:rPr>
            </w:pPr>
          </w:p>
          <w:p w14:paraId="348C0245" w14:textId="77777777" w:rsidR="00691BCD" w:rsidRPr="00386DA0" w:rsidRDefault="00691BCD" w:rsidP="00691BCD">
            <w:pPr>
              <w:pStyle w:val="ListParagraph"/>
              <w:numPr>
                <w:ilvl w:val="0"/>
                <w:numId w:val="6"/>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In the case of any other breach of planning control, no enforcement action may be taken after the end of the period of ten years beginning with the date of the breach.</w:t>
            </w:r>
          </w:p>
          <w:p w14:paraId="7A3FDA1E" w14:textId="77777777" w:rsidR="00691BCD" w:rsidRPr="00386DA0" w:rsidRDefault="00691BCD" w:rsidP="00691BCD">
            <w:pPr>
              <w:pStyle w:val="ListParagraph"/>
              <w:rPr>
                <w:rFonts w:ascii="Calibri" w:hAnsi="Calibri" w:cs="Arial"/>
                <w:i/>
                <w:color w:val="000000"/>
                <w:szCs w:val="22"/>
                <w:lang w:val="en" w:eastAsia="en-GB"/>
              </w:rPr>
            </w:pPr>
          </w:p>
          <w:p w14:paraId="7E9FB4EB" w14:textId="77777777" w:rsidR="00691BCD" w:rsidRPr="00386DA0" w:rsidRDefault="00691BCD" w:rsidP="00691BCD">
            <w:pPr>
              <w:pStyle w:val="ListParagraph"/>
              <w:numPr>
                <w:ilvl w:val="0"/>
                <w:numId w:val="6"/>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preceding subsections do not prevent—</w:t>
            </w:r>
          </w:p>
          <w:p w14:paraId="4FEC9DAC" w14:textId="77777777" w:rsidR="00691BCD" w:rsidRPr="00386DA0" w:rsidRDefault="00691BCD" w:rsidP="00691BCD">
            <w:pPr>
              <w:pStyle w:val="ListParagraph"/>
              <w:rPr>
                <w:rFonts w:ascii="Calibri" w:hAnsi="Calibri" w:cs="Arial"/>
                <w:i/>
                <w:color w:val="000000"/>
                <w:szCs w:val="22"/>
                <w:lang w:val="en" w:eastAsia="en-GB"/>
              </w:rPr>
            </w:pPr>
          </w:p>
          <w:p w14:paraId="4369A487" w14:textId="77777777" w:rsidR="00691BCD" w:rsidRPr="00386DA0" w:rsidRDefault="00691BCD" w:rsidP="00691BCD">
            <w:pPr>
              <w:pStyle w:val="ListParagraph"/>
              <w:numPr>
                <w:ilvl w:val="0"/>
                <w:numId w:val="7"/>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service of a breach of condition notice in respect of any breach of planning control if an enforcement notice in respect of the breach is in effect; or</w:t>
            </w:r>
          </w:p>
          <w:p w14:paraId="46D9AF1A" w14:textId="77777777" w:rsidR="00691BCD" w:rsidRPr="00386DA0" w:rsidRDefault="00691BCD" w:rsidP="00691BCD">
            <w:pPr>
              <w:pStyle w:val="ListParagraph"/>
              <w:numPr>
                <w:ilvl w:val="0"/>
                <w:numId w:val="7"/>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taking further enforcement action in respect of any breach of planning control if, during the period of four years ending with that action being taken, the local planning authority have taken or purported to take enforcement action in respect of that breach.</w:t>
            </w:r>
          </w:p>
          <w:p w14:paraId="173BBE7D" w14:textId="77777777" w:rsidR="00691BCD" w:rsidRDefault="00691BCD" w:rsidP="00832FC8">
            <w:pPr>
              <w:pStyle w:val="Header"/>
              <w:tabs>
                <w:tab w:val="clear" w:pos="4153"/>
                <w:tab w:val="clear" w:pos="8306"/>
              </w:tabs>
              <w:contextualSpacing/>
              <w:jc w:val="both"/>
              <w:rPr>
                <w:rFonts w:ascii="Calibri" w:hAnsi="Calibri"/>
                <w:szCs w:val="22"/>
              </w:rPr>
            </w:pPr>
          </w:p>
          <w:p w14:paraId="7E3590F1" w14:textId="596970F4" w:rsidR="00E51FB6" w:rsidRDefault="00E24EEC" w:rsidP="00832FC8">
            <w:pPr>
              <w:pStyle w:val="Header"/>
              <w:tabs>
                <w:tab w:val="clear" w:pos="4153"/>
                <w:tab w:val="clear" w:pos="8306"/>
              </w:tabs>
              <w:contextualSpacing/>
              <w:jc w:val="both"/>
              <w:rPr>
                <w:rFonts w:ascii="Calibri" w:hAnsi="Calibri"/>
                <w:szCs w:val="22"/>
              </w:rPr>
            </w:pPr>
            <w:r>
              <w:rPr>
                <w:rFonts w:ascii="Calibri" w:hAnsi="Calibri"/>
                <w:szCs w:val="22"/>
              </w:rPr>
              <w:t xml:space="preserve">Based on the submitted information and taking account of historic aerial photography (2003) – on a balance of probability and in the absence of any contradictory </w:t>
            </w:r>
            <w:r w:rsidR="00691BCD">
              <w:rPr>
                <w:rFonts w:ascii="Calibri" w:hAnsi="Calibri"/>
                <w:szCs w:val="22"/>
              </w:rPr>
              <w:t xml:space="preserve">evidence, it is considered that the existing access is considered lawful insofar that it is rendered immune from enforcement action having been in existence for a period that exceeds the time limits as set out in </w:t>
            </w:r>
            <w:r w:rsidR="00691BCD" w:rsidRPr="00B0194F">
              <w:rPr>
                <w:rFonts w:ascii="Calibri" w:hAnsi="Calibri"/>
                <w:bCs/>
                <w:szCs w:val="22"/>
              </w:rPr>
              <w:t xml:space="preserve">Section </w:t>
            </w:r>
            <w:r w:rsidR="00691BCD">
              <w:rPr>
                <w:rFonts w:ascii="Calibri" w:hAnsi="Calibri"/>
                <w:bCs/>
                <w:szCs w:val="22"/>
              </w:rPr>
              <w:t>171(B)</w:t>
            </w:r>
            <w:r w:rsidR="00691BCD" w:rsidRPr="00B0194F">
              <w:rPr>
                <w:rFonts w:ascii="Calibri" w:hAnsi="Calibri"/>
                <w:bCs/>
                <w:szCs w:val="22"/>
              </w:rPr>
              <w:t xml:space="preserve"> of The</w:t>
            </w:r>
            <w:r w:rsidR="00691BCD">
              <w:rPr>
                <w:rFonts w:ascii="Calibri" w:hAnsi="Calibri"/>
                <w:bCs/>
                <w:szCs w:val="22"/>
              </w:rPr>
              <w:t xml:space="preserve"> Town and Country Planning</w:t>
            </w:r>
            <w:r w:rsidR="00691BCD" w:rsidRPr="00B0194F">
              <w:rPr>
                <w:rFonts w:ascii="Calibri" w:hAnsi="Calibri"/>
                <w:bCs/>
                <w:szCs w:val="22"/>
              </w:rPr>
              <w:t xml:space="preserve"> Act</w:t>
            </w:r>
          </w:p>
          <w:p w14:paraId="769B7A01" w14:textId="77777777" w:rsidR="00AE1E74" w:rsidRDefault="00AE1E74" w:rsidP="00832FC8">
            <w:pPr>
              <w:pStyle w:val="Header"/>
              <w:tabs>
                <w:tab w:val="clear" w:pos="4153"/>
                <w:tab w:val="clear" w:pos="8306"/>
              </w:tabs>
              <w:contextualSpacing/>
              <w:jc w:val="both"/>
              <w:rPr>
                <w:rFonts w:ascii="Calibri" w:hAnsi="Calibri"/>
                <w:b/>
                <w:szCs w:val="22"/>
              </w:rPr>
            </w:pPr>
          </w:p>
          <w:p w14:paraId="50285637" w14:textId="506645B3" w:rsidR="00691BCD" w:rsidRPr="00D35440" w:rsidRDefault="00691BCD" w:rsidP="00832FC8">
            <w:pPr>
              <w:pStyle w:val="Header"/>
              <w:tabs>
                <w:tab w:val="clear" w:pos="4153"/>
                <w:tab w:val="clear" w:pos="8306"/>
              </w:tabs>
              <w:contextualSpacing/>
              <w:jc w:val="both"/>
              <w:rPr>
                <w:rFonts w:ascii="Calibri" w:hAnsi="Calibri"/>
                <w:bCs/>
                <w:szCs w:val="22"/>
              </w:rPr>
            </w:pPr>
            <w:r w:rsidRPr="00D35440">
              <w:rPr>
                <w:rFonts w:ascii="Calibri" w:hAnsi="Calibri"/>
                <w:bCs/>
                <w:szCs w:val="22"/>
              </w:rPr>
              <w:t>The submitted details propose that the existing dry</w:t>
            </w:r>
            <w:r w:rsidR="00D35440">
              <w:rPr>
                <w:rFonts w:ascii="Calibri" w:hAnsi="Calibri"/>
                <w:bCs/>
                <w:szCs w:val="22"/>
              </w:rPr>
              <w:t>-</w:t>
            </w:r>
            <w:r w:rsidRPr="00D35440">
              <w:rPr>
                <w:rFonts w:ascii="Calibri" w:hAnsi="Calibri"/>
                <w:bCs/>
                <w:szCs w:val="22"/>
              </w:rPr>
              <w:t>stone wall will be re-formed 5m further into the site, forming a vehicular pull-in, it is also proposed that the existing gate will be relocated to match the extents of the altered walling.</w:t>
            </w:r>
          </w:p>
          <w:p w14:paraId="2BD725A2" w14:textId="77CB6FE5" w:rsidR="00691BCD" w:rsidRPr="00D35440" w:rsidRDefault="00691BCD" w:rsidP="00832FC8">
            <w:pPr>
              <w:pStyle w:val="Header"/>
              <w:tabs>
                <w:tab w:val="clear" w:pos="4153"/>
                <w:tab w:val="clear" w:pos="8306"/>
              </w:tabs>
              <w:contextualSpacing/>
              <w:jc w:val="both"/>
              <w:rPr>
                <w:rFonts w:ascii="Calibri" w:hAnsi="Calibri"/>
                <w:bCs/>
                <w:szCs w:val="22"/>
              </w:rPr>
            </w:pPr>
          </w:p>
          <w:p w14:paraId="52909F4C" w14:textId="2E22A9E2" w:rsidR="00691BCD" w:rsidRPr="00D35440" w:rsidRDefault="00691BCD" w:rsidP="00832FC8">
            <w:pPr>
              <w:pStyle w:val="Header"/>
              <w:tabs>
                <w:tab w:val="clear" w:pos="4153"/>
                <w:tab w:val="clear" w:pos="8306"/>
              </w:tabs>
              <w:contextualSpacing/>
              <w:jc w:val="both"/>
              <w:rPr>
                <w:rFonts w:ascii="Calibri" w:hAnsi="Calibri"/>
                <w:bCs/>
                <w:szCs w:val="22"/>
              </w:rPr>
            </w:pPr>
            <w:r w:rsidRPr="00D35440">
              <w:rPr>
                <w:rFonts w:ascii="Calibri" w:hAnsi="Calibri"/>
                <w:bCs/>
                <w:szCs w:val="22"/>
              </w:rPr>
              <w:t>Given there is no proposed increase in the height of the wall or gate,</w:t>
            </w:r>
            <w:r w:rsidR="00D35440" w:rsidRPr="00D35440">
              <w:rPr>
                <w:rFonts w:ascii="Calibri" w:hAnsi="Calibri"/>
                <w:bCs/>
                <w:szCs w:val="22"/>
              </w:rPr>
              <w:t xml:space="preserve"> as such </w:t>
            </w:r>
            <w:r w:rsidRPr="00D35440">
              <w:rPr>
                <w:rFonts w:ascii="Calibri" w:hAnsi="Calibri"/>
                <w:bCs/>
                <w:szCs w:val="22"/>
              </w:rPr>
              <w:t xml:space="preserve">it is not considered that the proposed access </w:t>
            </w:r>
            <w:r w:rsidR="00BE7E0E" w:rsidRPr="00D35440">
              <w:rPr>
                <w:rFonts w:ascii="Calibri" w:hAnsi="Calibri"/>
                <w:bCs/>
                <w:szCs w:val="22"/>
              </w:rPr>
              <w:t>alterations would necessitate the need for planning permission to be sought.</w:t>
            </w:r>
          </w:p>
          <w:p w14:paraId="392998C1" w14:textId="154272EF" w:rsidR="00691BCD" w:rsidRPr="0068376C" w:rsidRDefault="00691BCD" w:rsidP="00832FC8">
            <w:pPr>
              <w:pStyle w:val="Header"/>
              <w:tabs>
                <w:tab w:val="clear" w:pos="4153"/>
                <w:tab w:val="clear" w:pos="8306"/>
              </w:tabs>
              <w:contextualSpacing/>
              <w:jc w:val="both"/>
              <w:rPr>
                <w:rFonts w:ascii="Calibri" w:hAnsi="Calibri"/>
                <w:b/>
                <w:szCs w:val="22"/>
              </w:rPr>
            </w:pPr>
          </w:p>
        </w:tc>
      </w:tr>
      <w:tr w:rsidR="00327DBC" w:rsidRPr="008C75E4" w14:paraId="15DECBA3" w14:textId="77777777" w:rsidTr="0068376C">
        <w:trPr>
          <w:jc w:val="center"/>
        </w:trPr>
        <w:tc>
          <w:tcPr>
            <w:tcW w:w="2660"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8828D96" w14:textId="77777777" w:rsidR="00C0704D" w:rsidRPr="0068376C" w:rsidRDefault="00C0704D" w:rsidP="0068376C">
            <w:pPr>
              <w:jc w:val="both"/>
              <w:rPr>
                <w:rFonts w:ascii="Calibri" w:hAnsi="Calibri"/>
                <w:b/>
                <w:bCs/>
                <w:szCs w:val="22"/>
              </w:rPr>
            </w:pPr>
            <w:r w:rsidRPr="0068376C">
              <w:rPr>
                <w:rFonts w:ascii="Calibri" w:hAnsi="Calibri"/>
                <w:b/>
                <w:szCs w:val="22"/>
              </w:rPr>
              <w:lastRenderedPageBreak/>
              <w:t>RECOMMENDATION</w:t>
            </w:r>
            <w:r w:rsidRPr="0068376C">
              <w:rPr>
                <w:rFonts w:ascii="Calibri" w:hAnsi="Calibri"/>
                <w:szCs w:val="22"/>
              </w:rPr>
              <w:t>:</w:t>
            </w:r>
          </w:p>
        </w:tc>
        <w:tc>
          <w:tcPr>
            <w:tcW w:w="6679" w:type="dxa"/>
            <w:gridSpan w:val="9"/>
            <w:tcBorders>
              <w:top w:val="single" w:sz="4" w:space="0" w:color="A6A6A6"/>
              <w:left w:val="single" w:sz="4" w:space="0" w:color="A6A6A6"/>
              <w:bottom w:val="single" w:sz="4" w:space="0" w:color="A6A6A6"/>
              <w:right w:val="single" w:sz="4" w:space="0" w:color="A6A6A6"/>
            </w:tcBorders>
            <w:shd w:val="clear" w:color="auto" w:fill="auto"/>
          </w:tcPr>
          <w:p w14:paraId="337E786D" w14:textId="77777777" w:rsidR="00C0704D" w:rsidRPr="0068376C" w:rsidRDefault="00F81173" w:rsidP="0068376C">
            <w:pPr>
              <w:jc w:val="both"/>
              <w:rPr>
                <w:rFonts w:ascii="Calibri" w:hAnsi="Calibri"/>
                <w:bCs/>
                <w:szCs w:val="22"/>
              </w:rPr>
            </w:pPr>
            <w:r w:rsidRPr="0068376C">
              <w:rPr>
                <w:rFonts w:ascii="Calibri" w:hAnsi="Calibri"/>
                <w:bCs/>
                <w:szCs w:val="22"/>
              </w:rPr>
              <w:t>That consent for a certificate of lawfulness be granted.</w:t>
            </w:r>
          </w:p>
        </w:tc>
      </w:tr>
      <w:tr w:rsidR="008D3C38" w:rsidRPr="008C75E4" w14:paraId="08CDB7C3" w14:textId="77777777" w:rsidTr="00944151">
        <w:trPr>
          <w:jc w:val="center"/>
        </w:trPr>
        <w:tc>
          <w:tcPr>
            <w:tcW w:w="9339"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E486F13" w14:textId="77777777" w:rsidR="008D3C38" w:rsidRDefault="008D3C38" w:rsidP="0068376C">
            <w:pPr>
              <w:jc w:val="both"/>
              <w:rPr>
                <w:rFonts w:ascii="Calibri" w:hAnsi="Calibri"/>
                <w:bCs/>
                <w:szCs w:val="22"/>
              </w:rPr>
            </w:pPr>
          </w:p>
          <w:p w14:paraId="6277C598" w14:textId="411E4323" w:rsidR="008D3C38" w:rsidRDefault="008D3C38" w:rsidP="0068376C">
            <w:pPr>
              <w:jc w:val="both"/>
              <w:rPr>
                <w:rFonts w:ascii="Calibri" w:hAnsi="Calibri"/>
                <w:bCs/>
                <w:szCs w:val="22"/>
              </w:rPr>
            </w:pPr>
            <w:proofErr w:type="gramStart"/>
            <w:r w:rsidRPr="008D3C38">
              <w:rPr>
                <w:rFonts w:ascii="Calibri" w:hAnsi="Calibri"/>
                <w:bCs/>
                <w:szCs w:val="22"/>
              </w:rPr>
              <w:t>On the basis of</w:t>
            </w:r>
            <w:proofErr w:type="gramEnd"/>
            <w:r w:rsidRPr="008D3C38">
              <w:rPr>
                <w:rFonts w:ascii="Calibri" w:hAnsi="Calibri"/>
                <w:bCs/>
                <w:szCs w:val="22"/>
              </w:rPr>
              <w:t xml:space="preserve"> the evidence provided</w:t>
            </w:r>
            <w:r>
              <w:rPr>
                <w:rFonts w:ascii="Calibri" w:hAnsi="Calibri"/>
                <w:bCs/>
                <w:szCs w:val="22"/>
              </w:rPr>
              <w:t xml:space="preserve">, including historical photography, </w:t>
            </w:r>
            <w:r w:rsidRPr="008D3C38">
              <w:rPr>
                <w:rFonts w:ascii="Calibri" w:hAnsi="Calibri"/>
                <w:bCs/>
                <w:szCs w:val="22"/>
              </w:rPr>
              <w:t xml:space="preserve">it is considered that the </w:t>
            </w:r>
            <w:r>
              <w:rPr>
                <w:rFonts w:ascii="Calibri" w:hAnsi="Calibri"/>
                <w:bCs/>
                <w:szCs w:val="22"/>
              </w:rPr>
              <w:t xml:space="preserve">vehicular access off </w:t>
            </w:r>
            <w:proofErr w:type="spellStart"/>
            <w:r>
              <w:rPr>
                <w:rFonts w:ascii="Calibri" w:hAnsi="Calibri"/>
                <w:bCs/>
                <w:szCs w:val="22"/>
              </w:rPr>
              <w:t>Tinkler</w:t>
            </w:r>
            <w:proofErr w:type="spellEnd"/>
            <w:r>
              <w:rPr>
                <w:rFonts w:ascii="Calibri" w:hAnsi="Calibri"/>
                <w:bCs/>
                <w:szCs w:val="22"/>
              </w:rPr>
              <w:t xml:space="preserve"> Lane, as indicated on drawing 5004</w:t>
            </w:r>
            <w:r w:rsidRPr="008D3C38">
              <w:rPr>
                <w:rFonts w:ascii="Calibri" w:hAnsi="Calibri"/>
                <w:bCs/>
                <w:szCs w:val="22"/>
              </w:rPr>
              <w:t xml:space="preserve"> has been used for a period greater than 10 years and as such is considered lawful by virtue of section (3) of 171(B) of the Town and Country Planning Act 1990.</w:t>
            </w:r>
            <w:r>
              <w:rPr>
                <w:rFonts w:ascii="Calibri" w:hAnsi="Calibri"/>
                <w:bCs/>
                <w:szCs w:val="22"/>
              </w:rPr>
              <w:t xml:space="preserve">  It is further considered that the proposed access alterations </w:t>
            </w:r>
            <w:r w:rsidR="00EF61DF">
              <w:rPr>
                <w:rFonts w:ascii="Calibri" w:hAnsi="Calibri"/>
                <w:bCs/>
                <w:szCs w:val="22"/>
              </w:rPr>
              <w:t>are not operational development which would necessitate the need for planning permission to be sought.</w:t>
            </w:r>
          </w:p>
          <w:p w14:paraId="3781C775" w14:textId="2BD9ED77" w:rsidR="008D3C38" w:rsidRPr="0068376C" w:rsidRDefault="008D3C38" w:rsidP="0068376C">
            <w:pPr>
              <w:jc w:val="both"/>
              <w:rPr>
                <w:rFonts w:ascii="Calibri" w:hAnsi="Calibri"/>
                <w:bCs/>
                <w:szCs w:val="22"/>
              </w:rPr>
            </w:pPr>
          </w:p>
        </w:tc>
      </w:tr>
    </w:tbl>
    <w:p w14:paraId="1F36DE1F" w14:textId="77777777" w:rsidR="001B306B" w:rsidRPr="008C75E4" w:rsidRDefault="001B306B" w:rsidP="006126D1">
      <w:pPr>
        <w:jc w:val="both"/>
        <w:rPr>
          <w:rFonts w:ascii="Calibri" w:hAnsi="Calibri"/>
          <w:szCs w:val="22"/>
        </w:rPr>
      </w:pPr>
    </w:p>
    <w:sectPr w:rsidR="001B306B"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F68A" w14:textId="77777777" w:rsidR="001B306B" w:rsidRDefault="001B306B" w:rsidP="006D0B5F">
      <w:r>
        <w:separator/>
      </w:r>
    </w:p>
  </w:endnote>
  <w:endnote w:type="continuationSeparator" w:id="0">
    <w:p w14:paraId="5A10BFFD" w14:textId="77777777" w:rsidR="001B306B" w:rsidRDefault="001B306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4DCD" w14:textId="77777777" w:rsidR="001B306B" w:rsidRDefault="001B306B" w:rsidP="006D0B5F">
      <w:r>
        <w:separator/>
      </w:r>
    </w:p>
  </w:footnote>
  <w:footnote w:type="continuationSeparator" w:id="0">
    <w:p w14:paraId="1A598AD6" w14:textId="77777777" w:rsidR="001B306B" w:rsidRDefault="001B306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30243F5"/>
    <w:multiLevelType w:val="hybridMultilevel"/>
    <w:tmpl w:val="B2FE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1ED2"/>
    <w:rsid w:val="0000583F"/>
    <w:rsid w:val="000075DD"/>
    <w:rsid w:val="0003004D"/>
    <w:rsid w:val="00041FBF"/>
    <w:rsid w:val="00055B13"/>
    <w:rsid w:val="0008638E"/>
    <w:rsid w:val="000B5CB5"/>
    <w:rsid w:val="000C7A57"/>
    <w:rsid w:val="0010371E"/>
    <w:rsid w:val="00106932"/>
    <w:rsid w:val="00130035"/>
    <w:rsid w:val="0016428F"/>
    <w:rsid w:val="001946E0"/>
    <w:rsid w:val="001B306B"/>
    <w:rsid w:val="001D4F7A"/>
    <w:rsid w:val="00223779"/>
    <w:rsid w:val="00250879"/>
    <w:rsid w:val="00284480"/>
    <w:rsid w:val="0028751A"/>
    <w:rsid w:val="0029334A"/>
    <w:rsid w:val="002A01CF"/>
    <w:rsid w:val="002C6277"/>
    <w:rsid w:val="002D4346"/>
    <w:rsid w:val="002E7CC1"/>
    <w:rsid w:val="002F041D"/>
    <w:rsid w:val="002F2580"/>
    <w:rsid w:val="003137E0"/>
    <w:rsid w:val="00321B6E"/>
    <w:rsid w:val="00327DBC"/>
    <w:rsid w:val="00341E8D"/>
    <w:rsid w:val="00380BB7"/>
    <w:rsid w:val="003825D5"/>
    <w:rsid w:val="003A4376"/>
    <w:rsid w:val="003F16B4"/>
    <w:rsid w:val="003F481A"/>
    <w:rsid w:val="00424C28"/>
    <w:rsid w:val="00440CB6"/>
    <w:rsid w:val="004854EC"/>
    <w:rsid w:val="004936A6"/>
    <w:rsid w:val="004947BB"/>
    <w:rsid w:val="004A5EA9"/>
    <w:rsid w:val="004C2434"/>
    <w:rsid w:val="004F0649"/>
    <w:rsid w:val="0050432D"/>
    <w:rsid w:val="00510FA2"/>
    <w:rsid w:val="00510FE3"/>
    <w:rsid w:val="00521ABA"/>
    <w:rsid w:val="00525341"/>
    <w:rsid w:val="00544580"/>
    <w:rsid w:val="00545D8C"/>
    <w:rsid w:val="00553256"/>
    <w:rsid w:val="00556ECD"/>
    <w:rsid w:val="005633B0"/>
    <w:rsid w:val="00593040"/>
    <w:rsid w:val="005E1C6C"/>
    <w:rsid w:val="005E65DF"/>
    <w:rsid w:val="005F1A9A"/>
    <w:rsid w:val="006126D1"/>
    <w:rsid w:val="006326A2"/>
    <w:rsid w:val="0068376C"/>
    <w:rsid w:val="0068662E"/>
    <w:rsid w:val="00690EC3"/>
    <w:rsid w:val="00691BCD"/>
    <w:rsid w:val="00692B60"/>
    <w:rsid w:val="006A37CB"/>
    <w:rsid w:val="006A430C"/>
    <w:rsid w:val="006A71AD"/>
    <w:rsid w:val="006C2BFA"/>
    <w:rsid w:val="006D0B5F"/>
    <w:rsid w:val="0070054B"/>
    <w:rsid w:val="00710DBB"/>
    <w:rsid w:val="00725F1C"/>
    <w:rsid w:val="00745CDA"/>
    <w:rsid w:val="00776AE2"/>
    <w:rsid w:val="007921CD"/>
    <w:rsid w:val="007B7151"/>
    <w:rsid w:val="007C791C"/>
    <w:rsid w:val="007D7DF4"/>
    <w:rsid w:val="007E0D23"/>
    <w:rsid w:val="007E6A21"/>
    <w:rsid w:val="007F196D"/>
    <w:rsid w:val="00805895"/>
    <w:rsid w:val="008075CB"/>
    <w:rsid w:val="00811771"/>
    <w:rsid w:val="00832FC8"/>
    <w:rsid w:val="008412E6"/>
    <w:rsid w:val="008542DE"/>
    <w:rsid w:val="008638DE"/>
    <w:rsid w:val="00891182"/>
    <w:rsid w:val="008A28C8"/>
    <w:rsid w:val="008A7190"/>
    <w:rsid w:val="008C75E4"/>
    <w:rsid w:val="008D3C38"/>
    <w:rsid w:val="00906D0C"/>
    <w:rsid w:val="00982B24"/>
    <w:rsid w:val="00985097"/>
    <w:rsid w:val="009C4BCF"/>
    <w:rsid w:val="009C7F61"/>
    <w:rsid w:val="009E6A8B"/>
    <w:rsid w:val="00A40070"/>
    <w:rsid w:val="00A42E82"/>
    <w:rsid w:val="00A54D10"/>
    <w:rsid w:val="00A579BB"/>
    <w:rsid w:val="00A63D55"/>
    <w:rsid w:val="00A95D89"/>
    <w:rsid w:val="00AE1E74"/>
    <w:rsid w:val="00B0644C"/>
    <w:rsid w:val="00B30A5E"/>
    <w:rsid w:val="00B45EA5"/>
    <w:rsid w:val="00B74C73"/>
    <w:rsid w:val="00B8161C"/>
    <w:rsid w:val="00B93EB5"/>
    <w:rsid w:val="00B96F5A"/>
    <w:rsid w:val="00BA2247"/>
    <w:rsid w:val="00BA6B19"/>
    <w:rsid w:val="00BD3F03"/>
    <w:rsid w:val="00BE7E0E"/>
    <w:rsid w:val="00C0704D"/>
    <w:rsid w:val="00C25722"/>
    <w:rsid w:val="00C618DB"/>
    <w:rsid w:val="00CA28BA"/>
    <w:rsid w:val="00CB1BFB"/>
    <w:rsid w:val="00CD38B1"/>
    <w:rsid w:val="00D05FEF"/>
    <w:rsid w:val="00D1063F"/>
    <w:rsid w:val="00D11007"/>
    <w:rsid w:val="00D23470"/>
    <w:rsid w:val="00D2449B"/>
    <w:rsid w:val="00D35440"/>
    <w:rsid w:val="00D54E67"/>
    <w:rsid w:val="00D721C5"/>
    <w:rsid w:val="00DD62F6"/>
    <w:rsid w:val="00DD7E97"/>
    <w:rsid w:val="00DF42DA"/>
    <w:rsid w:val="00E23FB0"/>
    <w:rsid w:val="00E24EEC"/>
    <w:rsid w:val="00E46243"/>
    <w:rsid w:val="00E51FB6"/>
    <w:rsid w:val="00E66534"/>
    <w:rsid w:val="00E72F6C"/>
    <w:rsid w:val="00EA09F9"/>
    <w:rsid w:val="00EC1F41"/>
    <w:rsid w:val="00EC23C7"/>
    <w:rsid w:val="00ED00B7"/>
    <w:rsid w:val="00EF1341"/>
    <w:rsid w:val="00EF44E6"/>
    <w:rsid w:val="00EF61DF"/>
    <w:rsid w:val="00F439AB"/>
    <w:rsid w:val="00F71D53"/>
    <w:rsid w:val="00F731F5"/>
    <w:rsid w:val="00F81173"/>
    <w:rsid w:val="00FC77EC"/>
    <w:rsid w:val="00FD6AE3"/>
    <w:rsid w:val="00FE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66AE"/>
  <w15:docId w15:val="{4446E5C4-D760-4495-868D-5F1A39B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FB14-F9AD-42DF-9858-2E68C95E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2022-02-02T16:05:00Z</cp:lastPrinted>
  <dcterms:created xsi:type="dcterms:W3CDTF">2022-02-02T16:07:00Z</dcterms:created>
  <dcterms:modified xsi:type="dcterms:W3CDTF">2022-02-02T16:07:00Z</dcterms:modified>
</cp:coreProperties>
</file>