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1BDBF7F0" w14:textId="77777777" w:rsidTr="00504440">
        <w:trPr>
          <w:jc w:val="center"/>
        </w:trPr>
        <w:tc>
          <w:tcPr>
            <w:tcW w:w="9555" w:type="dxa"/>
            <w:gridSpan w:val="14"/>
            <w:tcMar>
              <w:top w:w="57" w:type="dxa"/>
              <w:bottom w:w="57" w:type="dxa"/>
            </w:tcMar>
          </w:tcPr>
          <w:p w14:paraId="2C7B93A5"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6062D846" w14:textId="77777777" w:rsidTr="00504440">
        <w:trPr>
          <w:trHeight w:val="535"/>
          <w:jc w:val="center"/>
        </w:trPr>
        <w:tc>
          <w:tcPr>
            <w:tcW w:w="1296" w:type="dxa"/>
            <w:tcMar>
              <w:top w:w="57" w:type="dxa"/>
              <w:bottom w:w="57" w:type="dxa"/>
            </w:tcMar>
          </w:tcPr>
          <w:p w14:paraId="60C3613E" w14:textId="77777777" w:rsidR="004936A6" w:rsidRDefault="004936A6" w:rsidP="00D2449B">
            <w:pPr>
              <w:jc w:val="center"/>
              <w:rPr>
                <w:rFonts w:ascii="Calibri" w:hAnsi="Calibri"/>
                <w:b/>
                <w:szCs w:val="22"/>
              </w:rPr>
            </w:pPr>
            <w:r w:rsidRPr="008C75E4">
              <w:rPr>
                <w:rFonts w:ascii="Calibri" w:hAnsi="Calibri"/>
                <w:b/>
                <w:szCs w:val="22"/>
              </w:rPr>
              <w:t>Signed:</w:t>
            </w:r>
          </w:p>
          <w:p w14:paraId="4276640F" w14:textId="77777777" w:rsidR="00454754" w:rsidRPr="008C75E4" w:rsidRDefault="00454754" w:rsidP="00D2449B">
            <w:pPr>
              <w:jc w:val="center"/>
              <w:rPr>
                <w:rFonts w:ascii="Calibri" w:hAnsi="Calibri"/>
                <w:b/>
                <w:szCs w:val="22"/>
              </w:rPr>
            </w:pPr>
          </w:p>
        </w:tc>
        <w:tc>
          <w:tcPr>
            <w:tcW w:w="900" w:type="dxa"/>
          </w:tcPr>
          <w:p w14:paraId="52E979CD"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61F28BF5" w14:textId="77777777" w:rsidR="004936A6" w:rsidRPr="008C75E4" w:rsidRDefault="002D56B0" w:rsidP="00D2449B">
            <w:pPr>
              <w:jc w:val="center"/>
              <w:rPr>
                <w:rFonts w:ascii="Calibri" w:hAnsi="Calibri"/>
                <w:b/>
                <w:szCs w:val="22"/>
              </w:rPr>
            </w:pPr>
            <w:r>
              <w:rPr>
                <w:rFonts w:ascii="Calibri" w:hAnsi="Calibri"/>
                <w:b/>
                <w:szCs w:val="22"/>
              </w:rPr>
              <w:t>LE</w:t>
            </w:r>
          </w:p>
        </w:tc>
        <w:tc>
          <w:tcPr>
            <w:tcW w:w="1030" w:type="dxa"/>
          </w:tcPr>
          <w:p w14:paraId="30F011B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04E47FE9" w14:textId="77777777" w:rsidR="004936A6" w:rsidRPr="008C75E4" w:rsidRDefault="002D56B0" w:rsidP="00D2449B">
            <w:pPr>
              <w:jc w:val="center"/>
              <w:rPr>
                <w:rFonts w:ascii="Calibri" w:hAnsi="Calibri"/>
                <w:b/>
                <w:szCs w:val="22"/>
              </w:rPr>
            </w:pPr>
            <w:r>
              <w:rPr>
                <w:rFonts w:ascii="Calibri" w:hAnsi="Calibri"/>
                <w:b/>
                <w:szCs w:val="22"/>
              </w:rPr>
              <w:t>21.12.21</w:t>
            </w:r>
          </w:p>
        </w:tc>
        <w:tc>
          <w:tcPr>
            <w:tcW w:w="1098" w:type="dxa"/>
            <w:gridSpan w:val="2"/>
          </w:tcPr>
          <w:p w14:paraId="4D0BCCBC"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58BA1FE3" w14:textId="77777777" w:rsidR="004936A6" w:rsidRPr="008C75E4" w:rsidRDefault="004936A6" w:rsidP="00D2449B">
            <w:pPr>
              <w:jc w:val="center"/>
              <w:rPr>
                <w:rFonts w:ascii="Calibri" w:hAnsi="Calibri"/>
                <w:b/>
                <w:szCs w:val="22"/>
              </w:rPr>
            </w:pPr>
          </w:p>
        </w:tc>
        <w:tc>
          <w:tcPr>
            <w:tcW w:w="1030" w:type="dxa"/>
          </w:tcPr>
          <w:p w14:paraId="77662E43"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2609C8A3" w14:textId="77777777" w:rsidR="004936A6" w:rsidRPr="008C75E4" w:rsidRDefault="004936A6" w:rsidP="00D2449B">
            <w:pPr>
              <w:jc w:val="center"/>
              <w:rPr>
                <w:rFonts w:ascii="Calibri" w:hAnsi="Calibri"/>
                <w:b/>
                <w:szCs w:val="22"/>
              </w:rPr>
            </w:pPr>
          </w:p>
        </w:tc>
      </w:tr>
      <w:tr w:rsidR="00E06DFC" w:rsidRPr="008C75E4" w14:paraId="295991CF"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4B0FE513"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3BD3D61B" w14:textId="77777777" w:rsidR="00E06DFC" w:rsidRPr="008C75E4" w:rsidRDefault="002D56B0" w:rsidP="00D2449B">
            <w:pPr>
              <w:jc w:val="center"/>
              <w:rPr>
                <w:rFonts w:ascii="Calibri" w:hAnsi="Calibri"/>
                <w:b/>
                <w:szCs w:val="22"/>
              </w:rPr>
            </w:pPr>
            <w:r>
              <w:rPr>
                <w:rFonts w:ascii="Calibri" w:hAnsi="Calibri"/>
                <w:b/>
                <w:szCs w:val="22"/>
              </w:rPr>
              <w:t>N</w:t>
            </w:r>
          </w:p>
        </w:tc>
        <w:tc>
          <w:tcPr>
            <w:tcW w:w="1080" w:type="dxa"/>
            <w:gridSpan w:val="4"/>
            <w:tcBorders>
              <w:bottom w:val="single" w:sz="4" w:space="0" w:color="BFBFBF" w:themeColor="background1" w:themeShade="BF"/>
            </w:tcBorders>
          </w:tcPr>
          <w:p w14:paraId="48C9993B"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79085AF3" w14:textId="77777777" w:rsidR="00E06DFC" w:rsidRPr="008C75E4" w:rsidRDefault="002D56B0"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50961968" w14:textId="77777777" w:rsidR="00E06DFC" w:rsidRPr="008C75E4" w:rsidRDefault="00E06DFC" w:rsidP="00D2449B">
            <w:pPr>
              <w:jc w:val="center"/>
              <w:rPr>
                <w:rFonts w:ascii="Calibri" w:hAnsi="Calibri"/>
                <w:b/>
                <w:szCs w:val="22"/>
              </w:rPr>
            </w:pPr>
          </w:p>
        </w:tc>
      </w:tr>
      <w:tr w:rsidR="008C75E4" w:rsidRPr="008C75E4" w14:paraId="4210DD78" w14:textId="77777777" w:rsidTr="00504440">
        <w:trPr>
          <w:jc w:val="center"/>
        </w:trPr>
        <w:tc>
          <w:tcPr>
            <w:tcW w:w="9555" w:type="dxa"/>
            <w:gridSpan w:val="14"/>
            <w:tcBorders>
              <w:left w:val="nil"/>
              <w:right w:val="nil"/>
            </w:tcBorders>
            <w:tcMar>
              <w:top w:w="57" w:type="dxa"/>
              <w:bottom w:w="57" w:type="dxa"/>
            </w:tcMar>
          </w:tcPr>
          <w:p w14:paraId="6C3B82AB" w14:textId="77777777" w:rsidR="004A5EA9" w:rsidRPr="008C75E4" w:rsidRDefault="004A5EA9" w:rsidP="004A5EA9">
            <w:pPr>
              <w:jc w:val="center"/>
              <w:rPr>
                <w:rFonts w:ascii="Calibri" w:hAnsi="Calibri"/>
                <w:b/>
                <w:szCs w:val="22"/>
              </w:rPr>
            </w:pPr>
          </w:p>
        </w:tc>
      </w:tr>
      <w:tr w:rsidR="008C75E4" w:rsidRPr="008C75E4" w14:paraId="2D7D9729" w14:textId="77777777" w:rsidTr="00504440">
        <w:trPr>
          <w:jc w:val="center"/>
        </w:trPr>
        <w:tc>
          <w:tcPr>
            <w:tcW w:w="2394" w:type="dxa"/>
            <w:gridSpan w:val="3"/>
            <w:tcMar>
              <w:top w:w="57" w:type="dxa"/>
              <w:bottom w:w="57" w:type="dxa"/>
            </w:tcMar>
          </w:tcPr>
          <w:p w14:paraId="1C0D2E78"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40BC7E52" w14:textId="77777777" w:rsidR="004A5EA9" w:rsidRPr="008C75E4" w:rsidRDefault="002D56B0" w:rsidP="008F6B58">
            <w:pPr>
              <w:rPr>
                <w:rFonts w:ascii="Calibri" w:hAnsi="Calibri"/>
                <w:szCs w:val="22"/>
              </w:rPr>
            </w:pPr>
            <w:r>
              <w:rPr>
                <w:rFonts w:ascii="Calibri" w:hAnsi="Calibri"/>
                <w:szCs w:val="22"/>
              </w:rPr>
              <w:t>3/2021/1075</w:t>
            </w:r>
          </w:p>
        </w:tc>
        <w:tc>
          <w:tcPr>
            <w:tcW w:w="3700" w:type="dxa"/>
            <w:gridSpan w:val="5"/>
            <w:vMerge w:val="restart"/>
            <w:tcMar>
              <w:top w:w="57" w:type="dxa"/>
              <w:bottom w:w="57" w:type="dxa"/>
            </w:tcMar>
          </w:tcPr>
          <w:p w14:paraId="1A46E9A1"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65FA59FB" wp14:editId="505AE2BA">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27B0E" w14:textId="77777777" w:rsidTr="00504440">
        <w:trPr>
          <w:jc w:val="center"/>
        </w:trPr>
        <w:tc>
          <w:tcPr>
            <w:tcW w:w="2394" w:type="dxa"/>
            <w:gridSpan w:val="3"/>
            <w:tcMar>
              <w:top w:w="57" w:type="dxa"/>
              <w:bottom w:w="57" w:type="dxa"/>
            </w:tcMar>
          </w:tcPr>
          <w:p w14:paraId="461CD949"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5BC893BE" w14:textId="77777777" w:rsidR="004A5EA9" w:rsidRPr="008C75E4" w:rsidRDefault="00F3202C" w:rsidP="002C6277">
            <w:pPr>
              <w:rPr>
                <w:rFonts w:ascii="Calibri" w:hAnsi="Calibri"/>
                <w:szCs w:val="22"/>
              </w:rPr>
            </w:pPr>
            <w:r>
              <w:rPr>
                <w:rFonts w:ascii="Calibri" w:hAnsi="Calibri"/>
                <w:szCs w:val="22"/>
              </w:rPr>
              <w:t>8/12/2021</w:t>
            </w:r>
          </w:p>
        </w:tc>
        <w:tc>
          <w:tcPr>
            <w:tcW w:w="3700" w:type="dxa"/>
            <w:gridSpan w:val="5"/>
            <w:vMerge/>
            <w:tcMar>
              <w:top w:w="57" w:type="dxa"/>
              <w:bottom w:w="57" w:type="dxa"/>
            </w:tcMar>
          </w:tcPr>
          <w:p w14:paraId="38D8D224" w14:textId="77777777" w:rsidR="004A5EA9" w:rsidRPr="008C75E4" w:rsidRDefault="004A5EA9">
            <w:pPr>
              <w:rPr>
                <w:rFonts w:ascii="Calibri" w:hAnsi="Calibri"/>
                <w:szCs w:val="22"/>
              </w:rPr>
            </w:pPr>
          </w:p>
        </w:tc>
      </w:tr>
      <w:tr w:rsidR="008C75E4" w:rsidRPr="008C75E4" w14:paraId="27676A2E" w14:textId="77777777" w:rsidTr="00504440">
        <w:trPr>
          <w:jc w:val="center"/>
        </w:trPr>
        <w:tc>
          <w:tcPr>
            <w:tcW w:w="2394" w:type="dxa"/>
            <w:gridSpan w:val="3"/>
            <w:tcMar>
              <w:top w:w="57" w:type="dxa"/>
              <w:bottom w:w="57" w:type="dxa"/>
            </w:tcMar>
          </w:tcPr>
          <w:p w14:paraId="0737A8F9"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7D5A06AF" w14:textId="77777777" w:rsidR="004A5EA9" w:rsidRPr="00454754" w:rsidRDefault="00F3202C"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01BF6A8E" w14:textId="77777777" w:rsidR="004A5EA9" w:rsidRPr="008C75E4" w:rsidRDefault="004A5EA9">
            <w:pPr>
              <w:rPr>
                <w:rFonts w:ascii="Calibri" w:hAnsi="Calibri"/>
                <w:szCs w:val="22"/>
              </w:rPr>
            </w:pPr>
          </w:p>
        </w:tc>
      </w:tr>
      <w:tr w:rsidR="00FD334A" w:rsidRPr="008C75E4" w14:paraId="513FD435"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45614114"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3F0A68FE"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0D6AB21E" w14:textId="77777777" w:rsidR="00FD334A" w:rsidRPr="008C75E4" w:rsidRDefault="00F3202C" w:rsidP="00FD334A">
            <w:pPr>
              <w:rPr>
                <w:rFonts w:ascii="Calibri" w:hAnsi="Calibri"/>
                <w:b/>
                <w:szCs w:val="22"/>
              </w:rPr>
            </w:pPr>
            <w:r>
              <w:rPr>
                <w:rFonts w:ascii="Calibri" w:hAnsi="Calibri"/>
                <w:b/>
                <w:szCs w:val="22"/>
              </w:rPr>
              <w:t>APPROVE</w:t>
            </w:r>
          </w:p>
        </w:tc>
      </w:tr>
      <w:tr w:rsidR="008C75E4" w:rsidRPr="008C75E4" w14:paraId="1E505E2B" w14:textId="77777777" w:rsidTr="00504440">
        <w:trPr>
          <w:trHeight w:hRule="exact" w:val="144"/>
          <w:jc w:val="center"/>
        </w:trPr>
        <w:tc>
          <w:tcPr>
            <w:tcW w:w="9555" w:type="dxa"/>
            <w:gridSpan w:val="14"/>
            <w:tcBorders>
              <w:left w:val="nil"/>
              <w:right w:val="nil"/>
            </w:tcBorders>
            <w:tcMar>
              <w:top w:w="57" w:type="dxa"/>
              <w:bottom w:w="57" w:type="dxa"/>
            </w:tcMar>
          </w:tcPr>
          <w:p w14:paraId="18BCCEA5" w14:textId="77777777" w:rsidR="004A5EA9" w:rsidRPr="00504440" w:rsidRDefault="004A5EA9" w:rsidP="007E0D23">
            <w:pPr>
              <w:tabs>
                <w:tab w:val="left" w:pos="4007"/>
              </w:tabs>
              <w:rPr>
                <w:rFonts w:ascii="Calibri" w:hAnsi="Calibri"/>
                <w:b/>
                <w:sz w:val="4"/>
                <w:szCs w:val="4"/>
              </w:rPr>
            </w:pPr>
          </w:p>
        </w:tc>
      </w:tr>
      <w:tr w:rsidR="008C75E4" w:rsidRPr="008C75E4" w14:paraId="5106FD14" w14:textId="77777777" w:rsidTr="00504440">
        <w:trPr>
          <w:jc w:val="center"/>
        </w:trPr>
        <w:tc>
          <w:tcPr>
            <w:tcW w:w="3075" w:type="dxa"/>
            <w:gridSpan w:val="5"/>
            <w:tcMar>
              <w:top w:w="57" w:type="dxa"/>
              <w:bottom w:w="57" w:type="dxa"/>
            </w:tcMar>
          </w:tcPr>
          <w:p w14:paraId="0C396361"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10A625DB" w14:textId="77777777" w:rsidR="004A5EA9" w:rsidRPr="008C75E4" w:rsidRDefault="00F3202C">
            <w:pPr>
              <w:rPr>
                <w:rFonts w:ascii="Calibri" w:hAnsi="Calibri"/>
                <w:szCs w:val="22"/>
              </w:rPr>
            </w:pPr>
            <w:r w:rsidRPr="00F3202C">
              <w:rPr>
                <w:rFonts w:ascii="Calibri" w:hAnsi="Calibri"/>
                <w:szCs w:val="22"/>
              </w:rPr>
              <w:t>Regularisation of change of use of dwelling house to holiday let and siting of ancillary welfare unit.</w:t>
            </w:r>
          </w:p>
        </w:tc>
      </w:tr>
      <w:tr w:rsidR="008C75E4" w:rsidRPr="008C75E4" w14:paraId="46F784D6"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1427BCCA"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538240A9" w14:textId="77777777" w:rsidR="002A01CF" w:rsidRPr="008C75E4" w:rsidRDefault="00F3202C" w:rsidP="00A42E82">
            <w:pPr>
              <w:rPr>
                <w:rFonts w:ascii="Calibri" w:hAnsi="Calibri"/>
                <w:szCs w:val="22"/>
              </w:rPr>
            </w:pPr>
            <w:r w:rsidRPr="00F3202C">
              <w:rPr>
                <w:rFonts w:ascii="Calibri" w:hAnsi="Calibri"/>
                <w:szCs w:val="22"/>
              </w:rPr>
              <w:t>Cuthbert Hill Garstang Road Chipping PR3 2QJ</w:t>
            </w:r>
          </w:p>
        </w:tc>
      </w:tr>
      <w:tr w:rsidR="008C75E4" w:rsidRPr="008C75E4" w14:paraId="1626E88C" w14:textId="77777777" w:rsidTr="00504440">
        <w:trPr>
          <w:trHeight w:hRule="exact" w:val="144"/>
          <w:jc w:val="center"/>
        </w:trPr>
        <w:tc>
          <w:tcPr>
            <w:tcW w:w="9555" w:type="dxa"/>
            <w:gridSpan w:val="14"/>
            <w:tcBorders>
              <w:left w:val="nil"/>
              <w:right w:val="nil"/>
            </w:tcBorders>
            <w:tcMar>
              <w:top w:w="57" w:type="dxa"/>
              <w:bottom w:w="57" w:type="dxa"/>
            </w:tcMar>
          </w:tcPr>
          <w:p w14:paraId="20AFDFBC" w14:textId="77777777" w:rsidR="00A95D89" w:rsidRPr="00504440" w:rsidRDefault="00A95D89" w:rsidP="007E0D23">
            <w:pPr>
              <w:tabs>
                <w:tab w:val="left" w:pos="2667"/>
              </w:tabs>
              <w:rPr>
                <w:rFonts w:ascii="Calibri" w:hAnsi="Calibri"/>
                <w:b/>
                <w:sz w:val="4"/>
                <w:szCs w:val="4"/>
              </w:rPr>
            </w:pPr>
          </w:p>
        </w:tc>
      </w:tr>
      <w:tr w:rsidR="008C75E4" w:rsidRPr="008C75E4" w14:paraId="5540793B" w14:textId="77777777" w:rsidTr="00504440">
        <w:trPr>
          <w:jc w:val="center"/>
        </w:trPr>
        <w:tc>
          <w:tcPr>
            <w:tcW w:w="3075" w:type="dxa"/>
            <w:gridSpan w:val="5"/>
            <w:tcMar>
              <w:top w:w="57" w:type="dxa"/>
              <w:bottom w:w="57" w:type="dxa"/>
            </w:tcMar>
          </w:tcPr>
          <w:p w14:paraId="6DB3EDA4"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2AB0A1EB"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79C841E2"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2577A381" w14:textId="77777777" w:rsidR="003A4376" w:rsidRPr="009825FF" w:rsidRDefault="00F3202C" w:rsidP="009825FF">
            <w:pPr>
              <w:jc w:val="both"/>
              <w:rPr>
                <w:rFonts w:ascii="Calibri" w:hAnsi="Calibri"/>
                <w:szCs w:val="22"/>
              </w:rPr>
            </w:pPr>
            <w:r>
              <w:rPr>
                <w:rFonts w:ascii="Calibri" w:hAnsi="Calibri"/>
                <w:szCs w:val="22"/>
              </w:rPr>
              <w:t>No comments received</w:t>
            </w:r>
          </w:p>
        </w:tc>
      </w:tr>
      <w:tr w:rsidR="008C75E4" w:rsidRPr="008C75E4" w14:paraId="65149377" w14:textId="77777777" w:rsidTr="00504440">
        <w:trPr>
          <w:trHeight w:hRule="exact" w:val="144"/>
          <w:jc w:val="center"/>
        </w:trPr>
        <w:tc>
          <w:tcPr>
            <w:tcW w:w="9555" w:type="dxa"/>
            <w:gridSpan w:val="14"/>
            <w:tcBorders>
              <w:left w:val="nil"/>
              <w:right w:val="nil"/>
            </w:tcBorders>
            <w:tcMar>
              <w:top w:w="57" w:type="dxa"/>
              <w:bottom w:w="57" w:type="dxa"/>
            </w:tcMar>
          </w:tcPr>
          <w:p w14:paraId="129479E2" w14:textId="77777777" w:rsidR="00C618DB" w:rsidRPr="00504440" w:rsidRDefault="00C618DB" w:rsidP="006126D1">
            <w:pPr>
              <w:jc w:val="both"/>
              <w:rPr>
                <w:rFonts w:ascii="Calibri" w:hAnsi="Calibri"/>
                <w:bCs/>
                <w:sz w:val="4"/>
                <w:szCs w:val="4"/>
              </w:rPr>
            </w:pPr>
          </w:p>
        </w:tc>
      </w:tr>
      <w:tr w:rsidR="008C75E4" w:rsidRPr="008C75E4" w14:paraId="6BF95F5D" w14:textId="77777777" w:rsidTr="00504440">
        <w:trPr>
          <w:jc w:val="center"/>
        </w:trPr>
        <w:tc>
          <w:tcPr>
            <w:tcW w:w="3075" w:type="dxa"/>
            <w:gridSpan w:val="5"/>
            <w:tcMar>
              <w:top w:w="57" w:type="dxa"/>
              <w:bottom w:w="57" w:type="dxa"/>
            </w:tcMar>
          </w:tcPr>
          <w:p w14:paraId="616A1731"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3E08A045"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45046723" w14:textId="77777777" w:rsidTr="00504440">
        <w:trPr>
          <w:jc w:val="center"/>
        </w:trPr>
        <w:tc>
          <w:tcPr>
            <w:tcW w:w="3075" w:type="dxa"/>
            <w:gridSpan w:val="5"/>
            <w:tcMar>
              <w:top w:w="57" w:type="dxa"/>
              <w:bottom w:w="57" w:type="dxa"/>
            </w:tcMar>
          </w:tcPr>
          <w:p w14:paraId="58CC6CFE" w14:textId="77777777" w:rsidR="002A01CF" w:rsidRPr="008C75E4" w:rsidRDefault="002A01CF" w:rsidP="006126D1">
            <w:pPr>
              <w:jc w:val="both"/>
              <w:rPr>
                <w:rFonts w:ascii="Calibri" w:hAnsi="Calibri"/>
                <w:b/>
                <w:szCs w:val="22"/>
              </w:rPr>
            </w:pPr>
            <w:r w:rsidRPr="008C75E4">
              <w:rPr>
                <w:rFonts w:ascii="Calibri" w:hAnsi="Calibri"/>
                <w:b/>
                <w:szCs w:val="22"/>
              </w:rPr>
              <w:t>LCC Highways:</w:t>
            </w:r>
          </w:p>
        </w:tc>
        <w:tc>
          <w:tcPr>
            <w:tcW w:w="6480" w:type="dxa"/>
            <w:gridSpan w:val="9"/>
          </w:tcPr>
          <w:p w14:paraId="357E3001" w14:textId="77777777" w:rsidR="002A01CF" w:rsidRPr="008C75E4" w:rsidRDefault="002A01CF" w:rsidP="006126D1">
            <w:pPr>
              <w:jc w:val="both"/>
              <w:rPr>
                <w:rFonts w:ascii="Calibri" w:hAnsi="Calibri"/>
                <w:b/>
                <w:szCs w:val="22"/>
              </w:rPr>
            </w:pPr>
          </w:p>
        </w:tc>
      </w:tr>
      <w:tr w:rsidR="008C75E4" w:rsidRPr="008C75E4" w14:paraId="68AAFCEE" w14:textId="77777777" w:rsidTr="00504440">
        <w:trPr>
          <w:jc w:val="center"/>
        </w:trPr>
        <w:tc>
          <w:tcPr>
            <w:tcW w:w="9555" w:type="dxa"/>
            <w:gridSpan w:val="14"/>
            <w:tcMar>
              <w:top w:w="57" w:type="dxa"/>
              <w:bottom w:w="57" w:type="dxa"/>
            </w:tcMar>
          </w:tcPr>
          <w:p w14:paraId="54F57C36" w14:textId="77777777" w:rsidR="00C0704D" w:rsidRPr="008C75E4" w:rsidRDefault="00F3202C" w:rsidP="00FC046F">
            <w:pPr>
              <w:jc w:val="both"/>
              <w:rPr>
                <w:rFonts w:ascii="Calibri" w:hAnsi="Calibri"/>
                <w:szCs w:val="22"/>
              </w:rPr>
            </w:pPr>
            <w:r>
              <w:rPr>
                <w:rFonts w:ascii="Calibri" w:hAnsi="Calibri"/>
                <w:szCs w:val="22"/>
              </w:rPr>
              <w:t>N/A</w:t>
            </w:r>
          </w:p>
        </w:tc>
      </w:tr>
      <w:tr w:rsidR="008C75E4" w:rsidRPr="008C75E4" w14:paraId="43E06578" w14:textId="77777777" w:rsidTr="00504440">
        <w:trPr>
          <w:jc w:val="center"/>
        </w:trPr>
        <w:tc>
          <w:tcPr>
            <w:tcW w:w="3075" w:type="dxa"/>
            <w:gridSpan w:val="5"/>
            <w:tcMar>
              <w:top w:w="57" w:type="dxa"/>
              <w:bottom w:w="57" w:type="dxa"/>
            </w:tcMar>
          </w:tcPr>
          <w:p w14:paraId="02B62416"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20930981"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58F72A46"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2A181A4" w14:textId="77777777" w:rsidR="005878FE" w:rsidRPr="00435FC9" w:rsidRDefault="00F3202C" w:rsidP="00435FC9">
            <w:pPr>
              <w:jc w:val="both"/>
              <w:rPr>
                <w:rFonts w:ascii="Calibri" w:hAnsi="Calibri"/>
                <w:szCs w:val="22"/>
              </w:rPr>
            </w:pPr>
            <w:r>
              <w:rPr>
                <w:rFonts w:ascii="Calibri" w:hAnsi="Calibri"/>
                <w:szCs w:val="22"/>
              </w:rPr>
              <w:t>?</w:t>
            </w:r>
          </w:p>
        </w:tc>
      </w:tr>
      <w:tr w:rsidR="008C75E4" w:rsidRPr="008C75E4" w14:paraId="12C486CB" w14:textId="77777777" w:rsidTr="00504440">
        <w:trPr>
          <w:trHeight w:hRule="exact" w:val="144"/>
          <w:jc w:val="center"/>
        </w:trPr>
        <w:tc>
          <w:tcPr>
            <w:tcW w:w="9555" w:type="dxa"/>
            <w:gridSpan w:val="14"/>
            <w:tcBorders>
              <w:left w:val="nil"/>
              <w:right w:val="nil"/>
            </w:tcBorders>
            <w:tcMar>
              <w:top w:w="57" w:type="dxa"/>
              <w:bottom w:w="57" w:type="dxa"/>
            </w:tcMar>
          </w:tcPr>
          <w:p w14:paraId="1D1D9407" w14:textId="77777777" w:rsidR="00C0704D" w:rsidRPr="00504440" w:rsidRDefault="00C0704D" w:rsidP="006126D1">
            <w:pPr>
              <w:jc w:val="both"/>
              <w:rPr>
                <w:rFonts w:ascii="Calibri" w:hAnsi="Calibri"/>
                <w:sz w:val="4"/>
                <w:szCs w:val="4"/>
              </w:rPr>
            </w:pPr>
          </w:p>
        </w:tc>
      </w:tr>
      <w:tr w:rsidR="008C75E4" w:rsidRPr="008C75E4" w14:paraId="308033C1" w14:textId="77777777" w:rsidTr="00504440">
        <w:trPr>
          <w:jc w:val="center"/>
        </w:trPr>
        <w:tc>
          <w:tcPr>
            <w:tcW w:w="9555" w:type="dxa"/>
            <w:gridSpan w:val="14"/>
            <w:tcMar>
              <w:top w:w="57" w:type="dxa"/>
              <w:bottom w:w="57" w:type="dxa"/>
            </w:tcMar>
          </w:tcPr>
          <w:p w14:paraId="1873E0B5"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78C09205" w14:textId="77777777" w:rsidTr="00504440">
        <w:trPr>
          <w:trHeight w:val="864"/>
          <w:jc w:val="center"/>
        </w:trPr>
        <w:tc>
          <w:tcPr>
            <w:tcW w:w="9555" w:type="dxa"/>
            <w:gridSpan w:val="14"/>
            <w:tcMar>
              <w:top w:w="57" w:type="dxa"/>
              <w:bottom w:w="57" w:type="dxa"/>
            </w:tcMar>
          </w:tcPr>
          <w:p w14:paraId="414E4F33"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74413A6E" w14:textId="77777777" w:rsidR="00F3202C" w:rsidRPr="00F3202C" w:rsidRDefault="00F3202C" w:rsidP="00F3202C">
            <w:pPr>
              <w:jc w:val="both"/>
              <w:rPr>
                <w:rFonts w:ascii="Calibri" w:hAnsi="Calibri"/>
                <w:b/>
                <w:szCs w:val="22"/>
              </w:rPr>
            </w:pPr>
            <w:r w:rsidRPr="00F3202C">
              <w:rPr>
                <w:rFonts w:ascii="Calibri" w:hAnsi="Calibri"/>
                <w:b/>
                <w:szCs w:val="22"/>
              </w:rPr>
              <w:t xml:space="preserve">Policy DS1: Development Strategy </w:t>
            </w:r>
          </w:p>
          <w:p w14:paraId="056B852D" w14:textId="77777777" w:rsidR="001946E0" w:rsidRDefault="00F3202C" w:rsidP="00F3202C">
            <w:pPr>
              <w:jc w:val="both"/>
              <w:rPr>
                <w:rFonts w:ascii="Calibri" w:hAnsi="Calibri"/>
                <w:b/>
                <w:szCs w:val="22"/>
              </w:rPr>
            </w:pPr>
            <w:r w:rsidRPr="00F3202C">
              <w:rPr>
                <w:rFonts w:ascii="Calibri" w:hAnsi="Calibri"/>
                <w:b/>
                <w:szCs w:val="22"/>
              </w:rPr>
              <w:t>Policy DS2: Sustainable Development</w:t>
            </w:r>
          </w:p>
          <w:p w14:paraId="08E0C287" w14:textId="77777777" w:rsidR="00F3202C" w:rsidRDefault="00F3202C" w:rsidP="00F3202C">
            <w:pPr>
              <w:jc w:val="both"/>
              <w:rPr>
                <w:rFonts w:ascii="Calibri" w:hAnsi="Calibri"/>
                <w:b/>
                <w:szCs w:val="22"/>
              </w:rPr>
            </w:pPr>
            <w:r w:rsidRPr="00F3202C">
              <w:rPr>
                <w:rFonts w:ascii="Calibri" w:hAnsi="Calibri"/>
                <w:b/>
                <w:szCs w:val="22"/>
              </w:rPr>
              <w:t>Policy EN2: Landscape</w:t>
            </w:r>
          </w:p>
          <w:p w14:paraId="31936AD8" w14:textId="77777777" w:rsidR="00F3202C" w:rsidRDefault="00F3202C" w:rsidP="00F3202C">
            <w:pPr>
              <w:jc w:val="both"/>
              <w:rPr>
                <w:rFonts w:ascii="Calibri" w:hAnsi="Calibri"/>
                <w:b/>
                <w:szCs w:val="22"/>
              </w:rPr>
            </w:pPr>
            <w:r w:rsidRPr="00F3202C">
              <w:rPr>
                <w:rFonts w:ascii="Calibri" w:hAnsi="Calibri"/>
                <w:b/>
                <w:szCs w:val="22"/>
              </w:rPr>
              <w:t>Policy EC3: Visitor Economy</w:t>
            </w:r>
          </w:p>
          <w:p w14:paraId="7F76A3FA" w14:textId="77777777" w:rsidR="00F3202C" w:rsidRPr="00F3202C" w:rsidRDefault="00F3202C" w:rsidP="00F3202C">
            <w:pPr>
              <w:jc w:val="both"/>
              <w:rPr>
                <w:rFonts w:ascii="Calibri" w:hAnsi="Calibri"/>
                <w:b/>
                <w:szCs w:val="22"/>
              </w:rPr>
            </w:pPr>
            <w:r w:rsidRPr="00F3202C">
              <w:rPr>
                <w:rFonts w:ascii="Calibri" w:hAnsi="Calibri"/>
                <w:b/>
                <w:szCs w:val="22"/>
              </w:rPr>
              <w:t xml:space="preserve">Policy DMG1: General Considerations </w:t>
            </w:r>
          </w:p>
          <w:p w14:paraId="057DA0EA" w14:textId="77777777" w:rsidR="00F3202C" w:rsidRDefault="00F3202C" w:rsidP="00F3202C">
            <w:pPr>
              <w:jc w:val="both"/>
              <w:rPr>
                <w:rFonts w:ascii="Calibri" w:hAnsi="Calibri"/>
                <w:b/>
                <w:szCs w:val="22"/>
              </w:rPr>
            </w:pPr>
            <w:r w:rsidRPr="00F3202C">
              <w:rPr>
                <w:rFonts w:ascii="Calibri" w:hAnsi="Calibri"/>
                <w:b/>
                <w:szCs w:val="22"/>
              </w:rPr>
              <w:t>Policy DMG2: Strategic Considerations</w:t>
            </w:r>
          </w:p>
          <w:p w14:paraId="3F92E47C" w14:textId="77777777" w:rsidR="00F3202C" w:rsidRPr="00F3202C" w:rsidRDefault="00F3202C" w:rsidP="00F3202C">
            <w:pPr>
              <w:jc w:val="both"/>
              <w:rPr>
                <w:rFonts w:ascii="Calibri" w:hAnsi="Calibri"/>
                <w:b/>
                <w:szCs w:val="22"/>
              </w:rPr>
            </w:pPr>
            <w:r w:rsidRPr="00F3202C">
              <w:rPr>
                <w:rFonts w:ascii="Calibri" w:hAnsi="Calibri"/>
                <w:b/>
                <w:szCs w:val="22"/>
              </w:rPr>
              <w:t xml:space="preserve">Policy DMG1: General Considerations </w:t>
            </w:r>
          </w:p>
          <w:p w14:paraId="01543AB9" w14:textId="77777777" w:rsidR="00F3202C" w:rsidRDefault="00F3202C" w:rsidP="00F3202C">
            <w:pPr>
              <w:jc w:val="both"/>
              <w:rPr>
                <w:rFonts w:ascii="Calibri" w:hAnsi="Calibri"/>
                <w:b/>
                <w:szCs w:val="22"/>
              </w:rPr>
            </w:pPr>
            <w:r w:rsidRPr="00F3202C">
              <w:rPr>
                <w:rFonts w:ascii="Calibri" w:hAnsi="Calibri"/>
                <w:b/>
                <w:szCs w:val="22"/>
              </w:rPr>
              <w:t>Policy DMG2: Strategic Considerations</w:t>
            </w:r>
          </w:p>
          <w:p w14:paraId="175D7E3C" w14:textId="77777777" w:rsidR="00F3202C" w:rsidRPr="008C75E4" w:rsidRDefault="00F3202C" w:rsidP="00F3202C">
            <w:pPr>
              <w:jc w:val="both"/>
              <w:rPr>
                <w:rFonts w:ascii="Calibri" w:hAnsi="Calibri"/>
                <w:b/>
                <w:szCs w:val="22"/>
              </w:rPr>
            </w:pPr>
            <w:r w:rsidRPr="00F3202C">
              <w:rPr>
                <w:rFonts w:ascii="Calibri" w:hAnsi="Calibri"/>
                <w:b/>
                <w:szCs w:val="22"/>
              </w:rPr>
              <w:t>Policy DMB3: Recreation and Tourism Development</w:t>
            </w:r>
          </w:p>
        </w:tc>
      </w:tr>
      <w:tr w:rsidR="008C75E4" w:rsidRPr="008C75E4" w14:paraId="5E78E660"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0EAEC770"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6225C810" w14:textId="77777777" w:rsidR="00101855" w:rsidRPr="001946E0" w:rsidRDefault="00F3202C" w:rsidP="00454754">
            <w:pPr>
              <w:pStyle w:val="PLANNING"/>
              <w:rPr>
                <w:rFonts w:ascii="Calibri" w:hAnsi="Calibri"/>
                <w:bCs/>
                <w:szCs w:val="22"/>
              </w:rPr>
            </w:pPr>
            <w:r w:rsidRPr="00F3202C">
              <w:rPr>
                <w:rFonts w:ascii="Calibri" w:hAnsi="Calibri"/>
                <w:bCs/>
                <w:szCs w:val="22"/>
              </w:rPr>
              <w:t>3/2009/0874</w:t>
            </w:r>
            <w:r>
              <w:rPr>
                <w:rFonts w:ascii="Calibri" w:hAnsi="Calibri"/>
                <w:bCs/>
                <w:szCs w:val="22"/>
              </w:rPr>
              <w:t xml:space="preserve"> - </w:t>
            </w:r>
            <w:r w:rsidR="000F7EF2" w:rsidRPr="000F7EF2">
              <w:rPr>
                <w:rFonts w:ascii="Calibri" w:hAnsi="Calibri"/>
                <w:bCs/>
                <w:szCs w:val="22"/>
              </w:rPr>
              <w:t xml:space="preserve">Renewal of planning consent 3/2006/0845P, for a </w:t>
            </w:r>
            <w:proofErr w:type="gramStart"/>
            <w:r w:rsidR="000F7EF2" w:rsidRPr="000F7EF2">
              <w:rPr>
                <w:rFonts w:ascii="Calibri" w:hAnsi="Calibri"/>
                <w:bCs/>
                <w:szCs w:val="22"/>
              </w:rPr>
              <w:t>two storey</w:t>
            </w:r>
            <w:proofErr w:type="gramEnd"/>
            <w:r w:rsidR="000F7EF2" w:rsidRPr="000F7EF2">
              <w:rPr>
                <w:rFonts w:ascii="Calibri" w:hAnsi="Calibri"/>
                <w:bCs/>
                <w:szCs w:val="22"/>
              </w:rPr>
              <w:t xml:space="preserve"> extension and a single storey double garage</w:t>
            </w:r>
            <w:r w:rsidR="000F7EF2">
              <w:rPr>
                <w:rFonts w:ascii="Calibri" w:hAnsi="Calibri"/>
                <w:bCs/>
                <w:szCs w:val="22"/>
              </w:rPr>
              <w:t xml:space="preserve"> – Approved with conditions</w:t>
            </w:r>
          </w:p>
        </w:tc>
      </w:tr>
      <w:tr w:rsidR="008C75E4" w:rsidRPr="008C75E4" w14:paraId="0BB4B1DB" w14:textId="77777777" w:rsidTr="00504440">
        <w:trPr>
          <w:trHeight w:hRule="exact" w:val="144"/>
          <w:jc w:val="center"/>
        </w:trPr>
        <w:tc>
          <w:tcPr>
            <w:tcW w:w="9555" w:type="dxa"/>
            <w:gridSpan w:val="14"/>
            <w:tcBorders>
              <w:left w:val="nil"/>
              <w:right w:val="nil"/>
            </w:tcBorders>
            <w:tcMar>
              <w:top w:w="57" w:type="dxa"/>
              <w:bottom w:w="57" w:type="dxa"/>
            </w:tcMar>
          </w:tcPr>
          <w:p w14:paraId="5F2AE589" w14:textId="77777777" w:rsidR="003F16AA" w:rsidRPr="00504440" w:rsidRDefault="003F16AA" w:rsidP="00504440">
            <w:pPr>
              <w:rPr>
                <w:sz w:val="4"/>
                <w:szCs w:val="4"/>
              </w:rPr>
            </w:pPr>
          </w:p>
        </w:tc>
      </w:tr>
      <w:tr w:rsidR="008C75E4" w:rsidRPr="008C75E4" w14:paraId="65EF51C3" w14:textId="77777777" w:rsidTr="00504440">
        <w:trPr>
          <w:jc w:val="center"/>
        </w:trPr>
        <w:tc>
          <w:tcPr>
            <w:tcW w:w="9555" w:type="dxa"/>
            <w:gridSpan w:val="14"/>
            <w:tcMar>
              <w:top w:w="57" w:type="dxa"/>
              <w:bottom w:w="57" w:type="dxa"/>
            </w:tcMar>
          </w:tcPr>
          <w:p w14:paraId="2E17E66B"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7FCD3B69" w14:textId="77777777" w:rsidTr="00504440">
        <w:trPr>
          <w:trHeight w:val="1152"/>
          <w:jc w:val="center"/>
        </w:trPr>
        <w:tc>
          <w:tcPr>
            <w:tcW w:w="9555" w:type="dxa"/>
            <w:gridSpan w:val="14"/>
            <w:tcMar>
              <w:top w:w="57" w:type="dxa"/>
              <w:bottom w:w="57" w:type="dxa"/>
            </w:tcMar>
          </w:tcPr>
          <w:p w14:paraId="29209D34" w14:textId="77777777" w:rsidR="0065543D"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633B94ED" w14:textId="77777777" w:rsidR="0065543D" w:rsidRPr="0065543D" w:rsidRDefault="0065543D" w:rsidP="00454754">
            <w:pPr>
              <w:pStyle w:val="Header"/>
              <w:tabs>
                <w:tab w:val="clear" w:pos="4153"/>
                <w:tab w:val="clear" w:pos="8306"/>
              </w:tabs>
              <w:contextualSpacing/>
              <w:jc w:val="both"/>
              <w:rPr>
                <w:rFonts w:ascii="Calibri" w:hAnsi="Calibri"/>
                <w:szCs w:val="22"/>
              </w:rPr>
            </w:pPr>
            <w:r w:rsidRPr="0065543D">
              <w:rPr>
                <w:rFonts w:ascii="Calibri" w:hAnsi="Calibri"/>
                <w:szCs w:val="22"/>
              </w:rPr>
              <w:t>The application site is a farmstead l</w:t>
            </w:r>
            <w:r>
              <w:rPr>
                <w:rFonts w:ascii="Calibri" w:hAnsi="Calibri"/>
                <w:szCs w:val="22"/>
              </w:rPr>
              <w:t xml:space="preserve">ocated in an isolated position 1.5km to the West of Chipping </w:t>
            </w:r>
            <w:proofErr w:type="gramStart"/>
            <w:r>
              <w:rPr>
                <w:rFonts w:ascii="Calibri" w:hAnsi="Calibri"/>
                <w:szCs w:val="22"/>
              </w:rPr>
              <w:t>and  5</w:t>
            </w:r>
            <w:proofErr w:type="gramEnd"/>
            <w:r>
              <w:rPr>
                <w:rFonts w:ascii="Calibri" w:hAnsi="Calibri"/>
                <w:szCs w:val="22"/>
              </w:rPr>
              <w:t xml:space="preserve">km North of Longridge as the crow flies. </w:t>
            </w:r>
            <w:r w:rsidR="005C6EC0">
              <w:rPr>
                <w:rFonts w:ascii="Calibri" w:hAnsi="Calibri"/>
                <w:szCs w:val="22"/>
              </w:rPr>
              <w:t xml:space="preserve">The farm house is a traditional stone-built dwelling located adjacent to the Road side with separate drive and parking to the east side. To the west side is a farmyard occupied by two agricultural buildings and surrounded by agricultural fields. </w:t>
            </w:r>
            <w:r w:rsidR="0068774E">
              <w:rPr>
                <w:rFonts w:ascii="Calibri" w:hAnsi="Calibri"/>
                <w:szCs w:val="22"/>
              </w:rPr>
              <w:t xml:space="preserve">There is 17 acres of farmland </w:t>
            </w:r>
            <w:r w:rsidR="0068774E">
              <w:rPr>
                <w:rFonts w:ascii="Calibri" w:hAnsi="Calibri"/>
                <w:szCs w:val="22"/>
              </w:rPr>
              <w:lastRenderedPageBreak/>
              <w:t xml:space="preserve">associated with the farm. </w:t>
            </w:r>
            <w:r w:rsidR="005C6EC0">
              <w:rPr>
                <w:rFonts w:ascii="Calibri" w:hAnsi="Calibri"/>
                <w:szCs w:val="22"/>
              </w:rPr>
              <w:t xml:space="preserve">There is a portacabin structure located in the field adjacent to the agricultural buildings. </w:t>
            </w:r>
          </w:p>
        </w:tc>
      </w:tr>
      <w:tr w:rsidR="008C75E4" w:rsidRPr="008C75E4" w14:paraId="31E2AA0C" w14:textId="77777777" w:rsidTr="00504440">
        <w:trPr>
          <w:trHeight w:val="1152"/>
          <w:jc w:val="center"/>
        </w:trPr>
        <w:tc>
          <w:tcPr>
            <w:tcW w:w="9555" w:type="dxa"/>
            <w:gridSpan w:val="14"/>
            <w:tcMar>
              <w:top w:w="57" w:type="dxa"/>
              <w:bottom w:w="57" w:type="dxa"/>
            </w:tcMar>
          </w:tcPr>
          <w:p w14:paraId="7F6D19E3"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lastRenderedPageBreak/>
              <w:t>Proposed Development for which consent is sought:</w:t>
            </w:r>
          </w:p>
          <w:p w14:paraId="1787054A" w14:textId="77777777" w:rsidR="00454754" w:rsidRPr="00F012FA" w:rsidRDefault="00B46AD8"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consent for the regularisation of the change of use of the house to a holiday let and ancillary welfare unit. </w:t>
            </w:r>
          </w:p>
        </w:tc>
      </w:tr>
      <w:tr w:rsidR="00C214A6" w:rsidRPr="008C75E4" w14:paraId="33B76D3E" w14:textId="77777777" w:rsidTr="00504440">
        <w:trPr>
          <w:trHeight w:val="864"/>
          <w:jc w:val="center"/>
        </w:trPr>
        <w:tc>
          <w:tcPr>
            <w:tcW w:w="9555" w:type="dxa"/>
            <w:gridSpan w:val="14"/>
            <w:tcMar>
              <w:top w:w="57" w:type="dxa"/>
              <w:bottom w:w="57" w:type="dxa"/>
            </w:tcMar>
          </w:tcPr>
          <w:p w14:paraId="5FA250BF" w14:textId="77777777" w:rsidR="006D7624" w:rsidRP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710086AD" w14:textId="77777777" w:rsidR="002372BE" w:rsidRDefault="002372BE" w:rsidP="00454754">
            <w:pPr>
              <w:pStyle w:val="Header"/>
              <w:tabs>
                <w:tab w:val="clear" w:pos="4153"/>
                <w:tab w:val="clear" w:pos="8306"/>
              </w:tabs>
              <w:jc w:val="both"/>
              <w:rPr>
                <w:rFonts w:asciiTheme="minorHAnsi" w:hAnsiTheme="minorHAnsi" w:cstheme="minorHAnsi"/>
              </w:rPr>
            </w:pPr>
            <w:r>
              <w:rPr>
                <w:rFonts w:ascii="Calibri" w:hAnsi="Calibri"/>
                <w:szCs w:val="22"/>
              </w:rPr>
              <w:t xml:space="preserve">A dwellinghouse is classed as C3 under the and </w:t>
            </w:r>
            <w:r w:rsidRPr="002372BE">
              <w:rPr>
                <w:rFonts w:asciiTheme="minorHAnsi" w:hAnsiTheme="minorHAnsi" w:cstheme="minorHAnsi"/>
              </w:rPr>
              <w:t>Town and Country Planning (Use Classes) Order 1987 (as amended)</w:t>
            </w:r>
            <w:r w:rsidR="00A94B16">
              <w:rPr>
                <w:rFonts w:asciiTheme="minorHAnsi" w:hAnsiTheme="minorHAnsi" w:cstheme="minorHAnsi"/>
              </w:rPr>
              <w:t xml:space="preserve"> and is defined as 6 persons living together as a household</w:t>
            </w:r>
            <w:r>
              <w:rPr>
                <w:rFonts w:asciiTheme="minorHAnsi" w:hAnsiTheme="minorHAnsi" w:cstheme="minorHAnsi"/>
              </w:rPr>
              <w:t xml:space="preserve"> and a holiday let is also considered as C3 </w:t>
            </w:r>
            <w:r w:rsidR="00A94B16">
              <w:rPr>
                <w:rFonts w:asciiTheme="minorHAnsi" w:hAnsiTheme="minorHAnsi" w:cstheme="minorHAnsi"/>
              </w:rPr>
              <w:t xml:space="preserve">providing it meets the definition of a dwellinghouse and </w:t>
            </w:r>
            <w:r>
              <w:rPr>
                <w:rFonts w:asciiTheme="minorHAnsi" w:hAnsiTheme="minorHAnsi" w:cstheme="minorHAnsi"/>
              </w:rPr>
              <w:t xml:space="preserve">as such </w:t>
            </w:r>
            <w:r w:rsidR="00A94B16">
              <w:rPr>
                <w:rFonts w:asciiTheme="minorHAnsi" w:hAnsiTheme="minorHAnsi" w:cstheme="minorHAnsi"/>
              </w:rPr>
              <w:t xml:space="preserve">in some circumstances </w:t>
            </w:r>
            <w:r>
              <w:rPr>
                <w:rFonts w:asciiTheme="minorHAnsi" w:hAnsiTheme="minorHAnsi" w:cstheme="minorHAnsi"/>
              </w:rPr>
              <w:t>consent is not required for its use as a holiday let.</w:t>
            </w:r>
          </w:p>
          <w:p w14:paraId="3C3B8C24" w14:textId="77777777" w:rsidR="00A94B16" w:rsidRDefault="00A94B16" w:rsidP="00454754">
            <w:pPr>
              <w:pStyle w:val="Header"/>
              <w:tabs>
                <w:tab w:val="clear" w:pos="4153"/>
                <w:tab w:val="clear" w:pos="8306"/>
              </w:tabs>
              <w:jc w:val="both"/>
              <w:rPr>
                <w:rFonts w:asciiTheme="minorHAnsi" w:hAnsiTheme="minorHAnsi" w:cstheme="minorHAnsi"/>
              </w:rPr>
            </w:pPr>
          </w:p>
          <w:p w14:paraId="537C0D21" w14:textId="77777777" w:rsidR="00A94B16" w:rsidRPr="00A94B16" w:rsidRDefault="00A94B16" w:rsidP="00454754">
            <w:pPr>
              <w:pStyle w:val="Header"/>
              <w:tabs>
                <w:tab w:val="clear" w:pos="4153"/>
                <w:tab w:val="clear" w:pos="8306"/>
              </w:tabs>
              <w:jc w:val="both"/>
              <w:rPr>
                <w:rFonts w:ascii="Calibri" w:hAnsi="Calibri" w:cs="Calibri"/>
                <w:color w:val="000000" w:themeColor="text1"/>
                <w:szCs w:val="22"/>
              </w:rPr>
            </w:pPr>
            <w:r w:rsidRPr="00A94B16">
              <w:rPr>
                <w:rFonts w:ascii="Calibri" w:hAnsi="Calibri" w:cs="Calibri"/>
                <w:color w:val="000000" w:themeColor="text1"/>
                <w:szCs w:val="22"/>
              </w:rPr>
              <w:t>There is case law on this subject and it was judged in the case Moore v. Secretary of State for Communities and Local Government 18 September 2012</w:t>
            </w:r>
            <w:r w:rsidR="00B469F7">
              <w:rPr>
                <w:rFonts w:ascii="Calibri" w:hAnsi="Calibri" w:cs="Calibri"/>
                <w:color w:val="000000" w:themeColor="text1"/>
                <w:szCs w:val="22"/>
              </w:rPr>
              <w:t>; t</w:t>
            </w:r>
            <w:r w:rsidRPr="00A94B16">
              <w:rPr>
                <w:rFonts w:ascii="Calibri" w:hAnsi="Calibri" w:cs="Calibri"/>
                <w:color w:val="000000" w:themeColor="text1"/>
                <w:szCs w:val="22"/>
              </w:rPr>
              <w:t>hat</w:t>
            </w:r>
            <w:r>
              <w:rPr>
                <w:rFonts w:ascii="Calibri" w:hAnsi="Calibri" w:cs="Calibri"/>
                <w:color w:val="000000" w:themeColor="text1"/>
                <w:szCs w:val="22"/>
              </w:rPr>
              <w:t xml:space="preserve"> whilst it is always a matter of fact and degree</w:t>
            </w:r>
            <w:r w:rsidRPr="00A94B16">
              <w:rPr>
                <w:rFonts w:ascii="Calibri" w:hAnsi="Calibri" w:cs="Calibri"/>
                <w:color w:val="000000" w:themeColor="text1"/>
                <w:szCs w:val="22"/>
              </w:rPr>
              <w:t xml:space="preserve"> larger holiday lets which may be capable of sleeping bigger groups than would normally be expected within a dwellinghouse would constitute a change of use. </w:t>
            </w:r>
          </w:p>
          <w:p w14:paraId="591092D6" w14:textId="77777777" w:rsidR="00A94B16" w:rsidRDefault="00A94B16" w:rsidP="00454754">
            <w:pPr>
              <w:pStyle w:val="Header"/>
              <w:tabs>
                <w:tab w:val="clear" w:pos="4153"/>
                <w:tab w:val="clear" w:pos="8306"/>
              </w:tabs>
              <w:jc w:val="both"/>
              <w:rPr>
                <w:rFonts w:asciiTheme="minorHAnsi" w:hAnsiTheme="minorHAnsi" w:cstheme="minorHAnsi"/>
              </w:rPr>
            </w:pPr>
          </w:p>
          <w:p w14:paraId="6BDE1280" w14:textId="77777777" w:rsidR="00A94B16" w:rsidRDefault="00A94B16" w:rsidP="00454754">
            <w:pPr>
              <w:pStyle w:val="Header"/>
              <w:tabs>
                <w:tab w:val="clear" w:pos="4153"/>
                <w:tab w:val="clear" w:pos="8306"/>
              </w:tabs>
              <w:jc w:val="both"/>
              <w:rPr>
                <w:rFonts w:asciiTheme="minorHAnsi" w:hAnsiTheme="minorHAnsi" w:cstheme="minorHAnsi"/>
              </w:rPr>
            </w:pPr>
            <w:r>
              <w:rPr>
                <w:rFonts w:asciiTheme="minorHAnsi" w:hAnsiTheme="minorHAnsi" w:cstheme="minorHAnsi"/>
              </w:rPr>
              <w:t xml:space="preserve">In this case the dwelling is advertised on a holiday booking website as being capable of sleeping 12 persons with 6 bedrooms and 4 bathrooms and therefore would be considered to be a sui generis use. </w:t>
            </w:r>
            <w:r w:rsidR="0068774E">
              <w:rPr>
                <w:rFonts w:asciiTheme="minorHAnsi" w:hAnsiTheme="minorHAnsi" w:cstheme="minorHAnsi"/>
              </w:rPr>
              <w:t xml:space="preserve"> The property was registered with the valuation office as a </w:t>
            </w:r>
            <w:proofErr w:type="spellStart"/>
            <w:proofErr w:type="gramStart"/>
            <w:r w:rsidR="0068774E">
              <w:rPr>
                <w:rFonts w:asciiTheme="minorHAnsi" w:hAnsiTheme="minorHAnsi" w:cstheme="minorHAnsi"/>
              </w:rPr>
              <w:t>non domestic</w:t>
            </w:r>
            <w:proofErr w:type="spellEnd"/>
            <w:proofErr w:type="gramEnd"/>
            <w:r w:rsidR="0068774E">
              <w:rPr>
                <w:rFonts w:asciiTheme="minorHAnsi" w:hAnsiTheme="minorHAnsi" w:cstheme="minorHAnsi"/>
              </w:rPr>
              <w:t xml:space="preserve"> premises in March 2020. </w:t>
            </w:r>
          </w:p>
          <w:p w14:paraId="4178B4E2" w14:textId="77777777" w:rsidR="002372BE" w:rsidRDefault="002372BE" w:rsidP="00454754">
            <w:pPr>
              <w:pStyle w:val="Header"/>
              <w:tabs>
                <w:tab w:val="clear" w:pos="4153"/>
                <w:tab w:val="clear" w:pos="8306"/>
              </w:tabs>
              <w:jc w:val="both"/>
              <w:rPr>
                <w:rFonts w:asciiTheme="minorHAnsi" w:hAnsiTheme="minorHAnsi" w:cstheme="minorHAnsi"/>
              </w:rPr>
            </w:pPr>
          </w:p>
          <w:p w14:paraId="4EC009A8" w14:textId="77777777" w:rsidR="00D102D9" w:rsidRDefault="002372BE" w:rsidP="00454754">
            <w:pPr>
              <w:pStyle w:val="Header"/>
              <w:tabs>
                <w:tab w:val="clear" w:pos="4153"/>
                <w:tab w:val="clear" w:pos="8306"/>
              </w:tabs>
              <w:jc w:val="both"/>
              <w:rPr>
                <w:rFonts w:asciiTheme="minorHAnsi" w:hAnsiTheme="minorHAnsi" w:cstheme="minorHAnsi"/>
              </w:rPr>
            </w:pPr>
            <w:r>
              <w:rPr>
                <w:rFonts w:asciiTheme="minorHAnsi" w:hAnsiTheme="minorHAnsi" w:cstheme="minorHAnsi"/>
              </w:rPr>
              <w:t>As the building is established</w:t>
            </w:r>
            <w:r w:rsidR="00A94B16">
              <w:rPr>
                <w:rFonts w:asciiTheme="minorHAnsi" w:hAnsiTheme="minorHAnsi" w:cstheme="minorHAnsi"/>
              </w:rPr>
              <w:t xml:space="preserve"> </w:t>
            </w:r>
            <w:r>
              <w:rPr>
                <w:rFonts w:asciiTheme="minorHAnsi" w:hAnsiTheme="minorHAnsi" w:cstheme="minorHAnsi"/>
              </w:rPr>
              <w:t>there is no objection to it returning to permanent residential use if circumstances changed in the future</w:t>
            </w:r>
            <w:r w:rsidR="00A94B16">
              <w:rPr>
                <w:rFonts w:asciiTheme="minorHAnsi" w:hAnsiTheme="minorHAnsi" w:cstheme="minorHAnsi"/>
              </w:rPr>
              <w:t xml:space="preserve">. </w:t>
            </w:r>
          </w:p>
          <w:p w14:paraId="383F5DC7" w14:textId="77777777" w:rsidR="0068774E" w:rsidRDefault="0068774E" w:rsidP="00454754">
            <w:pPr>
              <w:pStyle w:val="Header"/>
              <w:tabs>
                <w:tab w:val="clear" w:pos="4153"/>
                <w:tab w:val="clear" w:pos="8306"/>
              </w:tabs>
              <w:jc w:val="both"/>
              <w:rPr>
                <w:rFonts w:asciiTheme="minorHAnsi" w:hAnsiTheme="minorHAnsi" w:cstheme="minorHAnsi"/>
              </w:rPr>
            </w:pPr>
          </w:p>
          <w:p w14:paraId="71FD7CC6" w14:textId="77777777" w:rsidR="0068774E" w:rsidRDefault="0068774E" w:rsidP="00454754">
            <w:pPr>
              <w:pStyle w:val="Header"/>
              <w:tabs>
                <w:tab w:val="clear" w:pos="4153"/>
                <w:tab w:val="clear" w:pos="8306"/>
              </w:tabs>
              <w:jc w:val="both"/>
              <w:rPr>
                <w:rFonts w:asciiTheme="minorHAnsi" w:hAnsiTheme="minorHAnsi" w:cstheme="minorHAnsi"/>
              </w:rPr>
            </w:pPr>
            <w:r>
              <w:rPr>
                <w:rFonts w:asciiTheme="minorHAnsi" w:hAnsiTheme="minorHAnsi" w:cstheme="minorHAnsi"/>
              </w:rPr>
              <w:t>Core strategy policies are supportive of proposals which increase the range of tourism accommodation and the reuse of buildings is preferable to new build. In principle the propos</w:t>
            </w:r>
            <w:r w:rsidR="008A3807">
              <w:rPr>
                <w:rFonts w:asciiTheme="minorHAnsi" w:hAnsiTheme="minorHAnsi" w:cstheme="minorHAnsi"/>
              </w:rPr>
              <w:t>ed holiday let</w:t>
            </w:r>
            <w:r>
              <w:rPr>
                <w:rFonts w:asciiTheme="minorHAnsi" w:hAnsiTheme="minorHAnsi" w:cstheme="minorHAnsi"/>
              </w:rPr>
              <w:t xml:space="preserve"> accords with policies EC3 and DMB3</w:t>
            </w:r>
            <w:r w:rsidR="008A3807">
              <w:rPr>
                <w:rFonts w:asciiTheme="minorHAnsi" w:hAnsiTheme="minorHAnsi" w:cstheme="minorHAnsi"/>
              </w:rPr>
              <w:t xml:space="preserve"> and will assimilate into the landscape as there are no physical alterations proposed. </w:t>
            </w:r>
          </w:p>
          <w:p w14:paraId="24A89DD6" w14:textId="77777777" w:rsidR="002372BE" w:rsidRDefault="002372BE" w:rsidP="00454754">
            <w:pPr>
              <w:pStyle w:val="Header"/>
              <w:tabs>
                <w:tab w:val="clear" w:pos="4153"/>
                <w:tab w:val="clear" w:pos="8306"/>
              </w:tabs>
              <w:jc w:val="both"/>
              <w:rPr>
                <w:rFonts w:ascii="Calibri" w:hAnsi="Calibri"/>
                <w:szCs w:val="22"/>
              </w:rPr>
            </w:pPr>
          </w:p>
          <w:p w14:paraId="73BBCF6A" w14:textId="77777777" w:rsidR="00252F42" w:rsidRDefault="002372BE" w:rsidP="00454754">
            <w:pPr>
              <w:pStyle w:val="Header"/>
              <w:tabs>
                <w:tab w:val="clear" w:pos="4153"/>
                <w:tab w:val="clear" w:pos="8306"/>
              </w:tabs>
              <w:jc w:val="both"/>
              <w:rPr>
                <w:rFonts w:ascii="Calibri" w:hAnsi="Calibri"/>
                <w:szCs w:val="22"/>
              </w:rPr>
            </w:pPr>
            <w:r>
              <w:rPr>
                <w:rFonts w:ascii="Calibri" w:hAnsi="Calibri"/>
                <w:szCs w:val="22"/>
              </w:rPr>
              <w:t xml:space="preserve">The loss of the </w:t>
            </w:r>
            <w:r w:rsidR="003A47FB">
              <w:rPr>
                <w:rFonts w:ascii="Calibri" w:hAnsi="Calibri"/>
                <w:szCs w:val="22"/>
              </w:rPr>
              <w:t>residential</w:t>
            </w:r>
            <w:r>
              <w:rPr>
                <w:rFonts w:ascii="Calibri" w:hAnsi="Calibri"/>
                <w:szCs w:val="22"/>
              </w:rPr>
              <w:t xml:space="preserve"> use associated with the farm has however resulted in a need for a welfare unit</w:t>
            </w:r>
            <w:r w:rsidR="003A47FB">
              <w:rPr>
                <w:rFonts w:ascii="Calibri" w:hAnsi="Calibri"/>
                <w:szCs w:val="22"/>
              </w:rPr>
              <w:t xml:space="preserve"> for the famer to use when tending the land</w:t>
            </w:r>
            <w:r w:rsidR="00695038">
              <w:rPr>
                <w:rFonts w:ascii="Calibri" w:hAnsi="Calibri"/>
                <w:szCs w:val="22"/>
              </w:rPr>
              <w:t xml:space="preserve"> which is all in the same ownership</w:t>
            </w:r>
            <w:r w:rsidR="003A47FB">
              <w:rPr>
                <w:rFonts w:ascii="Calibri" w:hAnsi="Calibri"/>
                <w:szCs w:val="22"/>
              </w:rPr>
              <w:t xml:space="preserve">. It is accepted that the holiday use supplements the income particularly in the current economic recovery from the pandemic and in principle there is no objection to this small building which is practical for outdoor workers to use.  As aforementioned there would be no objection to the dwelling returning to residential use associated with the farm in the future and it is proposed to limit the scope of the use within use class C3 with a condition restricting the occupancy </w:t>
            </w:r>
            <w:r w:rsidR="00B469F7">
              <w:rPr>
                <w:rFonts w:ascii="Calibri" w:hAnsi="Calibri"/>
                <w:szCs w:val="22"/>
              </w:rPr>
              <w:t xml:space="preserve">and tying it to the farm </w:t>
            </w:r>
            <w:r w:rsidR="003A47FB">
              <w:rPr>
                <w:rFonts w:ascii="Calibri" w:hAnsi="Calibri"/>
                <w:szCs w:val="22"/>
              </w:rPr>
              <w:t>to limit the need for additional buildings in the future</w:t>
            </w:r>
            <w:r w:rsidR="00B469F7">
              <w:rPr>
                <w:rFonts w:ascii="Calibri" w:hAnsi="Calibri"/>
                <w:szCs w:val="22"/>
              </w:rPr>
              <w:t xml:space="preserve">. The siting and design of this building is subject to the material planning considerations. </w:t>
            </w:r>
            <w:r w:rsidR="008A3807" w:rsidRPr="008A3807">
              <w:rPr>
                <w:rFonts w:ascii="Calibri" w:hAnsi="Calibri"/>
                <w:szCs w:val="22"/>
              </w:rPr>
              <w:t>The site lies within the forest of Bowland AONB and therefore new developments should be designed sensitively with great importance placed on conserving or enhancing the landscape.</w:t>
            </w:r>
          </w:p>
          <w:p w14:paraId="071109F3" w14:textId="77777777" w:rsidR="00252F42" w:rsidRPr="006D7624" w:rsidRDefault="00252F42" w:rsidP="00454754">
            <w:pPr>
              <w:pStyle w:val="Header"/>
              <w:tabs>
                <w:tab w:val="clear" w:pos="4153"/>
                <w:tab w:val="clear" w:pos="8306"/>
              </w:tabs>
              <w:jc w:val="both"/>
              <w:rPr>
                <w:rFonts w:ascii="Calibri" w:hAnsi="Calibri"/>
                <w:szCs w:val="22"/>
              </w:rPr>
            </w:pPr>
          </w:p>
        </w:tc>
      </w:tr>
      <w:tr w:rsidR="008C75E4" w:rsidRPr="008C75E4" w14:paraId="22C2B496" w14:textId="77777777" w:rsidTr="00504440">
        <w:trPr>
          <w:trHeight w:val="864"/>
          <w:jc w:val="center"/>
        </w:trPr>
        <w:tc>
          <w:tcPr>
            <w:tcW w:w="9555" w:type="dxa"/>
            <w:gridSpan w:val="14"/>
            <w:tcMar>
              <w:top w:w="57" w:type="dxa"/>
              <w:bottom w:w="57" w:type="dxa"/>
            </w:tcMar>
          </w:tcPr>
          <w:p w14:paraId="1EE6C5AF"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163A7C1B" w14:textId="77777777" w:rsidR="00C6456D" w:rsidRDefault="00A94B16" w:rsidP="00454754">
            <w:pPr>
              <w:contextualSpacing/>
              <w:jc w:val="both"/>
              <w:rPr>
                <w:rFonts w:ascii="Calibri" w:hAnsi="Calibri"/>
                <w:szCs w:val="22"/>
              </w:rPr>
            </w:pPr>
            <w:r>
              <w:rPr>
                <w:rFonts w:ascii="Calibri" w:hAnsi="Calibri"/>
                <w:szCs w:val="22"/>
              </w:rPr>
              <w:t xml:space="preserve">The farm is located </w:t>
            </w:r>
            <w:r w:rsidR="00B469F7">
              <w:rPr>
                <w:rFonts w:ascii="Calibri" w:hAnsi="Calibri"/>
                <w:szCs w:val="22"/>
              </w:rPr>
              <w:t>approx. 180 metres from the nearest group of buildings</w:t>
            </w:r>
            <w:r w:rsidR="00252F42">
              <w:rPr>
                <w:rFonts w:ascii="Calibri" w:hAnsi="Calibri"/>
                <w:szCs w:val="22"/>
              </w:rPr>
              <w:t xml:space="preserve">. It is accepted that a holiday use may generate some more activity than a single dwelling house but given the distance to other dwellings it is not considered that this would have a material impact on the amenity of surrounding residents. </w:t>
            </w:r>
          </w:p>
          <w:p w14:paraId="5CB7CDC1" w14:textId="77777777" w:rsidR="008A3807" w:rsidRDefault="008A3807" w:rsidP="00454754">
            <w:pPr>
              <w:contextualSpacing/>
              <w:jc w:val="both"/>
              <w:rPr>
                <w:rFonts w:ascii="Calibri" w:hAnsi="Calibri"/>
                <w:szCs w:val="22"/>
              </w:rPr>
            </w:pPr>
          </w:p>
          <w:p w14:paraId="125D5CED" w14:textId="77777777" w:rsidR="008A3807" w:rsidRPr="00D23470" w:rsidRDefault="008A3807" w:rsidP="00454754">
            <w:pPr>
              <w:contextualSpacing/>
              <w:jc w:val="both"/>
              <w:rPr>
                <w:rFonts w:ascii="Calibri" w:hAnsi="Calibri"/>
                <w:szCs w:val="22"/>
              </w:rPr>
            </w:pPr>
            <w:r>
              <w:rPr>
                <w:rFonts w:ascii="Calibri" w:hAnsi="Calibri"/>
                <w:szCs w:val="22"/>
              </w:rPr>
              <w:t xml:space="preserve">The welfare units </w:t>
            </w:r>
            <w:proofErr w:type="gramStart"/>
            <w:r>
              <w:rPr>
                <w:rFonts w:ascii="Calibri" w:hAnsi="Calibri"/>
                <w:szCs w:val="22"/>
              </w:rPr>
              <w:t>is</w:t>
            </w:r>
            <w:proofErr w:type="gramEnd"/>
            <w:r>
              <w:rPr>
                <w:rFonts w:ascii="Calibri" w:hAnsi="Calibri"/>
                <w:szCs w:val="22"/>
              </w:rPr>
              <w:t xml:space="preserve"> a small structure ancillary to the agricultural activities at the site and there are no concerns raised with regards to impacts on nearby occupants with regards to this.</w:t>
            </w:r>
          </w:p>
        </w:tc>
      </w:tr>
      <w:tr w:rsidR="008C75E4" w:rsidRPr="008C75E4" w14:paraId="27C84B03" w14:textId="77777777" w:rsidTr="00504440">
        <w:trPr>
          <w:trHeight w:val="864"/>
          <w:jc w:val="center"/>
        </w:trPr>
        <w:tc>
          <w:tcPr>
            <w:tcW w:w="9555" w:type="dxa"/>
            <w:gridSpan w:val="14"/>
            <w:tcMar>
              <w:top w:w="57" w:type="dxa"/>
              <w:bottom w:w="57" w:type="dxa"/>
            </w:tcMar>
          </w:tcPr>
          <w:p w14:paraId="229692B8" w14:textId="77777777" w:rsidR="00C0704D" w:rsidRDefault="00DF42DA" w:rsidP="006126D1">
            <w:pPr>
              <w:contextualSpacing/>
              <w:jc w:val="both"/>
              <w:rPr>
                <w:rFonts w:ascii="Calibri" w:hAnsi="Calibri"/>
                <w:b/>
                <w:szCs w:val="22"/>
              </w:rPr>
            </w:pPr>
            <w:r w:rsidRPr="00DF42DA">
              <w:rPr>
                <w:rFonts w:ascii="Calibri" w:hAnsi="Calibri"/>
                <w:b/>
                <w:szCs w:val="22"/>
              </w:rPr>
              <w:lastRenderedPageBreak/>
              <w:t>Visual Amenity:</w:t>
            </w:r>
          </w:p>
          <w:p w14:paraId="0587677A" w14:textId="77777777" w:rsidR="00C50517" w:rsidRDefault="00252F42" w:rsidP="00454754">
            <w:pPr>
              <w:contextualSpacing/>
              <w:jc w:val="both"/>
              <w:rPr>
                <w:rFonts w:ascii="Calibri" w:hAnsi="Calibri"/>
                <w:szCs w:val="22"/>
              </w:rPr>
            </w:pPr>
            <w:r>
              <w:rPr>
                <w:rFonts w:ascii="Calibri" w:hAnsi="Calibri"/>
                <w:szCs w:val="22"/>
              </w:rPr>
              <w:t>There are no physical alterations to the farm house and therefore this aspect will not have a material impact on the character of the surrounding area</w:t>
            </w:r>
            <w:r w:rsidR="008A3807">
              <w:rPr>
                <w:rFonts w:ascii="Calibri" w:hAnsi="Calibri"/>
                <w:szCs w:val="22"/>
              </w:rPr>
              <w:t xml:space="preserve"> or landscape quality</w:t>
            </w:r>
            <w:r>
              <w:rPr>
                <w:rFonts w:ascii="Calibri" w:hAnsi="Calibri"/>
                <w:szCs w:val="22"/>
              </w:rPr>
              <w:t xml:space="preserve">. </w:t>
            </w:r>
          </w:p>
          <w:p w14:paraId="36996380" w14:textId="77777777" w:rsidR="00695038" w:rsidRDefault="00695038" w:rsidP="00454754">
            <w:pPr>
              <w:contextualSpacing/>
              <w:jc w:val="both"/>
              <w:rPr>
                <w:rFonts w:ascii="Calibri" w:hAnsi="Calibri"/>
                <w:szCs w:val="22"/>
              </w:rPr>
            </w:pPr>
          </w:p>
          <w:p w14:paraId="358AF779" w14:textId="77777777" w:rsidR="00695038" w:rsidRDefault="00695038" w:rsidP="00454754">
            <w:pPr>
              <w:contextualSpacing/>
              <w:jc w:val="both"/>
              <w:rPr>
                <w:rFonts w:ascii="Calibri" w:hAnsi="Calibri"/>
                <w:szCs w:val="22"/>
              </w:rPr>
            </w:pPr>
            <w:r>
              <w:rPr>
                <w:rFonts w:ascii="Calibri" w:hAnsi="Calibri"/>
                <w:szCs w:val="22"/>
              </w:rPr>
              <w:t>The welfare unit is located in the field adjacent to the barn and is quite visible in long distance views. The plans indicate that it will be clad in dark stained timber but at present it is a white colour which adds to its visual impact</w:t>
            </w:r>
            <w:r w:rsidR="008A3807">
              <w:rPr>
                <w:rFonts w:ascii="Calibri" w:hAnsi="Calibri"/>
                <w:szCs w:val="22"/>
              </w:rPr>
              <w:t xml:space="preserve"> giving it a stark appearance against the backdrop of brown stained timber buildings and fields</w:t>
            </w:r>
            <w:r>
              <w:rPr>
                <w:rFonts w:ascii="Calibri" w:hAnsi="Calibri"/>
                <w:szCs w:val="22"/>
              </w:rPr>
              <w:t xml:space="preserve">. </w:t>
            </w:r>
          </w:p>
          <w:p w14:paraId="2F44ABDC" w14:textId="77777777" w:rsidR="00695038" w:rsidRDefault="00695038" w:rsidP="00454754">
            <w:pPr>
              <w:contextualSpacing/>
              <w:jc w:val="both"/>
              <w:rPr>
                <w:rFonts w:ascii="Calibri" w:hAnsi="Calibri"/>
                <w:szCs w:val="22"/>
              </w:rPr>
            </w:pPr>
          </w:p>
          <w:p w14:paraId="7881D4A9" w14:textId="77777777" w:rsidR="00695038" w:rsidRPr="00545D8C" w:rsidRDefault="00695038" w:rsidP="00454754">
            <w:pPr>
              <w:contextualSpacing/>
              <w:jc w:val="both"/>
              <w:rPr>
                <w:rFonts w:ascii="Calibri" w:hAnsi="Calibri"/>
                <w:szCs w:val="22"/>
              </w:rPr>
            </w:pPr>
            <w:r>
              <w:rPr>
                <w:rFonts w:ascii="Calibri" w:hAnsi="Calibri"/>
                <w:szCs w:val="22"/>
              </w:rPr>
              <w:t>The applicant has agreed to relocate the unit directly adjacent to one of the agricultural buildings with the long side running along the elevation of this building so that only the short side will be glimpsed. They have agreed to do this in the spring. A suitable condition to ensure that the unit is moved and clad as specified within 6 months is proposed. The suggested location is within a group of existing buildings and the materials will also blend with the other buildings. Subject to this it is considered that the visual impact on the landscape will be minimal</w:t>
            </w:r>
            <w:r w:rsidR="0068774E">
              <w:rPr>
                <w:rFonts w:ascii="Calibri" w:hAnsi="Calibri"/>
                <w:szCs w:val="22"/>
              </w:rPr>
              <w:t xml:space="preserve"> and will accord with policy EN2. </w:t>
            </w:r>
          </w:p>
        </w:tc>
      </w:tr>
      <w:tr w:rsidR="008C75E4" w:rsidRPr="008C75E4" w14:paraId="44D3416A" w14:textId="77777777" w:rsidTr="00504440">
        <w:trPr>
          <w:trHeight w:val="864"/>
          <w:jc w:val="center"/>
        </w:trPr>
        <w:tc>
          <w:tcPr>
            <w:tcW w:w="9555" w:type="dxa"/>
            <w:gridSpan w:val="14"/>
            <w:tcMar>
              <w:top w:w="57" w:type="dxa"/>
              <w:bottom w:w="57" w:type="dxa"/>
            </w:tcMar>
          </w:tcPr>
          <w:p w14:paraId="49F2700E"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74C1AB3D" w14:textId="77777777" w:rsidR="00C50517" w:rsidRPr="002A7DF7" w:rsidRDefault="0068774E" w:rsidP="00454754">
            <w:pPr>
              <w:pStyle w:val="Header"/>
              <w:tabs>
                <w:tab w:val="clear" w:pos="4153"/>
                <w:tab w:val="clear" w:pos="8306"/>
              </w:tabs>
              <w:contextualSpacing/>
              <w:jc w:val="both"/>
              <w:rPr>
                <w:rFonts w:ascii="Calibri" w:hAnsi="Calibri"/>
                <w:szCs w:val="22"/>
              </w:rPr>
            </w:pPr>
            <w:r>
              <w:rPr>
                <w:rFonts w:ascii="Calibri" w:hAnsi="Calibri"/>
                <w:szCs w:val="22"/>
              </w:rPr>
              <w:t xml:space="preserve">There is an area adjacent to the house which is available for car parking, this is not formally marked out but measures roughly 10x23 metres so could probably accommodate at least 6 cars.  </w:t>
            </w:r>
          </w:p>
        </w:tc>
      </w:tr>
      <w:tr w:rsidR="008C75E4" w:rsidRPr="008C75E4" w14:paraId="351B7909" w14:textId="77777777" w:rsidTr="00504440">
        <w:trPr>
          <w:trHeight w:val="864"/>
          <w:jc w:val="center"/>
        </w:trPr>
        <w:tc>
          <w:tcPr>
            <w:tcW w:w="9555" w:type="dxa"/>
            <w:gridSpan w:val="14"/>
            <w:tcMar>
              <w:top w:w="57" w:type="dxa"/>
              <w:bottom w:w="57" w:type="dxa"/>
            </w:tcMar>
          </w:tcPr>
          <w:p w14:paraId="77815BE4"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38AF389C" w14:textId="77777777" w:rsidR="00C44E40" w:rsidRPr="00BA2247" w:rsidRDefault="0068774E" w:rsidP="00454754">
            <w:pPr>
              <w:pStyle w:val="Header"/>
              <w:tabs>
                <w:tab w:val="clear" w:pos="4153"/>
                <w:tab w:val="clear" w:pos="8306"/>
              </w:tabs>
              <w:contextualSpacing/>
              <w:jc w:val="both"/>
              <w:rPr>
                <w:rFonts w:ascii="Calibri" w:hAnsi="Calibri"/>
                <w:szCs w:val="22"/>
              </w:rPr>
            </w:pPr>
            <w:r>
              <w:rPr>
                <w:rFonts w:ascii="Calibri" w:hAnsi="Calibri"/>
                <w:szCs w:val="22"/>
              </w:rPr>
              <w:t xml:space="preserve">Subject to controls over the precise use of the house and location and materials of the welfare unit and having regard to the relevant core strategy policies the proposal is considered acceptable. It is therefore recommended accordingly.  </w:t>
            </w:r>
          </w:p>
        </w:tc>
      </w:tr>
      <w:tr w:rsidR="00C0704D" w:rsidRPr="008C75E4" w14:paraId="6ECBEB4A" w14:textId="77777777" w:rsidTr="00504440">
        <w:trPr>
          <w:jc w:val="center"/>
        </w:trPr>
        <w:tc>
          <w:tcPr>
            <w:tcW w:w="2837" w:type="dxa"/>
            <w:gridSpan w:val="4"/>
            <w:tcMar>
              <w:top w:w="57" w:type="dxa"/>
              <w:bottom w:w="57" w:type="dxa"/>
            </w:tcMar>
          </w:tcPr>
          <w:p w14:paraId="79FF293B"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4CDDA9E7" w14:textId="77777777" w:rsidR="00C0704D" w:rsidRPr="008C75E4" w:rsidRDefault="008A3807" w:rsidP="006126D1">
            <w:pPr>
              <w:jc w:val="both"/>
              <w:rPr>
                <w:rFonts w:ascii="Calibri" w:hAnsi="Calibri"/>
                <w:bCs/>
                <w:szCs w:val="22"/>
              </w:rPr>
            </w:pPr>
            <w:r>
              <w:rPr>
                <w:rFonts w:ascii="Calibri" w:hAnsi="Calibri"/>
                <w:bCs/>
                <w:szCs w:val="22"/>
              </w:rPr>
              <w:t xml:space="preserve">To approve planning permission. </w:t>
            </w:r>
          </w:p>
        </w:tc>
      </w:tr>
    </w:tbl>
    <w:p w14:paraId="200E7710" w14:textId="77777777" w:rsidR="0031197A" w:rsidRPr="008C75E4" w:rsidRDefault="00117A0D"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6F36" w14:textId="77777777" w:rsidR="00D94B6D" w:rsidRDefault="00D94B6D" w:rsidP="006D0B5F">
      <w:r>
        <w:separator/>
      </w:r>
    </w:p>
  </w:endnote>
  <w:endnote w:type="continuationSeparator" w:id="0">
    <w:p w14:paraId="46E66F99" w14:textId="77777777" w:rsidR="00D94B6D" w:rsidRDefault="00D94B6D"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CAA" w14:textId="77777777" w:rsidR="00D94B6D" w:rsidRDefault="00D94B6D" w:rsidP="006D0B5F">
      <w:r>
        <w:separator/>
      </w:r>
    </w:p>
  </w:footnote>
  <w:footnote w:type="continuationSeparator" w:id="0">
    <w:p w14:paraId="2F9CD528" w14:textId="77777777" w:rsidR="00D94B6D" w:rsidRDefault="00D94B6D"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5CB5"/>
    <w:rsid w:val="000C7A57"/>
    <w:rsid w:val="000F7EF2"/>
    <w:rsid w:val="00101855"/>
    <w:rsid w:val="0010371E"/>
    <w:rsid w:val="00106932"/>
    <w:rsid w:val="00117A0D"/>
    <w:rsid w:val="00130035"/>
    <w:rsid w:val="00141512"/>
    <w:rsid w:val="0016428F"/>
    <w:rsid w:val="00174004"/>
    <w:rsid w:val="001946E0"/>
    <w:rsid w:val="00196722"/>
    <w:rsid w:val="001B769B"/>
    <w:rsid w:val="001C1453"/>
    <w:rsid w:val="001D4F7A"/>
    <w:rsid w:val="001D5ADD"/>
    <w:rsid w:val="00203F50"/>
    <w:rsid w:val="00206E24"/>
    <w:rsid w:val="002372BE"/>
    <w:rsid w:val="00237DA1"/>
    <w:rsid w:val="00250879"/>
    <w:rsid w:val="00252F42"/>
    <w:rsid w:val="00284480"/>
    <w:rsid w:val="0028751A"/>
    <w:rsid w:val="0029334A"/>
    <w:rsid w:val="002A01CF"/>
    <w:rsid w:val="002A7DF7"/>
    <w:rsid w:val="002B7854"/>
    <w:rsid w:val="002C6277"/>
    <w:rsid w:val="002C79EE"/>
    <w:rsid w:val="002D4346"/>
    <w:rsid w:val="002D56B0"/>
    <w:rsid w:val="002E2952"/>
    <w:rsid w:val="002E7CC1"/>
    <w:rsid w:val="002F041D"/>
    <w:rsid w:val="002F2580"/>
    <w:rsid w:val="002F7502"/>
    <w:rsid w:val="003137E0"/>
    <w:rsid w:val="00320A6F"/>
    <w:rsid w:val="00321B6E"/>
    <w:rsid w:val="003359D0"/>
    <w:rsid w:val="00341E8D"/>
    <w:rsid w:val="00347F5E"/>
    <w:rsid w:val="003562A3"/>
    <w:rsid w:val="003634D9"/>
    <w:rsid w:val="0036759A"/>
    <w:rsid w:val="003825D5"/>
    <w:rsid w:val="003A4376"/>
    <w:rsid w:val="003A47FB"/>
    <w:rsid w:val="003C28E1"/>
    <w:rsid w:val="003E2151"/>
    <w:rsid w:val="003F16AA"/>
    <w:rsid w:val="003F16B4"/>
    <w:rsid w:val="003F3DB5"/>
    <w:rsid w:val="003F481A"/>
    <w:rsid w:val="00404C72"/>
    <w:rsid w:val="00435FC9"/>
    <w:rsid w:val="0044039F"/>
    <w:rsid w:val="00440CB6"/>
    <w:rsid w:val="00454754"/>
    <w:rsid w:val="004654DD"/>
    <w:rsid w:val="004854EC"/>
    <w:rsid w:val="004936A6"/>
    <w:rsid w:val="004947BB"/>
    <w:rsid w:val="004A5EA9"/>
    <w:rsid w:val="004C2434"/>
    <w:rsid w:val="004D6FC7"/>
    <w:rsid w:val="004E58E3"/>
    <w:rsid w:val="004F0649"/>
    <w:rsid w:val="004F1043"/>
    <w:rsid w:val="004F1E99"/>
    <w:rsid w:val="0050432D"/>
    <w:rsid w:val="00504440"/>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C6EC0"/>
    <w:rsid w:val="005D3432"/>
    <w:rsid w:val="005E1C6C"/>
    <w:rsid w:val="005E65DF"/>
    <w:rsid w:val="006126D1"/>
    <w:rsid w:val="006326A2"/>
    <w:rsid w:val="0065543D"/>
    <w:rsid w:val="00665C24"/>
    <w:rsid w:val="0068774E"/>
    <w:rsid w:val="00690EC3"/>
    <w:rsid w:val="00692B60"/>
    <w:rsid w:val="00695038"/>
    <w:rsid w:val="00695F88"/>
    <w:rsid w:val="006A71AD"/>
    <w:rsid w:val="006C126E"/>
    <w:rsid w:val="006C2BFA"/>
    <w:rsid w:val="006D0B5F"/>
    <w:rsid w:val="006D4E58"/>
    <w:rsid w:val="006D7624"/>
    <w:rsid w:val="006F137D"/>
    <w:rsid w:val="006F4D38"/>
    <w:rsid w:val="0070054B"/>
    <w:rsid w:val="00706480"/>
    <w:rsid w:val="00710DBB"/>
    <w:rsid w:val="00725F1C"/>
    <w:rsid w:val="007430C8"/>
    <w:rsid w:val="00755FCC"/>
    <w:rsid w:val="00776AE2"/>
    <w:rsid w:val="007921CD"/>
    <w:rsid w:val="007C5713"/>
    <w:rsid w:val="007C791C"/>
    <w:rsid w:val="007D6D02"/>
    <w:rsid w:val="007D7DF4"/>
    <w:rsid w:val="007E0D23"/>
    <w:rsid w:val="007F196D"/>
    <w:rsid w:val="00805895"/>
    <w:rsid w:val="008075CB"/>
    <w:rsid w:val="00811771"/>
    <w:rsid w:val="008154DD"/>
    <w:rsid w:val="008542DE"/>
    <w:rsid w:val="008638DE"/>
    <w:rsid w:val="00891182"/>
    <w:rsid w:val="008A28C8"/>
    <w:rsid w:val="008A3807"/>
    <w:rsid w:val="008C75E4"/>
    <w:rsid w:val="008F6B58"/>
    <w:rsid w:val="0090282C"/>
    <w:rsid w:val="00906D0C"/>
    <w:rsid w:val="00934B34"/>
    <w:rsid w:val="009565F5"/>
    <w:rsid w:val="009825FF"/>
    <w:rsid w:val="00985097"/>
    <w:rsid w:val="00994EF1"/>
    <w:rsid w:val="009C4BCF"/>
    <w:rsid w:val="009C7F61"/>
    <w:rsid w:val="009E6A8B"/>
    <w:rsid w:val="00A04A96"/>
    <w:rsid w:val="00A40070"/>
    <w:rsid w:val="00A42E82"/>
    <w:rsid w:val="00A46EE9"/>
    <w:rsid w:val="00A55E83"/>
    <w:rsid w:val="00A579BB"/>
    <w:rsid w:val="00A63D55"/>
    <w:rsid w:val="00A8441B"/>
    <w:rsid w:val="00A9088C"/>
    <w:rsid w:val="00A9168C"/>
    <w:rsid w:val="00A94B16"/>
    <w:rsid w:val="00A95D89"/>
    <w:rsid w:val="00AB3243"/>
    <w:rsid w:val="00AB5232"/>
    <w:rsid w:val="00B14DDC"/>
    <w:rsid w:val="00B30A5E"/>
    <w:rsid w:val="00B31505"/>
    <w:rsid w:val="00B469F7"/>
    <w:rsid w:val="00B46AD8"/>
    <w:rsid w:val="00B6269C"/>
    <w:rsid w:val="00B74C73"/>
    <w:rsid w:val="00B93EB5"/>
    <w:rsid w:val="00B96F5A"/>
    <w:rsid w:val="00BA2247"/>
    <w:rsid w:val="00BA5D97"/>
    <w:rsid w:val="00BA6B19"/>
    <w:rsid w:val="00BB1C52"/>
    <w:rsid w:val="00BB2A50"/>
    <w:rsid w:val="00BC1E48"/>
    <w:rsid w:val="00BD3F03"/>
    <w:rsid w:val="00C0704D"/>
    <w:rsid w:val="00C214A6"/>
    <w:rsid w:val="00C24A51"/>
    <w:rsid w:val="00C25722"/>
    <w:rsid w:val="00C44E40"/>
    <w:rsid w:val="00C50517"/>
    <w:rsid w:val="00C618DB"/>
    <w:rsid w:val="00C6456D"/>
    <w:rsid w:val="00C93384"/>
    <w:rsid w:val="00CA28BA"/>
    <w:rsid w:val="00CD1729"/>
    <w:rsid w:val="00CD2E03"/>
    <w:rsid w:val="00CD38B1"/>
    <w:rsid w:val="00D102D9"/>
    <w:rsid w:val="00D1063F"/>
    <w:rsid w:val="00D11007"/>
    <w:rsid w:val="00D1420C"/>
    <w:rsid w:val="00D23470"/>
    <w:rsid w:val="00D2449B"/>
    <w:rsid w:val="00D54384"/>
    <w:rsid w:val="00D54E67"/>
    <w:rsid w:val="00D54F48"/>
    <w:rsid w:val="00D632BB"/>
    <w:rsid w:val="00D80310"/>
    <w:rsid w:val="00D94B6D"/>
    <w:rsid w:val="00D9608A"/>
    <w:rsid w:val="00D96DF7"/>
    <w:rsid w:val="00D97AA3"/>
    <w:rsid w:val="00DA27B6"/>
    <w:rsid w:val="00DC3C8A"/>
    <w:rsid w:val="00DD62F6"/>
    <w:rsid w:val="00DD7E97"/>
    <w:rsid w:val="00DE740E"/>
    <w:rsid w:val="00DF42DA"/>
    <w:rsid w:val="00E03AFD"/>
    <w:rsid w:val="00E0485E"/>
    <w:rsid w:val="00E06DFC"/>
    <w:rsid w:val="00E23FB0"/>
    <w:rsid w:val="00E270CB"/>
    <w:rsid w:val="00E3317F"/>
    <w:rsid w:val="00E46243"/>
    <w:rsid w:val="00E66534"/>
    <w:rsid w:val="00E719D1"/>
    <w:rsid w:val="00E71A35"/>
    <w:rsid w:val="00E72F6C"/>
    <w:rsid w:val="00E80113"/>
    <w:rsid w:val="00EA09F9"/>
    <w:rsid w:val="00EA1673"/>
    <w:rsid w:val="00EB7D74"/>
    <w:rsid w:val="00EC23C7"/>
    <w:rsid w:val="00ED00B7"/>
    <w:rsid w:val="00EF1341"/>
    <w:rsid w:val="00EF44E6"/>
    <w:rsid w:val="00F012FA"/>
    <w:rsid w:val="00F055D3"/>
    <w:rsid w:val="00F129DD"/>
    <w:rsid w:val="00F16D0F"/>
    <w:rsid w:val="00F3202C"/>
    <w:rsid w:val="00F32789"/>
    <w:rsid w:val="00F71D53"/>
    <w:rsid w:val="00F731F5"/>
    <w:rsid w:val="00F75F59"/>
    <w:rsid w:val="00F8201E"/>
    <w:rsid w:val="00FC046F"/>
    <w:rsid w:val="00FC6A11"/>
    <w:rsid w:val="00FC77EC"/>
    <w:rsid w:val="00FD334A"/>
    <w:rsid w:val="00FD6AE3"/>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6159"/>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character" w:styleId="Hyperlink">
    <w:name w:val="Hyperlink"/>
    <w:basedOn w:val="DefaultParagraphFont"/>
    <w:uiPriority w:val="99"/>
    <w:semiHidden/>
    <w:unhideWhenUsed/>
    <w:rsid w:val="00237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BAE7-EBE0-43E9-AE59-A770A7BA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2021-12-22T12:44:00Z</cp:lastPrinted>
  <dcterms:created xsi:type="dcterms:W3CDTF">2021-12-22T12:48:00Z</dcterms:created>
  <dcterms:modified xsi:type="dcterms:W3CDTF">2021-12-22T12:48:00Z</dcterms:modified>
</cp:coreProperties>
</file>